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2600"/>
          <w:tab w:val="left" w:leader="none" w:pos="3900"/>
          <w:tab w:val="left" w:leader="none" w:pos="5200"/>
          <w:tab w:val="left" w:leader="none" w:pos="6500"/>
          <w:tab w:val="left" w:leader="none" w:pos="7800"/>
        </w:tabs>
        <w:spacing w:after="12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análise epidemiológica da Síndrome de Guillain-Barré no serviço de Neurologia  do Hospital da UNIMED BH</w:t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Síndrome de Guillain-Barré (SGB) é uma rara condição imunomediada que acomete o sistema nervoso periférico e é caracterizada por uma paralisia flácida ascendente, porém, às vezes se apresenta de  forma atípica  com variantes clínicas. Possui um diagnóstico baseado em critérios clínicos, liquóricos e eletrofisiológicos.</w:t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Nesta série de casos retratamos os pacientes internados no serviço de Neurologia do Hospital da Unimed da Unidade Contorno (Belo Horizonte/MG) com o diagnóstico da Síndrome de Guillain-Barré entre março de 2022 e agosto de 2023.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Foram incluídos 20 pacientes, 80% do sexo masculino e 20% do sexo feminino. A idade média foi de 39,7 anos (intervalo de 15 - 62 anos). Destes, 65% apresentaram </w:t>
      </w:r>
      <w:r w:rsidDel="00000000" w:rsidR="00000000" w:rsidRPr="00000000">
        <w:rPr>
          <w:rFonts w:ascii="Arial" w:cs="Arial" w:eastAsia="Arial" w:hAnsi="Arial"/>
          <w:rtl w:val="0"/>
        </w:rPr>
        <w:t xml:space="preserve">infecção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respiratória ou gastrointestinal antecedendo o quadro; 50% apresentaram vacinação nas últimas 4 semanas</w:t>
      </w:r>
      <w:r w:rsidDel="00000000" w:rsidR="00000000" w:rsidRPr="00000000">
        <w:rPr>
          <w:rFonts w:ascii="Arial" w:cs="Arial" w:eastAsia="Arial" w:hAnsi="Arial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80% dos pacientes que tinham um gatilho infeccioso do trato </w:t>
      </w:r>
      <w:r w:rsidDel="00000000" w:rsidR="00000000" w:rsidRPr="00000000">
        <w:rPr>
          <w:rFonts w:ascii="Arial" w:cs="Arial" w:eastAsia="Arial" w:hAnsi="Arial"/>
          <w:rtl w:val="0"/>
        </w:rPr>
        <w:t xml:space="preserve">gastrointestinal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necessitaram de transferência para</w:t>
      </w:r>
      <w:r w:rsidDel="00000000" w:rsidR="00000000" w:rsidRPr="00000000">
        <w:rPr>
          <w:rFonts w:ascii="Arial" w:cs="Arial" w:eastAsia="Arial" w:hAnsi="Arial"/>
          <w:rtl w:val="0"/>
        </w:rPr>
        <w:t xml:space="preserve"> a unidade de terapia intensiva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Os meses com maior incidência de casos foram dezembro de 2022 e janeiro de 2023. A maioria recebeu tratamento com imunoglobulina venosa humana, 85%. Nenhum recebeu tratamento com plasmaférese. A metade </w:t>
      </w:r>
      <w:r w:rsidDel="00000000" w:rsidR="00000000" w:rsidRPr="00000000">
        <w:rPr>
          <w:rFonts w:ascii="Arial" w:cs="Arial" w:eastAsia="Arial" w:hAnsi="Arial"/>
          <w:rtl w:val="0"/>
        </w:rPr>
        <w:t xml:space="preserve">possuía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Erasmus </w:t>
      </w:r>
      <w:r w:rsidDel="00000000" w:rsidR="00000000" w:rsidRPr="00000000">
        <w:rPr>
          <w:rFonts w:ascii="Arial" w:cs="Arial" w:eastAsia="Arial" w:hAnsi="Arial"/>
          <w:rtl w:val="0"/>
        </w:rPr>
        <w:t xml:space="preserve">Guillain-Barré Syndrome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Respiratory Insufficiency Score (EGRIS) ≤ 3 pontos e a outra metade EGRIS ≥ 4. Três pacientes evoluíram com insuficiência respiratória na primeira semana após início dos sintomas. Dos com EGRIS ≤ 3, 30% foram para CTI e não precisaram de ventilação invasiva. Em 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relação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aos com EGRIS ≥ 4, 70% foram para CTI, e destes 28%  necessitaram de ventilação invasiva. Houve 1 óbito.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72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Nossos dados e resultados apresentados estão compatíveis com os descritos na literatura no tocante aos gatilhos para a autoimunidade e no que se refere aos prognósticos. Questionamos se pandemia pelo coronavírus poderia ser um agravante para o aumento da incidência da Síndrome de Guillain Barré. </w:t>
      </w:r>
    </w:p>
    <w:p w:rsidR="00000000" w:rsidDel="00000000" w:rsidP="00000000" w:rsidRDefault="00000000" w:rsidRPr="00000000" w14:paraId="00000006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00"/>
          <w:tab w:val="left" w:leader="none" w:pos="2600"/>
          <w:tab w:val="left" w:leader="none" w:pos="3900"/>
          <w:tab w:val="left" w:leader="none" w:pos="5200"/>
          <w:tab w:val="left" w:leader="none" w:pos="6500"/>
          <w:tab w:val="left" w:leader="none" w:pos="7800"/>
        </w:tabs>
        <w:spacing w:after="12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sectPr>
      <w:headerReference r:id="rId7" w:type="default"/>
      <w:footerReference r:id="rId8" w:type="default"/>
      <w:pgSz w:h="16840" w:w="11900" w:orient="portrait"/>
      <w:pgMar w:bottom="1701" w:top="1701" w:left="1134" w:right="1134" w:header="482" w:footer="48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 w:customStyle="1">
    <w:name w:val="Titre"/>
    <w:pPr>
      <w:keepLines w:val="1"/>
      <w:spacing w:after="120"/>
      <w:jc w:val="center"/>
    </w:pPr>
    <w:rPr>
      <w:rFonts w:ascii="Helvetica Neue" w:cs="Arial Unicode MS" w:hAnsi="Helvetica Neue"/>
      <w:b w:val="1"/>
      <w:bCs w:val="1"/>
      <w:color w:val="000000"/>
      <w:sz w:val="36"/>
      <w:szCs w:val="36"/>
      <w:lang w:val="pt-PT"/>
      <w14:textOutline w14:cap="flat" w14:cmpd="sng" w14:algn="ctr">
        <w14:noFill/>
        <w14:prstDash w14:val="solid"/>
        <w14:bevel/>
      </w14:textOutline>
    </w:rPr>
  </w:style>
  <w:style w:type="paragraph" w:styleId="Corps" w:customStyle="1">
    <w:name w:val="Corps"/>
    <w:pPr>
      <w:spacing w:after="240" w:line="312" w:lineRule="auto"/>
    </w:pPr>
    <w:rPr>
      <w:rFonts w:ascii="Helvetica Neue" w:cs="Helvetica Neue" w:eastAsia="Helvetica Neue" w:hAnsi="Helvetica Neue"/>
      <w:color w:val="000000"/>
      <w:spacing w:val="7"/>
      <w:sz w:val="24"/>
      <w:szCs w:val="24"/>
      <w14:textOutline w14:cap="flat" w14:cmpd="sng" w14:algn="ctr">
        <w14:noFill/>
        <w14:prstDash w14:val="solid"/>
        <w14:bevel/>
      </w14:textOutline>
    </w:rPr>
  </w:style>
  <w:style w:type="character" w:styleId="Aucun" w:customStyle="1">
    <w:name w:val="Aucun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21_Simple_Report">
  <a:themeElements>
    <a:clrScheme name="21_Simple_Report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21_Simple_Report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1_Simple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36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84PVB6L6Ix8RTv5whYqHBnrkOQ==">CgMxLjAaJAoBMBIfCh0IB0IZCgVBcmlhbBIQQXJpYWwgVW5pY29kZSBNUxokCgExEh8KHQgHQhkKBUFyaWFsEhBBcmlhbCBVbmljb2RlIE1TMghoLmdqZGd4czgAciExUlNjVjFTQ2oxZHhOYmdDbXpXYlAtbmNqdDh4UkRJSzU=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2023-08-18T13:24:00Z</dcterms:created>
  <dc:creator>Leonardo de Castro Teixeira</dc:creator>
</cp:coreProperties>
</file>