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0C338CB5" w14:textId="22D8AA6E" w:rsidR="00CF427F" w:rsidRPr="00614953" w:rsidRDefault="00614953" w:rsidP="00614953">
      <w:pPr>
        <w:pStyle w:val="PargrafodaLista"/>
        <w:tabs>
          <w:tab w:val="left" w:pos="5871"/>
        </w:tabs>
        <w:rPr>
          <w:rFonts w:ascii="Arial" w:hAnsi="Arial" w:cs="Arial"/>
          <w:sz w:val="24"/>
          <w:szCs w:val="24"/>
        </w:rPr>
      </w:pPr>
      <w:r>
        <w:rPr>
          <w:rFonts w:ascii="Arial" w:hAnsi="Arial" w:cs="Arial"/>
          <w:sz w:val="24"/>
          <w:szCs w:val="24"/>
        </w:rPr>
        <w:t xml:space="preserve">                        </w:t>
      </w:r>
      <w:r w:rsidR="00026BCD" w:rsidRPr="00614953">
        <w:rPr>
          <w:rFonts w:ascii="Arial" w:hAnsi="Arial" w:cs="Arial"/>
          <w:sz w:val="24"/>
          <w:szCs w:val="24"/>
        </w:rPr>
        <w:t>RESUMO EXPANDIDO</w:t>
      </w:r>
    </w:p>
    <w:p w14:paraId="40182AD9" w14:textId="77777777" w:rsidR="0491D5EE" w:rsidRDefault="0491D5EE" w:rsidP="297915AF">
      <w:pPr>
        <w:pStyle w:val="Texto"/>
      </w:pPr>
    </w:p>
    <w:p w14:paraId="5EB4D84D" w14:textId="7CDB42E7" w:rsidR="0491D5EE" w:rsidRPr="001F6136" w:rsidRDefault="2BF74FE8" w:rsidP="001F6136">
      <w:pPr>
        <w:ind w:firstLine="0"/>
        <w:rPr>
          <w:rFonts w:ascii="Arial" w:hAnsi="Arial" w:cs="Arial"/>
          <w:sz w:val="24"/>
          <w:szCs w:val="24"/>
        </w:rPr>
      </w:pPr>
      <w:r w:rsidRPr="001F6136">
        <w:rPr>
          <w:rFonts w:ascii="Arial" w:hAnsi="Arial" w:cs="Arial"/>
          <w:sz w:val="24"/>
          <w:szCs w:val="24"/>
        </w:rPr>
        <w:t>Grupo de Trabalho (GT</w:t>
      </w:r>
      <w:r w:rsidR="00DA3654">
        <w:rPr>
          <w:rFonts w:ascii="Arial" w:hAnsi="Arial" w:cs="Arial"/>
          <w:sz w:val="24"/>
          <w:szCs w:val="24"/>
        </w:rPr>
        <w:t xml:space="preserve"> 1) - </w:t>
      </w:r>
      <w:r w:rsidR="00DA3654" w:rsidRPr="00DA3654">
        <w:rPr>
          <w:rFonts w:ascii="Arial" w:hAnsi="Arial" w:cs="Arial"/>
          <w:sz w:val="24"/>
          <w:szCs w:val="24"/>
        </w:rPr>
        <w:t>Convivência escolar e enfrentamento à violência: práticas que desenvolvemos para a melhoria da qualidade da escolarização</w:t>
      </w:r>
    </w:p>
    <w:p w14:paraId="6990960F" w14:textId="510B201E" w:rsidR="0491D5EE" w:rsidRPr="001F6136" w:rsidRDefault="0491D5EE" w:rsidP="001F6136">
      <w:pPr>
        <w:rPr>
          <w:rFonts w:ascii="Arial" w:hAnsi="Arial" w:cs="Arial"/>
          <w:sz w:val="24"/>
          <w:szCs w:val="24"/>
        </w:rPr>
      </w:pPr>
    </w:p>
    <w:p w14:paraId="7E19E27C" w14:textId="02CC145F"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r w:rsidR="7E56827D" w:rsidRPr="001F6136">
        <w:rPr>
          <w:rFonts w:ascii="Arial" w:hAnsi="Arial" w:cs="Arial"/>
          <w:sz w:val="24"/>
          <w:szCs w:val="24"/>
        </w:rPr>
        <w:t xml:space="preserve"> </w:t>
      </w:r>
    </w:p>
    <w:p w14:paraId="76D235B2" w14:textId="580693E4" w:rsidR="77D603DC" w:rsidRPr="001F6136" w:rsidRDefault="77D603DC" w:rsidP="001F6136">
      <w:pPr>
        <w:rPr>
          <w:rFonts w:ascii="Arial" w:hAnsi="Arial" w:cs="Arial"/>
          <w:sz w:val="24"/>
          <w:szCs w:val="24"/>
        </w:rPr>
      </w:pPr>
    </w:p>
    <w:p w14:paraId="1572CD5D" w14:textId="561A1601" w:rsidR="110062EF" w:rsidRDefault="046AE1D2" w:rsidP="001F6136">
      <w:pPr>
        <w:ind w:firstLine="0"/>
        <w:rPr>
          <w:rFonts w:ascii="Arial" w:hAnsi="Arial" w:cs="Arial"/>
          <w:sz w:val="24"/>
          <w:szCs w:val="24"/>
        </w:rPr>
      </w:pPr>
      <w:r w:rsidRPr="001F6136">
        <w:rPr>
          <w:rFonts w:ascii="Arial" w:hAnsi="Arial" w:cs="Arial"/>
          <w:sz w:val="24"/>
          <w:szCs w:val="24"/>
        </w:rPr>
        <w:t>Formato de apresentação: presencia</w:t>
      </w:r>
      <w:r w:rsidR="00827FF4">
        <w:rPr>
          <w:rFonts w:ascii="Arial" w:hAnsi="Arial" w:cs="Arial"/>
          <w:sz w:val="24"/>
          <w:szCs w:val="24"/>
        </w:rPr>
        <w:t>l</w:t>
      </w:r>
    </w:p>
    <w:p w14:paraId="63A679ED" w14:textId="77777777" w:rsidR="00827FF4" w:rsidRDefault="00827FF4" w:rsidP="001F6136">
      <w:pPr>
        <w:ind w:firstLine="0"/>
        <w:rPr>
          <w:rFonts w:ascii="Arial" w:hAnsi="Arial" w:cs="Arial"/>
          <w:sz w:val="24"/>
          <w:szCs w:val="24"/>
        </w:rPr>
      </w:pPr>
    </w:p>
    <w:p w14:paraId="2EC3CFDC" w14:textId="590A748F" w:rsidR="00827FF4" w:rsidRPr="00FF37EC" w:rsidRDefault="00827FF4" w:rsidP="00827FF4">
      <w:pPr>
        <w:spacing w:line="360" w:lineRule="auto"/>
        <w:ind w:firstLine="2694"/>
        <w:jc w:val="right"/>
        <w:rPr>
          <w:rFonts w:ascii="Arial" w:eastAsia="Times New Roman" w:hAnsi="Arial" w:cs="Arial"/>
          <w:kern w:val="0"/>
          <w:sz w:val="24"/>
          <w:szCs w:val="24"/>
          <w:lang w:eastAsia="pt-BR"/>
          <w14:ligatures w14:val="none"/>
        </w:rPr>
      </w:pPr>
      <w:r w:rsidRPr="00FF37EC">
        <w:rPr>
          <w:rFonts w:ascii="Arial" w:eastAsia="Times New Roman" w:hAnsi="Arial" w:cs="Arial"/>
          <w:kern w:val="0"/>
          <w:sz w:val="24"/>
          <w:szCs w:val="24"/>
          <w:lang w:eastAsia="pt-BR"/>
          <w14:ligatures w14:val="none"/>
        </w:rPr>
        <w:t>Mônica Andréa Greanin de Oliveira</w:t>
      </w:r>
      <w:r w:rsidR="00E47278">
        <w:rPr>
          <w:rStyle w:val="Refdenotaderodap"/>
          <w:rFonts w:ascii="Arial" w:eastAsia="Times New Roman" w:hAnsi="Arial" w:cs="Arial"/>
          <w:kern w:val="0"/>
          <w:sz w:val="24"/>
          <w:szCs w:val="24"/>
          <w:lang w:eastAsia="pt-BR"/>
          <w14:ligatures w14:val="none"/>
        </w:rPr>
        <w:footnoteReference w:id="1"/>
      </w:r>
    </w:p>
    <w:p w14:paraId="2909FACC" w14:textId="183F697A" w:rsidR="00827FF4" w:rsidRPr="00E47278" w:rsidRDefault="00827FF4" w:rsidP="00827FF4">
      <w:pPr>
        <w:spacing w:line="360" w:lineRule="auto"/>
        <w:ind w:firstLine="2694"/>
        <w:jc w:val="right"/>
        <w:rPr>
          <w:rFonts w:ascii="Arial" w:eastAsia="Times New Roman" w:hAnsi="Arial" w:cs="Arial"/>
          <w:kern w:val="0"/>
          <w:sz w:val="24"/>
          <w:szCs w:val="24"/>
          <w:lang w:eastAsia="pt-BR"/>
          <w14:ligatures w14:val="none"/>
        </w:rPr>
      </w:pPr>
      <w:r w:rsidRPr="00E47278">
        <w:rPr>
          <w:rFonts w:ascii="Arial" w:eastAsia="Times New Roman" w:hAnsi="Arial" w:cs="Arial"/>
          <w:kern w:val="0"/>
          <w:sz w:val="24"/>
          <w:szCs w:val="24"/>
          <w:lang w:eastAsia="pt-BR"/>
          <w14:ligatures w14:val="none"/>
        </w:rPr>
        <w:t>Kelly Ayanna Peters Barros</w:t>
      </w:r>
      <w:r w:rsidR="00E47278">
        <w:rPr>
          <w:rStyle w:val="Refdenotaderodap"/>
          <w:rFonts w:ascii="Arial" w:eastAsia="Times New Roman" w:hAnsi="Arial" w:cs="Arial"/>
          <w:kern w:val="0"/>
          <w:sz w:val="24"/>
          <w:szCs w:val="24"/>
          <w:lang w:eastAsia="pt-BR"/>
          <w14:ligatures w14:val="none"/>
        </w:rPr>
        <w:footnoteReference w:id="2"/>
      </w:r>
    </w:p>
    <w:p w14:paraId="228998A1" w14:textId="77777777" w:rsidR="00827FF4" w:rsidRDefault="00827FF4" w:rsidP="001F6136">
      <w:pPr>
        <w:ind w:firstLine="0"/>
        <w:rPr>
          <w:rFonts w:ascii="Arial" w:hAnsi="Arial" w:cs="Arial"/>
          <w:sz w:val="24"/>
          <w:szCs w:val="24"/>
        </w:rPr>
      </w:pPr>
    </w:p>
    <w:p w14:paraId="6A069091" w14:textId="77777777" w:rsidR="00DA3654" w:rsidRDefault="00DA3654" w:rsidP="00DA3654">
      <w:pPr>
        <w:pStyle w:val="Ttulo"/>
        <w:rPr>
          <w:rFonts w:eastAsia="Times New Roman" w:cs="Arial"/>
          <w:b w:val="0"/>
          <w:bCs/>
          <w:kern w:val="36"/>
          <w:szCs w:val="24"/>
          <w:lang w:eastAsia="pt-BR"/>
          <w14:ligatures w14:val="none"/>
        </w:rPr>
      </w:pPr>
      <w:r w:rsidRPr="00FF37EC">
        <w:rPr>
          <w:rFonts w:eastAsia="Times New Roman" w:cs="Arial"/>
          <w:bCs/>
          <w:kern w:val="36"/>
          <w:szCs w:val="24"/>
          <w:lang w:eastAsia="pt-BR"/>
          <w14:ligatures w14:val="none"/>
        </w:rPr>
        <w:t>CONVIVÊNCIA EM AMBIENTES VIRTUAIS NA EJA: UM ESTUDO DE CASO SOBRE AS PERCEPÇÕES DOS ESTUDANTES DE UMA COOPERATIVA DE TRABALHO EM EDUCAÇÃO E SEUS IMPACTOS NO PROCESSO DE APRENDIZAGEM</w:t>
      </w:r>
    </w:p>
    <w:p w14:paraId="4F47D999" w14:textId="323E0AE3" w:rsidR="00DF040B" w:rsidRPr="00DA1797" w:rsidRDefault="00250E5E" w:rsidP="00250E5E">
      <w:pPr>
        <w:pStyle w:val="Texto"/>
        <w:tabs>
          <w:tab w:val="clear" w:pos="4819"/>
          <w:tab w:val="left" w:pos="5760"/>
        </w:tabs>
      </w:pPr>
      <w:r>
        <w:tab/>
      </w:r>
    </w:p>
    <w:p w14:paraId="7783C2E5" w14:textId="24B1E08A" w:rsidR="00BB3206" w:rsidRDefault="00BD0F6C" w:rsidP="00442C14">
      <w:pPr>
        <w:pStyle w:val="Resumo"/>
        <w:rPr>
          <w:b/>
          <w:bCs/>
        </w:rPr>
      </w:pPr>
      <w:r w:rsidRPr="001A1913">
        <w:rPr>
          <w:b/>
          <w:bCs/>
        </w:rPr>
        <w:t xml:space="preserve">PALAVRAS-CHAVE: </w:t>
      </w:r>
      <w:r w:rsidR="00E47278" w:rsidRPr="00FF37EC">
        <w:rPr>
          <w:rFonts w:eastAsia="Times New Roman"/>
          <w:kern w:val="0"/>
          <w:lang w:eastAsia="pt-BR"/>
          <w14:ligatures w14:val="none"/>
        </w:rPr>
        <w:t>aprendizagem; convivência; EJA; ambiente virtual de aprendizagem (AVA).</w:t>
      </w:r>
    </w:p>
    <w:p w14:paraId="7237142C" w14:textId="77777777" w:rsidR="00597F8A" w:rsidRDefault="00597F8A" w:rsidP="009A33DE">
      <w:pPr>
        <w:pStyle w:val="Texto"/>
      </w:pPr>
    </w:p>
    <w:p w14:paraId="3982CFE3" w14:textId="65C980E7" w:rsidR="00707214" w:rsidRDefault="0060173B" w:rsidP="004C446D">
      <w:pPr>
        <w:pStyle w:val="Ttulo1"/>
      </w:pPr>
      <w:r>
        <w:t xml:space="preserve">1 </w:t>
      </w:r>
      <w:r w:rsidR="00707214" w:rsidRPr="00707214">
        <w:t>INTRODUÇÃO</w:t>
      </w:r>
    </w:p>
    <w:p w14:paraId="080DF62B" w14:textId="77777777" w:rsidR="00FB15BE" w:rsidRDefault="00FB15BE" w:rsidP="00101D85">
      <w:pPr>
        <w:spacing w:line="240" w:lineRule="auto"/>
      </w:pPr>
    </w:p>
    <w:p w14:paraId="0C393E25" w14:textId="77777777" w:rsidR="00FB15BE" w:rsidRPr="00FF4D6A" w:rsidRDefault="00FB15BE" w:rsidP="00FF4D6A">
      <w:pPr>
        <w:spacing w:line="360" w:lineRule="auto"/>
        <w:rPr>
          <w:rFonts w:ascii="Arial" w:hAnsi="Arial" w:cs="Arial"/>
          <w:sz w:val="24"/>
          <w:szCs w:val="24"/>
        </w:rPr>
      </w:pPr>
      <w:r w:rsidRPr="00FF4D6A">
        <w:rPr>
          <w:rFonts w:ascii="Arial" w:hAnsi="Arial" w:cs="Arial"/>
          <w:sz w:val="24"/>
          <w:szCs w:val="24"/>
        </w:rPr>
        <w:t>O avanço das tecnologias digitais transformou os modos de ensinar e aprender, impulsionando a expansão dos Ambientes Virtuais de Aprendizagem (</w:t>
      </w:r>
      <w:proofErr w:type="spellStart"/>
      <w:r w:rsidRPr="00FF4D6A">
        <w:rPr>
          <w:rFonts w:ascii="Arial" w:hAnsi="Arial" w:cs="Arial"/>
          <w:sz w:val="24"/>
          <w:szCs w:val="24"/>
        </w:rPr>
        <w:t>AVAs</w:t>
      </w:r>
      <w:proofErr w:type="spellEnd"/>
      <w:r w:rsidRPr="00FF4D6A">
        <w:rPr>
          <w:rFonts w:ascii="Arial" w:hAnsi="Arial" w:cs="Arial"/>
          <w:sz w:val="24"/>
          <w:szCs w:val="24"/>
        </w:rPr>
        <w:t>) em todas as modalidades de ensino, inclusive na Educação de Jovens e Adultos (EJA). Esta, voltada àqueles que não tiveram acesso à escolarização em idade regular, enfrenta desafios históricos e estruturais que refletem desigualdades sociais, políticas e pedagógicas.</w:t>
      </w:r>
    </w:p>
    <w:p w14:paraId="0B11B6D6" w14:textId="2212BAEB" w:rsidR="00FB15BE" w:rsidRPr="00FF4D6A" w:rsidRDefault="00FB15BE" w:rsidP="00FF4D6A">
      <w:pPr>
        <w:spacing w:line="360" w:lineRule="auto"/>
        <w:rPr>
          <w:rFonts w:ascii="Arial" w:hAnsi="Arial" w:cs="Arial"/>
          <w:sz w:val="24"/>
          <w:szCs w:val="24"/>
        </w:rPr>
      </w:pPr>
      <w:r w:rsidRPr="00FF4D6A">
        <w:rPr>
          <w:rFonts w:ascii="Arial" w:hAnsi="Arial" w:cs="Arial"/>
          <w:sz w:val="24"/>
          <w:szCs w:val="24"/>
        </w:rPr>
        <w:t xml:space="preserve">Historicamente marginalizada nas políticas públicas, a EJA tem sido tratada como modalidade compensatória, com ações voltadas mais para resultados quantitativos do que para aprendizagens significativas que promovam criticidade, autonomia e liberdade. Conforme Di Pierro, Joia e Ribeiro (2001, p.58), a EJA “é um </w:t>
      </w:r>
      <w:r w:rsidRPr="00FF4D6A">
        <w:rPr>
          <w:rFonts w:ascii="Arial" w:hAnsi="Arial" w:cs="Arial"/>
          <w:sz w:val="24"/>
          <w:szCs w:val="24"/>
        </w:rPr>
        <w:lastRenderedPageBreak/>
        <w:t>campo de práticas e reflexão que inevitavelmente transborda os limites da escolarização em sentido estrito, porque abarca processos formativos diversos”. Essa marginalização se manifesta, por exemplo, na priorização de investimentos no Exame Nacional para Certificação de Competências de Jovens e Adultos (ENCCEJA) em detrimento da oferta escolar presencial, como demonstra o relatório do Observatório Movimento pela Base (2022). Entre 2018 e 2021, observou-se significativa redução dos investimentos na EJA escolar, ao mesmo tempo em que o financiamento do ENCCEJA aumentou expressivamente, R$ 117,6 milhões em 2018, contra apenas R$ 24,6 milhões para a EJA presencial, evidenciando a preferência governamental por políticas de certificação em lugar da ampliação da oferta de cursos.</w:t>
      </w:r>
    </w:p>
    <w:p w14:paraId="419FD55B" w14:textId="77777777" w:rsidR="00FB15BE" w:rsidRPr="00FF4D6A" w:rsidRDefault="00FB15BE" w:rsidP="00FF4D6A">
      <w:pPr>
        <w:spacing w:line="360" w:lineRule="auto"/>
        <w:rPr>
          <w:rFonts w:ascii="Arial" w:hAnsi="Arial" w:cs="Arial"/>
          <w:sz w:val="24"/>
          <w:szCs w:val="24"/>
        </w:rPr>
      </w:pPr>
      <w:r w:rsidRPr="00FF4D6A">
        <w:rPr>
          <w:rFonts w:ascii="Arial" w:hAnsi="Arial" w:cs="Arial"/>
          <w:sz w:val="24"/>
          <w:szCs w:val="24"/>
        </w:rPr>
        <w:t xml:space="preserve">Nesse contexto, a educação a distância tem sido apresentada como “solução” para a democratização do ensino. O Parecer CNE/CEB nº 1/2021 e a Resolução CNE/CEB nº 1/2021 determinam que, para o Ensino Médio da EJA, a EaD pode corresponder a até 80% da carga horária total (CNE, 2021). Contudo, a nova Resolução CNE/CEB nº 3/2025 revisa essas diretrizes, restringindo cursos totalmente virtuais e priorizando formatos presenciais ou híbridos (CNE, 2025), o que reforça a relevância desta pesquisa centrada na questão: quais são as percepções dos estudantes da EJA sobre a convivência em </w:t>
      </w:r>
      <w:proofErr w:type="spellStart"/>
      <w:r w:rsidRPr="00FF4D6A">
        <w:rPr>
          <w:rFonts w:ascii="Arial" w:hAnsi="Arial" w:cs="Arial"/>
          <w:sz w:val="24"/>
          <w:szCs w:val="24"/>
        </w:rPr>
        <w:t>AVAs</w:t>
      </w:r>
      <w:proofErr w:type="spellEnd"/>
      <w:r w:rsidRPr="00FF4D6A">
        <w:rPr>
          <w:rFonts w:ascii="Arial" w:hAnsi="Arial" w:cs="Arial"/>
          <w:sz w:val="24"/>
          <w:szCs w:val="24"/>
        </w:rPr>
        <w:t xml:space="preserve"> e de que forma essa convivência impacta a aprendizagem?</w:t>
      </w:r>
    </w:p>
    <w:p w14:paraId="2BC8E4F1" w14:textId="77777777" w:rsidR="00FB15BE" w:rsidRPr="00FF4D6A" w:rsidRDefault="00FB15BE" w:rsidP="00FF4D6A">
      <w:pPr>
        <w:spacing w:line="360" w:lineRule="auto"/>
        <w:rPr>
          <w:rFonts w:ascii="Arial" w:hAnsi="Arial" w:cs="Arial"/>
          <w:sz w:val="24"/>
          <w:szCs w:val="24"/>
        </w:rPr>
      </w:pPr>
      <w:r w:rsidRPr="00FF4D6A">
        <w:rPr>
          <w:rFonts w:ascii="Arial" w:hAnsi="Arial" w:cs="Arial"/>
          <w:sz w:val="24"/>
          <w:szCs w:val="24"/>
        </w:rPr>
        <w:t>Autores como Freire (1999), Maturana (2009), Proença (2023) e Amaral e Guerra (2022) destacam que a convivência social é elemento fundamental para a aprendizagem significativa. Para Freire (2005, p. 79), “ninguém educa ninguém, ninguém se educa sozinho, os homens se educam entre si, mediatizados pelo mundo”. Nessa mesma perspectiva, Maturana e Varela (2001, p. 12) reforçam que, “se a vida é um processo de conhecimento, os seres vivos constroem esse conhecimento não a partir de uma atitude passiva, mas pela interação”</w:t>
      </w:r>
    </w:p>
    <w:p w14:paraId="71B0036D" w14:textId="5503C612" w:rsidR="00FB15BE" w:rsidRPr="00FF4D6A" w:rsidRDefault="00FB15BE" w:rsidP="00FF4D6A">
      <w:pPr>
        <w:spacing w:line="360" w:lineRule="auto"/>
        <w:rPr>
          <w:rFonts w:ascii="Arial" w:hAnsi="Arial" w:cs="Arial"/>
          <w:sz w:val="24"/>
          <w:szCs w:val="24"/>
        </w:rPr>
      </w:pPr>
      <w:r w:rsidRPr="00FF4D6A">
        <w:rPr>
          <w:rFonts w:ascii="Arial" w:hAnsi="Arial" w:cs="Arial"/>
          <w:sz w:val="24"/>
          <w:szCs w:val="24"/>
        </w:rPr>
        <w:t xml:space="preserve">Assim, inspirada na pedagogia libertadora </w:t>
      </w:r>
      <w:proofErr w:type="spellStart"/>
      <w:r w:rsidRPr="00FF4D6A">
        <w:rPr>
          <w:rFonts w:ascii="Arial" w:hAnsi="Arial" w:cs="Arial"/>
          <w:sz w:val="24"/>
          <w:szCs w:val="24"/>
        </w:rPr>
        <w:t>freireana</w:t>
      </w:r>
      <w:proofErr w:type="spellEnd"/>
      <w:r w:rsidRPr="00FF4D6A">
        <w:rPr>
          <w:rFonts w:ascii="Arial" w:hAnsi="Arial" w:cs="Arial"/>
          <w:sz w:val="24"/>
          <w:szCs w:val="24"/>
        </w:rPr>
        <w:t xml:space="preserve">, esta investigação busca repensar os </w:t>
      </w:r>
      <w:proofErr w:type="spellStart"/>
      <w:r w:rsidRPr="00FF4D6A">
        <w:rPr>
          <w:rFonts w:ascii="Arial" w:hAnsi="Arial" w:cs="Arial"/>
          <w:sz w:val="24"/>
          <w:szCs w:val="24"/>
        </w:rPr>
        <w:t>AVAs</w:t>
      </w:r>
      <w:proofErr w:type="spellEnd"/>
      <w:r w:rsidRPr="00FF4D6A">
        <w:rPr>
          <w:rFonts w:ascii="Arial" w:hAnsi="Arial" w:cs="Arial"/>
          <w:sz w:val="24"/>
          <w:szCs w:val="24"/>
        </w:rPr>
        <w:t xml:space="preserve"> na EJA sob a ótica da educação humanizadora, compreendendo que a tecnologia deve ser mediadora e não substituta das relações humanas, de modo a favorecer uma aprendizagem crítica, dialógica e emancipatória.</w:t>
      </w:r>
    </w:p>
    <w:p w14:paraId="251506C0" w14:textId="77777777" w:rsidR="00435A4C" w:rsidRPr="00FF4D6A" w:rsidRDefault="00435A4C" w:rsidP="00FF4D6A">
      <w:pPr>
        <w:pStyle w:val="Texto"/>
      </w:pPr>
    </w:p>
    <w:p w14:paraId="41EEC0FF" w14:textId="3199E977" w:rsidR="00435A4C" w:rsidRDefault="00FC4166" w:rsidP="004C446D">
      <w:pPr>
        <w:pStyle w:val="Ttulo1"/>
      </w:pPr>
      <w:r>
        <w:t>2</w:t>
      </w:r>
      <w:r w:rsidR="00D97213">
        <w:t xml:space="preserve"> </w:t>
      </w:r>
      <w:r w:rsidR="00055BA2">
        <w:t>REFERENCIAL TEÓRICO</w:t>
      </w:r>
    </w:p>
    <w:p w14:paraId="010CB428" w14:textId="77777777" w:rsidR="00FB15BE" w:rsidRDefault="00FB15BE" w:rsidP="00FB15BE"/>
    <w:p w14:paraId="68D82DB0" w14:textId="77777777" w:rsidR="00FB15BE" w:rsidRPr="00FF37EC" w:rsidRDefault="00FB15BE" w:rsidP="00FB15BE">
      <w:pPr>
        <w:pStyle w:val="NormalWeb"/>
        <w:spacing w:before="0" w:beforeAutospacing="0" w:after="0" w:afterAutospacing="0" w:line="360" w:lineRule="auto"/>
        <w:ind w:firstLine="709"/>
        <w:jc w:val="both"/>
        <w:rPr>
          <w:rFonts w:ascii="Arial" w:hAnsi="Arial" w:cs="Arial"/>
        </w:rPr>
      </w:pPr>
      <w:r w:rsidRPr="00FF37EC">
        <w:rPr>
          <w:rFonts w:ascii="Arial" w:hAnsi="Arial" w:cs="Arial"/>
        </w:rPr>
        <w:lastRenderedPageBreak/>
        <w:t>O avanço das tecnologias digitais transformou os modos de ensinar e aprender, impulsionando a expansão dos Ambientes Virtuais de Aprendizagem (</w:t>
      </w:r>
      <w:proofErr w:type="spellStart"/>
      <w:r w:rsidRPr="00FF37EC">
        <w:rPr>
          <w:rFonts w:ascii="Arial" w:hAnsi="Arial" w:cs="Arial"/>
        </w:rPr>
        <w:t>AVAs</w:t>
      </w:r>
      <w:proofErr w:type="spellEnd"/>
      <w:r w:rsidRPr="00FF37EC">
        <w:rPr>
          <w:rFonts w:ascii="Arial" w:hAnsi="Arial" w:cs="Arial"/>
        </w:rPr>
        <w:t>) em todas as modalidades de ensino, inclusive na Educação de Jovens e Adultos (EJA). Esta, voltada àqueles que não tiveram acesso à escolarização em idade regular, enfrenta desafios históricos e estruturais que refletem desigualdades sociais, políticas e pedagógicas.</w:t>
      </w:r>
    </w:p>
    <w:p w14:paraId="485DA642" w14:textId="77777777" w:rsidR="00FB15BE" w:rsidRPr="00FF37EC" w:rsidRDefault="00FB15BE" w:rsidP="00FB15BE">
      <w:pPr>
        <w:pStyle w:val="NormalWeb"/>
        <w:spacing w:before="0" w:beforeAutospacing="0" w:after="0" w:afterAutospacing="0" w:line="360" w:lineRule="auto"/>
        <w:ind w:firstLine="709"/>
        <w:jc w:val="both"/>
        <w:rPr>
          <w:rFonts w:ascii="Arial" w:hAnsi="Arial" w:cs="Arial"/>
        </w:rPr>
      </w:pPr>
      <w:r w:rsidRPr="00FF37EC">
        <w:rPr>
          <w:rFonts w:ascii="Arial" w:hAnsi="Arial" w:cs="Arial"/>
        </w:rPr>
        <w:t>Historicamente marginalizada nas políticas públicas, a EJA tem sido tratada como modalidade compensatória, com ações voltadas mais para resultados quantitativos do que para aprendizagens significativas que promovam criticidade, autonomia e liberdade. Conforme Di Pierro, Joia e Ribeiro (2001</w:t>
      </w:r>
      <w:r>
        <w:rPr>
          <w:rFonts w:ascii="Arial" w:hAnsi="Arial" w:cs="Arial"/>
        </w:rPr>
        <w:t>, p.58</w:t>
      </w:r>
      <w:r w:rsidRPr="00FF37EC">
        <w:rPr>
          <w:rFonts w:ascii="Arial" w:hAnsi="Arial" w:cs="Arial"/>
        </w:rPr>
        <w:t xml:space="preserve">), a EJA “é um campo de práticas e reflexão que inevitavelmente transborda os limites da escolarização em sentido estrito, porque abarca processos formativos diversos”. Essa marginalização se manifesta, por exemplo, na priorização de investimentos no Exame Nacional para Certificação de Competências de Jovens e Adultos (ENCCEJA) em detrimento da oferta escolar presencial, como demonstra o relatório </w:t>
      </w:r>
      <w:r w:rsidRPr="00A278F3">
        <w:rPr>
          <w:rFonts w:ascii="Arial" w:hAnsi="Arial" w:cs="Arial"/>
        </w:rPr>
        <w:t>do Observatório Movimento pela Base (2022).</w:t>
      </w:r>
      <w:r w:rsidRPr="00FF37EC">
        <w:rPr>
          <w:rFonts w:ascii="Arial" w:hAnsi="Arial" w:cs="Arial"/>
        </w:rPr>
        <w:t xml:space="preserve"> Entre 2018 e 2021, observou-se significativa redução dos investimentos na EJA escolar, ao mesmo tempo em que o financiamento do ENCCEJA aumentou expressivamente</w:t>
      </w:r>
      <w:r>
        <w:rPr>
          <w:rFonts w:ascii="Arial" w:hAnsi="Arial" w:cs="Arial"/>
        </w:rPr>
        <w:t xml:space="preserve">, </w:t>
      </w:r>
      <w:r w:rsidRPr="00FF37EC">
        <w:rPr>
          <w:rFonts w:ascii="Arial" w:hAnsi="Arial" w:cs="Arial"/>
        </w:rPr>
        <w:t>R$ 117,6 milhões em 2018, contra apenas R$ 24,6 milhões para a EJA presencial, evidenciando a preferência governamental por políticas de certificação em lugar da ampliação da oferta de cursos.</w:t>
      </w:r>
    </w:p>
    <w:p w14:paraId="4BC00C57" w14:textId="77777777" w:rsidR="00FB15BE" w:rsidRPr="00FF37EC" w:rsidRDefault="00FB15BE" w:rsidP="00FB15BE">
      <w:pPr>
        <w:pStyle w:val="NormalWeb"/>
        <w:spacing w:before="0" w:beforeAutospacing="0" w:after="0" w:afterAutospacing="0" w:line="360" w:lineRule="auto"/>
        <w:ind w:firstLine="709"/>
        <w:jc w:val="both"/>
        <w:rPr>
          <w:rFonts w:ascii="Arial" w:hAnsi="Arial" w:cs="Arial"/>
          <w:b/>
          <w:bCs/>
        </w:rPr>
      </w:pPr>
      <w:r w:rsidRPr="00FF37EC">
        <w:rPr>
          <w:rFonts w:ascii="Arial" w:hAnsi="Arial" w:cs="Arial"/>
        </w:rPr>
        <w:t xml:space="preserve">Nesse contexto, a educação a distância tem sido apresentada como “solução” para a democratização do ensino. </w:t>
      </w:r>
      <w:r w:rsidRPr="002A59EE">
        <w:rPr>
          <w:rFonts w:ascii="Arial" w:hAnsi="Arial" w:cs="Arial"/>
        </w:rPr>
        <w:t xml:space="preserve">O Parecer CNE/CEB nº 1/2021 e a Resolução CNE/CEB nº 1/2021 </w:t>
      </w:r>
      <w:r w:rsidRPr="00FF37EC">
        <w:rPr>
          <w:rFonts w:ascii="Arial" w:hAnsi="Arial" w:cs="Arial"/>
        </w:rPr>
        <w:t>determinam que, para o Ensino Médio da EJA, a EaD pode corresponder a até 80% da carga horária total</w:t>
      </w:r>
      <w:r>
        <w:rPr>
          <w:rFonts w:ascii="Arial" w:hAnsi="Arial" w:cs="Arial"/>
        </w:rPr>
        <w:t xml:space="preserve"> </w:t>
      </w:r>
      <w:r w:rsidRPr="002A59EE">
        <w:rPr>
          <w:rFonts w:ascii="Arial" w:hAnsi="Arial" w:cs="Arial"/>
        </w:rPr>
        <w:t>(CNE, 202</w:t>
      </w:r>
      <w:r>
        <w:rPr>
          <w:rFonts w:ascii="Arial" w:hAnsi="Arial" w:cs="Arial"/>
        </w:rPr>
        <w:t>1)</w:t>
      </w:r>
      <w:r w:rsidRPr="00FF37EC">
        <w:rPr>
          <w:rFonts w:ascii="Arial" w:hAnsi="Arial" w:cs="Arial"/>
        </w:rPr>
        <w:t>. Contudo, a nova Resolução CNE/CEB nº 3/2025 revisa essas diretrizes, restringindo cursos totalmente virtuais e priorizando formatos presenciais ou híbridos</w:t>
      </w:r>
      <w:r>
        <w:rPr>
          <w:rFonts w:ascii="Arial" w:hAnsi="Arial" w:cs="Arial"/>
        </w:rPr>
        <w:t xml:space="preserve"> </w:t>
      </w:r>
      <w:r w:rsidRPr="002A59EE">
        <w:rPr>
          <w:rFonts w:ascii="Arial" w:hAnsi="Arial" w:cs="Arial"/>
        </w:rPr>
        <w:t>(CNE, 202</w:t>
      </w:r>
      <w:r>
        <w:rPr>
          <w:rFonts w:ascii="Arial" w:hAnsi="Arial" w:cs="Arial"/>
        </w:rPr>
        <w:t xml:space="preserve">5), </w:t>
      </w:r>
      <w:r w:rsidRPr="00FF37EC">
        <w:rPr>
          <w:rFonts w:ascii="Arial" w:hAnsi="Arial" w:cs="Arial"/>
        </w:rPr>
        <w:t>o que reforça a relevância desta pesquisa</w:t>
      </w:r>
      <w:r>
        <w:rPr>
          <w:rFonts w:ascii="Arial" w:hAnsi="Arial" w:cs="Arial"/>
        </w:rPr>
        <w:t xml:space="preserve"> </w:t>
      </w:r>
      <w:r w:rsidRPr="00FF37EC">
        <w:rPr>
          <w:rFonts w:ascii="Arial" w:hAnsi="Arial" w:cs="Arial"/>
        </w:rPr>
        <w:t xml:space="preserve">centrada na questão: </w:t>
      </w:r>
      <w:r w:rsidRPr="00FF37EC">
        <w:rPr>
          <w:rStyle w:val="Forte"/>
          <w:rFonts w:ascii="Arial" w:eastAsiaTheme="majorEastAsia" w:hAnsi="Arial" w:cs="Arial"/>
        </w:rPr>
        <w:t xml:space="preserve">quais são as percepções dos estudantes da EJA sobre a convivência em </w:t>
      </w:r>
      <w:proofErr w:type="spellStart"/>
      <w:r w:rsidRPr="00FF37EC">
        <w:rPr>
          <w:rStyle w:val="Forte"/>
          <w:rFonts w:ascii="Arial" w:eastAsiaTheme="majorEastAsia" w:hAnsi="Arial" w:cs="Arial"/>
        </w:rPr>
        <w:t>AVAs</w:t>
      </w:r>
      <w:proofErr w:type="spellEnd"/>
      <w:r w:rsidRPr="00FF37EC">
        <w:rPr>
          <w:rStyle w:val="Forte"/>
          <w:rFonts w:ascii="Arial" w:eastAsiaTheme="majorEastAsia" w:hAnsi="Arial" w:cs="Arial"/>
        </w:rPr>
        <w:t xml:space="preserve"> e de que forma essa convivência impacta a aprendizagem?</w:t>
      </w:r>
    </w:p>
    <w:p w14:paraId="21A641B2" w14:textId="77777777" w:rsidR="00FB15BE" w:rsidRPr="00EE05BD" w:rsidRDefault="00FB15BE" w:rsidP="00FB15BE">
      <w:pPr>
        <w:pStyle w:val="NormalWeb"/>
        <w:spacing w:before="0" w:beforeAutospacing="0" w:after="0" w:afterAutospacing="0" w:line="360" w:lineRule="auto"/>
        <w:ind w:firstLine="709"/>
        <w:jc w:val="both"/>
        <w:rPr>
          <w:rFonts w:ascii="Arial" w:hAnsi="Arial" w:cs="Arial"/>
        </w:rPr>
      </w:pPr>
      <w:r w:rsidRPr="00FF37EC">
        <w:rPr>
          <w:rFonts w:ascii="Arial" w:hAnsi="Arial" w:cs="Arial"/>
        </w:rPr>
        <w:t>Autores como Freire (1999), Maturana (2009), Proença (2023) e Amaral e Guerra (2022) destacam que a convivência social é elemento fundamental para a aprendizagem significativa. Para Freire</w:t>
      </w:r>
      <w:r>
        <w:rPr>
          <w:rFonts w:ascii="Arial" w:hAnsi="Arial" w:cs="Arial"/>
        </w:rPr>
        <w:t xml:space="preserve"> </w:t>
      </w:r>
      <w:r w:rsidRPr="004C5F9E">
        <w:rPr>
          <w:rFonts w:ascii="Arial" w:hAnsi="Arial" w:cs="Arial"/>
        </w:rPr>
        <w:t>(2005, p. 79),</w:t>
      </w:r>
      <w:r>
        <w:rPr>
          <w:rFonts w:ascii="Arial" w:hAnsi="Arial" w:cs="Arial"/>
        </w:rPr>
        <w:t xml:space="preserve"> </w:t>
      </w:r>
      <w:r w:rsidRPr="00FF37EC">
        <w:rPr>
          <w:rFonts w:ascii="Arial" w:hAnsi="Arial" w:cs="Arial"/>
        </w:rPr>
        <w:t xml:space="preserve">“ninguém educa ninguém, ninguém se educa sozinho, os homens se educam entre si, mediatizados pelo </w:t>
      </w:r>
      <w:r w:rsidRPr="00FF37EC">
        <w:rPr>
          <w:rFonts w:ascii="Arial" w:hAnsi="Arial" w:cs="Arial"/>
        </w:rPr>
        <w:lastRenderedPageBreak/>
        <w:t>mundo</w:t>
      </w:r>
      <w:r>
        <w:rPr>
          <w:rFonts w:ascii="Arial" w:hAnsi="Arial" w:cs="Arial"/>
        </w:rPr>
        <w:t>”.</w:t>
      </w:r>
      <w:r w:rsidRPr="00EE05BD">
        <w:t xml:space="preserve"> </w:t>
      </w:r>
      <w:r w:rsidRPr="00EE05BD">
        <w:rPr>
          <w:rFonts w:ascii="Arial" w:hAnsi="Arial" w:cs="Arial"/>
        </w:rPr>
        <w:t>Nessa mesma perspectiva, Maturana e Varela (2001, p. 12) reforçam que, “se a vida é um processo de conhecimento, os seres vivos constroem esse conhecimento não a partir de uma atitude passiva, mas pela interação”</w:t>
      </w:r>
    </w:p>
    <w:p w14:paraId="02330636" w14:textId="77777777" w:rsidR="00FB15BE" w:rsidRDefault="00FB15BE" w:rsidP="00FB15BE">
      <w:pPr>
        <w:pStyle w:val="NormalWeb"/>
        <w:spacing w:before="0" w:beforeAutospacing="0" w:after="0" w:afterAutospacing="0" w:line="360" w:lineRule="auto"/>
        <w:ind w:firstLine="709"/>
        <w:jc w:val="both"/>
        <w:rPr>
          <w:rFonts w:ascii="Arial" w:hAnsi="Arial" w:cs="Arial"/>
        </w:rPr>
      </w:pPr>
      <w:r w:rsidRPr="00FF37EC">
        <w:rPr>
          <w:rFonts w:ascii="Arial" w:hAnsi="Arial" w:cs="Arial"/>
        </w:rPr>
        <w:t xml:space="preserve">Assim, inspirada na pedagogia libertadora </w:t>
      </w:r>
      <w:proofErr w:type="spellStart"/>
      <w:r w:rsidRPr="00FF37EC">
        <w:rPr>
          <w:rFonts w:ascii="Arial" w:hAnsi="Arial" w:cs="Arial"/>
        </w:rPr>
        <w:t>freireana</w:t>
      </w:r>
      <w:proofErr w:type="spellEnd"/>
      <w:r w:rsidRPr="00FF37EC">
        <w:rPr>
          <w:rFonts w:ascii="Arial" w:hAnsi="Arial" w:cs="Arial"/>
        </w:rPr>
        <w:t xml:space="preserve">, esta investigação busca repensar os </w:t>
      </w:r>
      <w:proofErr w:type="spellStart"/>
      <w:r w:rsidRPr="00FF37EC">
        <w:rPr>
          <w:rFonts w:ascii="Arial" w:hAnsi="Arial" w:cs="Arial"/>
        </w:rPr>
        <w:t>AVAs</w:t>
      </w:r>
      <w:proofErr w:type="spellEnd"/>
      <w:r w:rsidRPr="00FF37EC">
        <w:rPr>
          <w:rFonts w:ascii="Arial" w:hAnsi="Arial" w:cs="Arial"/>
        </w:rPr>
        <w:t xml:space="preserve"> na EJA sob a ótica da educação humanizadora, compreendendo que a tecnologia deve ser mediadora e não substituta das relações humanas, de modo a favorecer uma aprendizagem crítica, dialógica e emancipatória.</w:t>
      </w:r>
    </w:p>
    <w:p w14:paraId="3726DC24" w14:textId="77777777" w:rsidR="00FB15BE" w:rsidRPr="00FB15BE" w:rsidRDefault="00FB15BE" w:rsidP="00101D85">
      <w:pPr>
        <w:spacing w:line="240" w:lineRule="auto"/>
      </w:pPr>
    </w:p>
    <w:p w14:paraId="1DD2BBB3" w14:textId="0B784F74" w:rsidR="00707214" w:rsidRDefault="00FC4166" w:rsidP="004C446D">
      <w:pPr>
        <w:pStyle w:val="Ttulo1"/>
      </w:pPr>
      <w:r>
        <w:t>3</w:t>
      </w:r>
      <w:r w:rsidR="0060173B">
        <w:t xml:space="preserve"> </w:t>
      </w:r>
      <w:r w:rsidR="00707214" w:rsidRPr="00707214">
        <w:t>METODOLOGIA</w:t>
      </w:r>
    </w:p>
    <w:p w14:paraId="4DB0EA96" w14:textId="77777777" w:rsidR="00FB15BE" w:rsidRDefault="00FB15BE" w:rsidP="00101D85">
      <w:pPr>
        <w:spacing w:line="240" w:lineRule="auto"/>
      </w:pPr>
    </w:p>
    <w:p w14:paraId="4FEBBD04" w14:textId="77777777" w:rsidR="00FB15BE" w:rsidRPr="00FF37EC" w:rsidRDefault="00FB15BE" w:rsidP="00FB15BE">
      <w:pPr>
        <w:spacing w:line="360" w:lineRule="auto"/>
        <w:ind w:firstLine="709"/>
        <w:rPr>
          <w:rFonts w:ascii="Arial" w:eastAsia="Times New Roman" w:hAnsi="Arial" w:cs="Arial"/>
          <w:kern w:val="0"/>
          <w:sz w:val="24"/>
          <w:szCs w:val="24"/>
          <w:lang w:eastAsia="pt-BR"/>
          <w14:ligatures w14:val="none"/>
        </w:rPr>
      </w:pPr>
      <w:r w:rsidRPr="00FF37EC">
        <w:rPr>
          <w:rFonts w:ascii="Arial" w:eastAsia="Times New Roman" w:hAnsi="Arial" w:cs="Arial"/>
          <w:kern w:val="0"/>
          <w:sz w:val="24"/>
          <w:szCs w:val="24"/>
          <w:lang w:eastAsia="pt-BR"/>
          <w14:ligatures w14:val="none"/>
        </w:rPr>
        <w:t>A pesquisa, de natureza qualitativa, foi aprovada pelo Comitê de Ética em</w:t>
      </w:r>
      <w:r w:rsidRPr="00FF37EC">
        <w:rPr>
          <w:rFonts w:ascii="Arial" w:eastAsia="Times New Roman" w:hAnsi="Arial" w:cs="Arial"/>
          <w:b/>
          <w:bCs/>
          <w:kern w:val="0"/>
          <w:sz w:val="24"/>
          <w:szCs w:val="24"/>
          <w:lang w:eastAsia="pt-BR"/>
          <w14:ligatures w14:val="none"/>
        </w:rPr>
        <w:t xml:space="preserve"> </w:t>
      </w:r>
      <w:r w:rsidRPr="00FF37EC">
        <w:rPr>
          <w:rFonts w:ascii="Arial" w:eastAsia="Times New Roman" w:hAnsi="Arial" w:cs="Arial"/>
          <w:kern w:val="0"/>
          <w:sz w:val="24"/>
          <w:szCs w:val="24"/>
          <w:lang w:eastAsia="pt-BR"/>
          <w14:ligatures w14:val="none"/>
        </w:rPr>
        <w:t>Pesquisa (CAAE nº 86214325.0.0000.5370, parecer nº 7.443.105) e fundamenta-se em autores como Pádua (2000), Minayo (1993, 2001) e Gil (1999, 2007), que concebem a pesquisa como atividade sistemática voltada à compreensão da realidade. Caracteriza-se como exploratória e bibliográfica, com base em estudos teóricos obtidos em bases como BDTD, Google</w:t>
      </w:r>
      <w:r w:rsidRPr="00FF37EC">
        <w:rPr>
          <w:rFonts w:ascii="Arial" w:eastAsia="Times New Roman" w:hAnsi="Arial" w:cs="Arial"/>
          <w:b/>
          <w:bCs/>
          <w:kern w:val="0"/>
          <w:sz w:val="24"/>
          <w:szCs w:val="24"/>
          <w:lang w:eastAsia="pt-BR"/>
          <w14:ligatures w14:val="none"/>
        </w:rPr>
        <w:t xml:space="preserve"> </w:t>
      </w:r>
      <w:r w:rsidRPr="00FF37EC">
        <w:rPr>
          <w:rFonts w:ascii="Arial" w:eastAsia="Times New Roman" w:hAnsi="Arial" w:cs="Arial"/>
          <w:kern w:val="0"/>
          <w:sz w:val="24"/>
          <w:szCs w:val="24"/>
          <w:lang w:eastAsia="pt-BR"/>
          <w14:ligatures w14:val="none"/>
        </w:rPr>
        <w:t xml:space="preserve">Acadêmico, SciELO e Periódicos CAPES. Além da pesquisa bibliográfica, foi realizado um estudo de caso em uma Cooperativa de Trabalho Educacional (CTE) localizada em Blumenau/SC, que oferta EJA na modalidade semipresencial. Participaram nove estudantes, maiores de 18 anos, do Ensino Fundamental II e Médio, entrevistados por meio de entrevistas semiestruturadas, conforme </w:t>
      </w:r>
      <w:proofErr w:type="spellStart"/>
      <w:r w:rsidRPr="00FF37EC">
        <w:rPr>
          <w:rFonts w:ascii="Arial" w:eastAsia="Times New Roman" w:hAnsi="Arial" w:cs="Arial"/>
          <w:kern w:val="0"/>
          <w:sz w:val="24"/>
          <w:szCs w:val="24"/>
          <w:lang w:eastAsia="pt-BR"/>
          <w14:ligatures w14:val="none"/>
        </w:rPr>
        <w:t>Triviños</w:t>
      </w:r>
      <w:proofErr w:type="spellEnd"/>
      <w:r w:rsidRPr="00FF37EC">
        <w:rPr>
          <w:rFonts w:ascii="Arial" w:eastAsia="Times New Roman" w:hAnsi="Arial" w:cs="Arial"/>
          <w:kern w:val="0"/>
          <w:sz w:val="24"/>
          <w:szCs w:val="24"/>
          <w:lang w:eastAsia="pt-BR"/>
          <w14:ligatures w14:val="none"/>
        </w:rPr>
        <w:t xml:space="preserve"> (1987) e </w:t>
      </w:r>
      <w:r w:rsidRPr="004C5F9E">
        <w:rPr>
          <w:rFonts w:ascii="Arial" w:eastAsia="Times New Roman" w:hAnsi="Arial" w:cs="Arial"/>
          <w:kern w:val="0"/>
          <w:sz w:val="24"/>
          <w:szCs w:val="24"/>
          <w:lang w:eastAsia="pt-BR"/>
          <w14:ligatures w14:val="none"/>
        </w:rPr>
        <w:t>Manzini</w:t>
      </w:r>
      <w:r w:rsidRPr="004C5F9E">
        <w:rPr>
          <w:rFonts w:ascii="Arial" w:eastAsia="Times New Roman" w:hAnsi="Arial" w:cs="Arial"/>
          <w:b/>
          <w:bCs/>
          <w:kern w:val="0"/>
          <w:sz w:val="24"/>
          <w:szCs w:val="24"/>
          <w:lang w:eastAsia="pt-BR"/>
          <w14:ligatures w14:val="none"/>
        </w:rPr>
        <w:t xml:space="preserve"> </w:t>
      </w:r>
      <w:r w:rsidRPr="004C5F9E">
        <w:rPr>
          <w:rFonts w:ascii="Arial" w:eastAsia="Times New Roman" w:hAnsi="Arial" w:cs="Arial"/>
          <w:kern w:val="0"/>
          <w:sz w:val="24"/>
          <w:szCs w:val="24"/>
          <w:lang w:eastAsia="pt-BR"/>
          <w14:ligatures w14:val="none"/>
        </w:rPr>
        <w:t xml:space="preserve">(1990). </w:t>
      </w:r>
      <w:r w:rsidRPr="00FF37EC">
        <w:rPr>
          <w:rFonts w:ascii="Arial" w:eastAsia="Times New Roman" w:hAnsi="Arial" w:cs="Arial"/>
          <w:kern w:val="0"/>
          <w:sz w:val="24"/>
          <w:szCs w:val="24"/>
          <w:lang w:eastAsia="pt-BR"/>
          <w14:ligatures w14:val="none"/>
        </w:rPr>
        <w:t>A seleção foi voluntária, mediante assinatura do Termo de</w:t>
      </w:r>
      <w:r w:rsidRPr="00FF37EC">
        <w:rPr>
          <w:rFonts w:ascii="Arial" w:eastAsia="Times New Roman" w:hAnsi="Arial" w:cs="Arial"/>
          <w:b/>
          <w:bCs/>
          <w:kern w:val="0"/>
          <w:sz w:val="24"/>
          <w:szCs w:val="24"/>
          <w:lang w:eastAsia="pt-BR"/>
          <w14:ligatures w14:val="none"/>
        </w:rPr>
        <w:t xml:space="preserve"> </w:t>
      </w:r>
      <w:r w:rsidRPr="00FF37EC">
        <w:rPr>
          <w:rFonts w:ascii="Arial" w:eastAsia="Times New Roman" w:hAnsi="Arial" w:cs="Arial"/>
          <w:kern w:val="0"/>
          <w:sz w:val="24"/>
          <w:szCs w:val="24"/>
          <w:lang w:eastAsia="pt-BR"/>
          <w14:ligatures w14:val="none"/>
        </w:rPr>
        <w:t>Consentimento Livre e Esclarecido (TCLE).</w:t>
      </w:r>
    </w:p>
    <w:p w14:paraId="21BF30AD" w14:textId="77777777" w:rsidR="00FB15BE" w:rsidRPr="00FF37EC" w:rsidRDefault="00FB15BE" w:rsidP="00FB15BE">
      <w:pPr>
        <w:spacing w:line="360" w:lineRule="auto"/>
        <w:ind w:firstLine="709"/>
        <w:rPr>
          <w:rFonts w:ascii="Arial" w:eastAsia="Times New Roman" w:hAnsi="Arial" w:cs="Arial"/>
          <w:kern w:val="0"/>
          <w:sz w:val="24"/>
          <w:szCs w:val="24"/>
          <w:lang w:eastAsia="pt-BR"/>
          <w14:ligatures w14:val="none"/>
        </w:rPr>
      </w:pPr>
      <w:r w:rsidRPr="00FF37EC">
        <w:rPr>
          <w:rFonts w:ascii="Arial" w:eastAsia="Times New Roman" w:hAnsi="Arial" w:cs="Arial"/>
          <w:kern w:val="0"/>
          <w:sz w:val="24"/>
          <w:szCs w:val="24"/>
          <w:lang w:eastAsia="pt-BR"/>
          <w14:ligatures w14:val="none"/>
        </w:rPr>
        <w:t>As entrevistas foram gravadas, transcritas literalmente e submetidas à análise de conteúdo de Bardin (2016), possibilitando a identificação de categorias e significados emergentes. Para preservar o anonimato, os participantes receberam nomes</w:t>
      </w:r>
      <w:r w:rsidRPr="00FF37EC">
        <w:rPr>
          <w:rFonts w:ascii="Arial" w:eastAsia="Times New Roman" w:hAnsi="Arial" w:cs="Arial"/>
          <w:b/>
          <w:bCs/>
          <w:kern w:val="0"/>
          <w:sz w:val="24"/>
          <w:szCs w:val="24"/>
          <w:lang w:eastAsia="pt-BR"/>
          <w14:ligatures w14:val="none"/>
        </w:rPr>
        <w:t xml:space="preserve"> </w:t>
      </w:r>
      <w:r w:rsidRPr="00FF37EC">
        <w:rPr>
          <w:rFonts w:ascii="Arial" w:eastAsia="Times New Roman" w:hAnsi="Arial" w:cs="Arial"/>
          <w:kern w:val="0"/>
          <w:sz w:val="24"/>
          <w:szCs w:val="24"/>
          <w:lang w:eastAsia="pt-BR"/>
          <w14:ligatures w14:val="none"/>
        </w:rPr>
        <w:t>fictícios de escritores. O estudo busca compreender as dinâmicas de convivência e</w:t>
      </w:r>
      <w:r w:rsidRPr="00FF37EC">
        <w:rPr>
          <w:rFonts w:ascii="Arial" w:eastAsia="Times New Roman" w:hAnsi="Arial" w:cs="Arial"/>
          <w:b/>
          <w:bCs/>
          <w:kern w:val="0"/>
          <w:sz w:val="24"/>
          <w:szCs w:val="24"/>
          <w:lang w:eastAsia="pt-BR"/>
          <w14:ligatures w14:val="none"/>
        </w:rPr>
        <w:t xml:space="preserve"> </w:t>
      </w:r>
      <w:r w:rsidRPr="00FF37EC">
        <w:rPr>
          <w:rFonts w:ascii="Arial" w:eastAsia="Times New Roman" w:hAnsi="Arial" w:cs="Arial"/>
          <w:kern w:val="0"/>
          <w:sz w:val="24"/>
          <w:szCs w:val="24"/>
          <w:lang w:eastAsia="pt-BR"/>
          <w14:ligatures w14:val="none"/>
        </w:rPr>
        <w:t xml:space="preserve">aprendizagem nos </w:t>
      </w:r>
      <w:proofErr w:type="spellStart"/>
      <w:r w:rsidRPr="00FF37EC">
        <w:rPr>
          <w:rFonts w:ascii="Arial" w:eastAsia="Times New Roman" w:hAnsi="Arial" w:cs="Arial"/>
          <w:kern w:val="0"/>
          <w:sz w:val="24"/>
          <w:szCs w:val="24"/>
          <w:lang w:eastAsia="pt-BR"/>
          <w14:ligatures w14:val="none"/>
        </w:rPr>
        <w:t>AVAs</w:t>
      </w:r>
      <w:proofErr w:type="spellEnd"/>
      <w:r w:rsidRPr="00FF37EC">
        <w:rPr>
          <w:rFonts w:ascii="Arial" w:eastAsia="Times New Roman" w:hAnsi="Arial" w:cs="Arial"/>
          <w:kern w:val="0"/>
          <w:sz w:val="24"/>
          <w:szCs w:val="24"/>
          <w:lang w:eastAsia="pt-BR"/>
          <w14:ligatures w14:val="none"/>
        </w:rPr>
        <w:t xml:space="preserve"> da EJA, ressaltando que a interação humana é dimensão essencial do processo formativo, mesmo em contextos mediados pela tecnologia.</w:t>
      </w:r>
    </w:p>
    <w:p w14:paraId="137A42B9" w14:textId="77777777" w:rsidR="00AF55AB" w:rsidRDefault="00AF55AB" w:rsidP="00101D85">
      <w:pPr>
        <w:pStyle w:val="Ttulo1"/>
        <w:spacing w:line="240" w:lineRule="auto"/>
      </w:pPr>
    </w:p>
    <w:p w14:paraId="4B72C82E" w14:textId="4AE021B7" w:rsidR="00707214" w:rsidRDefault="00FC4166" w:rsidP="004C446D">
      <w:pPr>
        <w:pStyle w:val="Ttulo1"/>
      </w:pPr>
      <w:r>
        <w:t>4</w:t>
      </w:r>
      <w:r w:rsidR="0060173B">
        <w:t xml:space="preserve"> </w:t>
      </w:r>
      <w:r w:rsidR="00B7745C">
        <w:t xml:space="preserve">RESULTADOS E </w:t>
      </w:r>
      <w:r w:rsidR="00707214" w:rsidRPr="00707214">
        <w:t>DISCUSSÃO</w:t>
      </w:r>
      <w:r w:rsidR="00250E5E">
        <w:t xml:space="preserve"> </w:t>
      </w:r>
    </w:p>
    <w:p w14:paraId="01043578" w14:textId="77777777" w:rsidR="00FB15BE" w:rsidRDefault="00FB15BE" w:rsidP="00101D85">
      <w:pPr>
        <w:spacing w:line="240" w:lineRule="auto"/>
      </w:pPr>
    </w:p>
    <w:p w14:paraId="7B8AE598" w14:textId="77777777" w:rsidR="00FB15BE" w:rsidRDefault="00FB15BE" w:rsidP="00FB15BE">
      <w:pPr>
        <w:spacing w:line="360" w:lineRule="auto"/>
        <w:ind w:firstLine="709"/>
        <w:rPr>
          <w:rFonts w:ascii="Arial" w:eastAsia="Times New Roman" w:hAnsi="Arial" w:cs="Arial"/>
          <w:kern w:val="0"/>
          <w:sz w:val="24"/>
          <w:szCs w:val="24"/>
          <w:lang w:eastAsia="pt-BR"/>
          <w14:ligatures w14:val="none"/>
        </w:rPr>
      </w:pPr>
      <w:r w:rsidRPr="00FF37EC">
        <w:rPr>
          <w:rFonts w:ascii="Arial" w:eastAsia="Times New Roman" w:hAnsi="Arial" w:cs="Arial"/>
          <w:kern w:val="0"/>
          <w:sz w:val="24"/>
          <w:szCs w:val="24"/>
          <w:lang w:eastAsia="pt-BR"/>
          <w14:ligatures w14:val="none"/>
        </w:rPr>
        <w:t xml:space="preserve">Os resultados parciais apontaram que os estudantes da EJA reconhecem a convivência e o diálogo como elementos importantes para o aprendizado. As falas evidenciaram a valorização dos momentos de interação presencial, considerados </w:t>
      </w:r>
      <w:r w:rsidRPr="00FF37EC">
        <w:rPr>
          <w:rFonts w:ascii="Arial" w:eastAsia="Times New Roman" w:hAnsi="Arial" w:cs="Arial"/>
          <w:kern w:val="0"/>
          <w:sz w:val="24"/>
          <w:szCs w:val="24"/>
          <w:lang w:eastAsia="pt-BR"/>
          <w14:ligatures w14:val="none"/>
        </w:rPr>
        <w:lastRenderedPageBreak/>
        <w:t xml:space="preserve">oportunidades de troca, escuta e diálogo em contraposição às relações mediadas pelos ambientes virtuais, percebidas como frias e impessoais. Verificou-se que muitos estudantes experimentam sentimentos de isolamento, solidão e dificuldade de compreender os conteúdos sozinhos, especialmente quando o AVA é estruturado de forma tradicional e centrada na transmissão de informações. Nesses casos, o ensino tende a reproduzir o modelo “bancário” </w:t>
      </w:r>
      <w:r w:rsidRPr="004C5F9E">
        <w:rPr>
          <w:rFonts w:ascii="Arial" w:eastAsia="Times New Roman" w:hAnsi="Arial" w:cs="Arial"/>
          <w:kern w:val="0"/>
          <w:sz w:val="24"/>
          <w:szCs w:val="24"/>
          <w:lang w:eastAsia="pt-BR"/>
          <w14:ligatures w14:val="none"/>
        </w:rPr>
        <w:t xml:space="preserve">criticado por Freire (2005), </w:t>
      </w:r>
      <w:r w:rsidRPr="00FF37EC">
        <w:rPr>
          <w:rFonts w:ascii="Arial" w:eastAsia="Times New Roman" w:hAnsi="Arial" w:cs="Arial"/>
          <w:kern w:val="0"/>
          <w:sz w:val="24"/>
          <w:szCs w:val="24"/>
          <w:lang w:eastAsia="pt-BR"/>
          <w14:ligatures w14:val="none"/>
        </w:rPr>
        <w:t>no qual o estudante é mero receptor do conhecimento. Em contrapartida, quando o ambiente virtual promove mediações dialógicas, feedbacks frequentes e espaços de colaboração, os alunos relatam maior engajamento, segurança e sentido de pertencimento. A convivência, mesmo que parcial, favorece o desenvolvimento da autonomia e da criticidade. O estudo identificou ainda que a ausência de convivência real e afetiva pode comprometer a construção do conhecimento coletivo e a motivação para os estudos. Essa percepção reforça as recentes mudanças normativas, como a Resolução CNE/CEB nº 3/2025, que restringe a oferta de cursos totalmente virtuais na EJA, priorizando formatos híbridos que conciliam tecnologia e presença física</w:t>
      </w:r>
      <w:r>
        <w:rPr>
          <w:rFonts w:ascii="Arial" w:eastAsia="Times New Roman" w:hAnsi="Arial" w:cs="Arial"/>
          <w:kern w:val="0"/>
          <w:sz w:val="24"/>
          <w:szCs w:val="24"/>
          <w:lang w:eastAsia="pt-BR"/>
          <w14:ligatures w14:val="none"/>
        </w:rPr>
        <w:t xml:space="preserve"> (CNE, 2025)</w:t>
      </w:r>
      <w:r w:rsidRPr="00FF37EC">
        <w:rPr>
          <w:rFonts w:ascii="Arial" w:eastAsia="Times New Roman" w:hAnsi="Arial" w:cs="Arial"/>
          <w:kern w:val="0"/>
          <w:sz w:val="24"/>
          <w:szCs w:val="24"/>
          <w:lang w:eastAsia="pt-BR"/>
          <w14:ligatures w14:val="none"/>
        </w:rPr>
        <w:t>. De modo geral, os resultados nos conduzem a crer de que a convivência</w:t>
      </w:r>
      <w:r w:rsidRPr="00FF37EC">
        <w:rPr>
          <w:rFonts w:ascii="Arial" w:eastAsia="Times New Roman" w:hAnsi="Arial" w:cs="Arial"/>
          <w:b/>
          <w:bCs/>
          <w:kern w:val="0"/>
          <w:sz w:val="24"/>
          <w:szCs w:val="24"/>
          <w:lang w:eastAsia="pt-BR"/>
          <w14:ligatures w14:val="none"/>
        </w:rPr>
        <w:t xml:space="preserve"> </w:t>
      </w:r>
      <w:r w:rsidRPr="00FF37EC">
        <w:rPr>
          <w:rFonts w:ascii="Arial" w:eastAsia="Times New Roman" w:hAnsi="Arial" w:cs="Arial"/>
          <w:kern w:val="0"/>
          <w:sz w:val="24"/>
          <w:szCs w:val="24"/>
          <w:lang w:eastAsia="pt-BR"/>
          <w14:ligatures w14:val="none"/>
        </w:rPr>
        <w:t xml:space="preserve">é condição essencial para a aprendizagem significativa, especialmente no contexto da EJA, onde o processo educativo precisa ser humanizado, dialógico e participativo. </w:t>
      </w:r>
    </w:p>
    <w:p w14:paraId="043F43AB" w14:textId="77777777" w:rsidR="00E47278" w:rsidRPr="00FF37EC" w:rsidRDefault="00E47278" w:rsidP="00E47278">
      <w:pPr>
        <w:pStyle w:val="Textodenotaderodap"/>
        <w:rPr>
          <w:rFonts w:ascii="Arial" w:hAnsi="Arial" w:cs="Arial"/>
          <w:sz w:val="22"/>
          <w:szCs w:val="22"/>
        </w:rPr>
      </w:pPr>
    </w:p>
    <w:p w14:paraId="48D133EA" w14:textId="2C12929C" w:rsidR="00707214" w:rsidRDefault="00FC4166" w:rsidP="004C446D">
      <w:pPr>
        <w:pStyle w:val="Ttulo1"/>
      </w:pPr>
      <w:r>
        <w:t>5</w:t>
      </w:r>
      <w:r w:rsidR="0060173B">
        <w:t xml:space="preserve"> </w:t>
      </w:r>
      <w:r w:rsidR="00707214" w:rsidRPr="00707214">
        <w:t>CONSIDERAÇÕES FINAIS</w:t>
      </w:r>
    </w:p>
    <w:p w14:paraId="799270EC" w14:textId="77777777" w:rsidR="00FB15BE" w:rsidRDefault="00FB15BE" w:rsidP="00101D85">
      <w:pPr>
        <w:spacing w:line="240" w:lineRule="auto"/>
      </w:pPr>
    </w:p>
    <w:p w14:paraId="51C4DCD2" w14:textId="77777777" w:rsidR="00FB15BE" w:rsidRPr="00FF37EC" w:rsidRDefault="00FB15BE" w:rsidP="00FB15BE">
      <w:pPr>
        <w:spacing w:line="360" w:lineRule="auto"/>
        <w:ind w:firstLine="709"/>
        <w:rPr>
          <w:rFonts w:ascii="Arial" w:eastAsia="Times New Roman" w:hAnsi="Arial" w:cs="Arial"/>
          <w:kern w:val="0"/>
          <w:sz w:val="24"/>
          <w:szCs w:val="24"/>
          <w:lang w:eastAsia="pt-BR"/>
          <w14:ligatures w14:val="none"/>
        </w:rPr>
      </w:pPr>
      <w:r w:rsidRPr="00FF37EC">
        <w:rPr>
          <w:rFonts w:ascii="Arial" w:eastAsia="Times New Roman" w:hAnsi="Arial" w:cs="Arial"/>
          <w:kern w:val="0"/>
          <w:sz w:val="24"/>
          <w:szCs w:val="24"/>
          <w:lang w:eastAsia="pt-BR"/>
          <w14:ligatures w14:val="none"/>
        </w:rPr>
        <w:t xml:space="preserve">A pesquisa sugere que, embora os Ambientes Virtuais de Aprendizagem ampliem o acesso à educação, eles ainda carecem de estratégias que favoreçam a convivência, o diálogo e as relações humanas. A ausência desses elementos pode repercutir de forma negativa na aprendizagem e no desenvolvimento da autonomia dos estudantes da EJA. Constatou-se que o desafio não está apenas na adoção das tecnologias, mas em reconfigurar os </w:t>
      </w:r>
      <w:proofErr w:type="spellStart"/>
      <w:r w:rsidRPr="00FF37EC">
        <w:rPr>
          <w:rFonts w:ascii="Arial" w:eastAsia="Times New Roman" w:hAnsi="Arial" w:cs="Arial"/>
          <w:kern w:val="0"/>
          <w:sz w:val="24"/>
          <w:szCs w:val="24"/>
          <w:lang w:eastAsia="pt-BR"/>
          <w14:ligatures w14:val="none"/>
        </w:rPr>
        <w:t>AVAs</w:t>
      </w:r>
      <w:proofErr w:type="spellEnd"/>
      <w:r w:rsidRPr="00FF37EC">
        <w:rPr>
          <w:rFonts w:ascii="Arial" w:eastAsia="Times New Roman" w:hAnsi="Arial" w:cs="Arial"/>
          <w:kern w:val="0"/>
          <w:sz w:val="24"/>
          <w:szCs w:val="24"/>
          <w:lang w:eastAsia="pt-BR"/>
          <w14:ligatures w14:val="none"/>
        </w:rPr>
        <w:t xml:space="preserve"> sob a ótica da educação popular e da andragogia, de modo a reconhecer o estudante adulto como sujeito de saberes, experiências e necessidades próprias. Com base nas reflexões de Freire (199</w:t>
      </w:r>
      <w:r>
        <w:rPr>
          <w:rFonts w:ascii="Arial" w:eastAsia="Times New Roman" w:hAnsi="Arial" w:cs="Arial"/>
          <w:kern w:val="0"/>
          <w:sz w:val="24"/>
          <w:szCs w:val="24"/>
          <w:lang w:eastAsia="pt-BR"/>
          <w14:ligatures w14:val="none"/>
        </w:rPr>
        <w:t>9</w:t>
      </w:r>
      <w:r w:rsidRPr="00FF37EC">
        <w:rPr>
          <w:rFonts w:ascii="Arial" w:eastAsia="Times New Roman" w:hAnsi="Arial" w:cs="Arial"/>
          <w:kern w:val="0"/>
          <w:sz w:val="24"/>
          <w:szCs w:val="24"/>
          <w:lang w:eastAsia="pt-BR"/>
          <w14:ligatures w14:val="none"/>
        </w:rPr>
        <w:t>, 2000, 200</w:t>
      </w:r>
      <w:r>
        <w:rPr>
          <w:rFonts w:ascii="Arial" w:eastAsia="Times New Roman" w:hAnsi="Arial" w:cs="Arial"/>
          <w:kern w:val="0"/>
          <w:sz w:val="24"/>
          <w:szCs w:val="24"/>
          <w:lang w:eastAsia="pt-BR"/>
          <w14:ligatures w14:val="none"/>
        </w:rPr>
        <w:t>5</w:t>
      </w:r>
      <w:r w:rsidRPr="00FF37EC">
        <w:rPr>
          <w:rFonts w:ascii="Arial" w:eastAsia="Times New Roman" w:hAnsi="Arial" w:cs="Arial"/>
          <w:kern w:val="0"/>
          <w:sz w:val="24"/>
          <w:szCs w:val="24"/>
          <w:lang w:eastAsia="pt-BR"/>
          <w14:ligatures w14:val="none"/>
        </w:rPr>
        <w:t xml:space="preserve">) e Maturana (2009), reafirma-se que a convivência é eixo estruturante do aprender e do ser, sendo condição para a formação integral do indivíduo e para o exercício da cidadania crítica. Nesse sentido, os </w:t>
      </w:r>
      <w:proofErr w:type="spellStart"/>
      <w:r w:rsidRPr="00FF37EC">
        <w:rPr>
          <w:rFonts w:ascii="Arial" w:eastAsia="Times New Roman" w:hAnsi="Arial" w:cs="Arial"/>
          <w:kern w:val="0"/>
          <w:sz w:val="24"/>
          <w:szCs w:val="24"/>
          <w:lang w:eastAsia="pt-BR"/>
          <w14:ligatures w14:val="none"/>
        </w:rPr>
        <w:t>AVAs</w:t>
      </w:r>
      <w:proofErr w:type="spellEnd"/>
      <w:r w:rsidRPr="00FF37EC">
        <w:rPr>
          <w:rFonts w:ascii="Arial" w:eastAsia="Times New Roman" w:hAnsi="Arial" w:cs="Arial"/>
          <w:kern w:val="0"/>
          <w:sz w:val="24"/>
          <w:szCs w:val="24"/>
          <w:lang w:eastAsia="pt-BR"/>
          <w14:ligatures w14:val="none"/>
        </w:rPr>
        <w:t xml:space="preserve"> utilizados pelas escolas, sejam elas públicas ou particulares, não podem prescindir da dimensão humana da convivência, pois é nela que se constrói o sentido coletivo do conhecimento. Conclui-</w:t>
      </w:r>
      <w:r w:rsidRPr="00FF37EC">
        <w:rPr>
          <w:rFonts w:ascii="Arial" w:eastAsia="Times New Roman" w:hAnsi="Arial" w:cs="Arial"/>
          <w:kern w:val="0"/>
          <w:sz w:val="24"/>
          <w:szCs w:val="24"/>
          <w:lang w:eastAsia="pt-BR"/>
          <w14:ligatures w14:val="none"/>
        </w:rPr>
        <w:lastRenderedPageBreak/>
        <w:t xml:space="preserve">se que o fortalecimento das políticas públicas voltadas à EJA deve considerar a convivência como elemento pedagógico e social indissociável da aprendizagem. É necessário investir em formação docente específica, em recursos tecnológicos acessíveis e em modelos híbridos de ensino, capazes de equilibrar flexibilidade e interação humana. O estudo contribui para o debate sobre os limites e as potencialidades dos </w:t>
      </w:r>
      <w:proofErr w:type="spellStart"/>
      <w:r w:rsidRPr="00FF37EC">
        <w:rPr>
          <w:rFonts w:ascii="Arial" w:eastAsia="Times New Roman" w:hAnsi="Arial" w:cs="Arial"/>
          <w:kern w:val="0"/>
          <w:sz w:val="24"/>
          <w:szCs w:val="24"/>
          <w:lang w:eastAsia="pt-BR"/>
          <w14:ligatures w14:val="none"/>
        </w:rPr>
        <w:t>AVAs</w:t>
      </w:r>
      <w:proofErr w:type="spellEnd"/>
      <w:r w:rsidRPr="00FF37EC">
        <w:rPr>
          <w:rFonts w:ascii="Arial" w:eastAsia="Times New Roman" w:hAnsi="Arial" w:cs="Arial"/>
          <w:kern w:val="0"/>
          <w:sz w:val="24"/>
          <w:szCs w:val="24"/>
          <w:lang w:eastAsia="pt-BR"/>
          <w14:ligatures w14:val="none"/>
        </w:rPr>
        <w:t xml:space="preserve"> na EJA, ressaltando que a tecnologia só se torna educativa</w:t>
      </w:r>
      <w:r w:rsidRPr="00FF37EC">
        <w:rPr>
          <w:rFonts w:ascii="Arial" w:eastAsia="Times New Roman" w:hAnsi="Arial" w:cs="Arial"/>
          <w:b/>
          <w:bCs/>
          <w:kern w:val="0"/>
          <w:sz w:val="24"/>
          <w:szCs w:val="24"/>
          <w:lang w:eastAsia="pt-BR"/>
          <w14:ligatures w14:val="none"/>
        </w:rPr>
        <w:t xml:space="preserve"> </w:t>
      </w:r>
      <w:r w:rsidRPr="00FF37EC">
        <w:rPr>
          <w:rFonts w:ascii="Arial" w:eastAsia="Times New Roman" w:hAnsi="Arial" w:cs="Arial"/>
          <w:kern w:val="0"/>
          <w:sz w:val="24"/>
          <w:szCs w:val="24"/>
          <w:lang w:eastAsia="pt-BR"/>
          <w14:ligatures w14:val="none"/>
        </w:rPr>
        <w:t>quando</w:t>
      </w:r>
      <w:r w:rsidRPr="00FF37EC">
        <w:rPr>
          <w:rFonts w:ascii="Arial" w:eastAsia="Times New Roman" w:hAnsi="Arial" w:cs="Arial"/>
          <w:b/>
          <w:bCs/>
          <w:kern w:val="0"/>
          <w:sz w:val="24"/>
          <w:szCs w:val="24"/>
          <w:lang w:eastAsia="pt-BR"/>
          <w14:ligatures w14:val="none"/>
        </w:rPr>
        <w:t xml:space="preserve"> </w:t>
      </w:r>
      <w:r w:rsidRPr="00FF37EC">
        <w:rPr>
          <w:rFonts w:ascii="Arial" w:eastAsia="Times New Roman" w:hAnsi="Arial" w:cs="Arial"/>
          <w:kern w:val="0"/>
          <w:sz w:val="24"/>
          <w:szCs w:val="24"/>
          <w:lang w:eastAsia="pt-BR"/>
          <w14:ligatures w14:val="none"/>
        </w:rPr>
        <w:t>promove o encontro, o diálogo e a convivência</w:t>
      </w:r>
      <w:r>
        <w:rPr>
          <w:rFonts w:ascii="Arial" w:eastAsia="Times New Roman" w:hAnsi="Arial" w:cs="Arial"/>
          <w:kern w:val="0"/>
          <w:sz w:val="24"/>
          <w:szCs w:val="24"/>
          <w:lang w:eastAsia="pt-BR"/>
          <w14:ligatures w14:val="none"/>
        </w:rPr>
        <w:t xml:space="preserve">, </w:t>
      </w:r>
      <w:r w:rsidRPr="00FF37EC">
        <w:rPr>
          <w:rFonts w:ascii="Arial" w:eastAsia="Times New Roman" w:hAnsi="Arial" w:cs="Arial"/>
          <w:kern w:val="0"/>
          <w:sz w:val="24"/>
          <w:szCs w:val="24"/>
          <w:lang w:eastAsia="pt-BR"/>
          <w14:ligatures w14:val="none"/>
        </w:rPr>
        <w:t>fundamentos indispensáveis para a construção de uma educação libertadora e emancipatória.</w:t>
      </w:r>
    </w:p>
    <w:p w14:paraId="0858440D" w14:textId="77777777" w:rsidR="00FB15BE" w:rsidRDefault="00FB15BE" w:rsidP="00101D85">
      <w:pPr>
        <w:spacing w:line="240" w:lineRule="auto"/>
        <w:rPr>
          <w:rFonts w:ascii="Arial" w:hAnsi="Arial" w:cs="Arial"/>
          <w:b/>
          <w:bCs/>
          <w:sz w:val="24"/>
          <w:szCs w:val="24"/>
        </w:rPr>
      </w:pPr>
    </w:p>
    <w:p w14:paraId="7F32F155" w14:textId="540A6AAF" w:rsidR="006306D9" w:rsidRDefault="00707214" w:rsidP="004C446D">
      <w:pPr>
        <w:pStyle w:val="TtulosNoNumerados"/>
      </w:pPr>
      <w:r w:rsidRPr="00707214">
        <w:t>REFERÊNCIAS</w:t>
      </w:r>
      <w:r w:rsidR="00F97C22">
        <w:t xml:space="preserve"> </w:t>
      </w:r>
    </w:p>
    <w:p w14:paraId="4681A322" w14:textId="77777777" w:rsidR="00AF55AB" w:rsidRDefault="00AF55AB" w:rsidP="00FF4D6A">
      <w:pPr>
        <w:autoSpaceDE w:val="0"/>
        <w:autoSpaceDN w:val="0"/>
        <w:adjustRightInd w:val="0"/>
        <w:spacing w:line="240" w:lineRule="auto"/>
        <w:ind w:firstLine="0"/>
        <w:jc w:val="left"/>
        <w:rPr>
          <w:rFonts w:ascii="Arial" w:hAnsi="Arial" w:cs="Arial"/>
          <w:color w:val="000000"/>
          <w:sz w:val="24"/>
          <w:szCs w:val="24"/>
          <w:shd w:val="clear" w:color="auto" w:fill="FFFFFF"/>
        </w:rPr>
      </w:pPr>
    </w:p>
    <w:p w14:paraId="64B912AE" w14:textId="545E737F" w:rsidR="00FB15BE" w:rsidRPr="00FF37EC" w:rsidRDefault="00FB15BE" w:rsidP="00FF4D6A">
      <w:pPr>
        <w:autoSpaceDE w:val="0"/>
        <w:autoSpaceDN w:val="0"/>
        <w:adjustRightInd w:val="0"/>
        <w:spacing w:line="240" w:lineRule="auto"/>
        <w:ind w:firstLine="0"/>
        <w:jc w:val="left"/>
        <w:rPr>
          <w:rFonts w:ascii="Arial" w:hAnsi="Arial" w:cs="Arial"/>
          <w:color w:val="000000"/>
          <w:sz w:val="24"/>
          <w:szCs w:val="24"/>
          <w:shd w:val="clear" w:color="auto" w:fill="FFFFFF"/>
        </w:rPr>
      </w:pPr>
      <w:r w:rsidRPr="00FF37EC">
        <w:rPr>
          <w:rFonts w:ascii="Arial" w:hAnsi="Arial" w:cs="Arial"/>
          <w:color w:val="000000"/>
          <w:sz w:val="24"/>
          <w:szCs w:val="24"/>
          <w:shd w:val="clear" w:color="auto" w:fill="FFFFFF"/>
        </w:rPr>
        <w:t>AMARAL, A</w:t>
      </w:r>
      <w:r>
        <w:rPr>
          <w:rFonts w:ascii="Arial" w:hAnsi="Arial" w:cs="Arial"/>
          <w:color w:val="000000"/>
          <w:sz w:val="24"/>
          <w:szCs w:val="24"/>
          <w:shd w:val="clear" w:color="auto" w:fill="FFFFFF"/>
        </w:rPr>
        <w:t xml:space="preserve">. </w:t>
      </w:r>
      <w:r w:rsidRPr="00FF37EC">
        <w:rPr>
          <w:rFonts w:ascii="Arial" w:hAnsi="Arial" w:cs="Arial"/>
          <w:color w:val="000000"/>
          <w:sz w:val="24"/>
          <w:szCs w:val="24"/>
          <w:shd w:val="clear" w:color="auto" w:fill="FFFFFF"/>
        </w:rPr>
        <w:t>L</w:t>
      </w:r>
      <w:r>
        <w:rPr>
          <w:rFonts w:ascii="Arial" w:hAnsi="Arial" w:cs="Arial"/>
          <w:color w:val="000000"/>
          <w:sz w:val="24"/>
          <w:szCs w:val="24"/>
          <w:shd w:val="clear" w:color="auto" w:fill="FFFFFF"/>
        </w:rPr>
        <w:t xml:space="preserve">. </w:t>
      </w:r>
      <w:r w:rsidRPr="00FF37EC">
        <w:rPr>
          <w:rFonts w:ascii="Arial" w:hAnsi="Arial" w:cs="Arial"/>
          <w:color w:val="000000"/>
          <w:sz w:val="24"/>
          <w:szCs w:val="24"/>
          <w:shd w:val="clear" w:color="auto" w:fill="FFFFFF"/>
        </w:rPr>
        <w:t>N. GUERRA, L</w:t>
      </w:r>
      <w:r>
        <w:rPr>
          <w:rFonts w:ascii="Arial" w:hAnsi="Arial" w:cs="Arial"/>
          <w:color w:val="000000"/>
          <w:sz w:val="24"/>
          <w:szCs w:val="24"/>
          <w:shd w:val="clear" w:color="auto" w:fill="FFFFFF"/>
        </w:rPr>
        <w:t>.</w:t>
      </w:r>
      <w:r w:rsidRPr="00FF37EC">
        <w:rPr>
          <w:rFonts w:ascii="Arial" w:hAnsi="Arial" w:cs="Arial"/>
          <w:color w:val="000000"/>
          <w:sz w:val="24"/>
          <w:szCs w:val="24"/>
          <w:shd w:val="clear" w:color="auto" w:fill="FFFFFF"/>
        </w:rPr>
        <w:t xml:space="preserve"> B</w:t>
      </w:r>
      <w:r>
        <w:rPr>
          <w:rFonts w:ascii="Arial" w:hAnsi="Arial" w:cs="Arial"/>
          <w:color w:val="000000"/>
          <w:sz w:val="24"/>
          <w:szCs w:val="24"/>
          <w:shd w:val="clear" w:color="auto" w:fill="FFFFFF"/>
        </w:rPr>
        <w:t>.</w:t>
      </w:r>
      <w:r w:rsidRPr="00FF37EC">
        <w:rPr>
          <w:rFonts w:ascii="Arial" w:hAnsi="Arial" w:cs="Arial"/>
          <w:color w:val="000000"/>
          <w:sz w:val="24"/>
          <w:szCs w:val="24"/>
          <w:shd w:val="clear" w:color="auto" w:fill="FFFFFF"/>
        </w:rPr>
        <w:t xml:space="preserve"> Serviço Social da Indústria. Departamento Nacional. </w:t>
      </w:r>
      <w:r w:rsidRPr="00673CE6">
        <w:rPr>
          <w:rFonts w:ascii="Arial" w:hAnsi="Arial" w:cs="Arial"/>
          <w:b/>
          <w:bCs/>
          <w:color w:val="000000"/>
          <w:sz w:val="24"/>
          <w:szCs w:val="24"/>
          <w:shd w:val="clear" w:color="auto" w:fill="FFFFFF"/>
        </w:rPr>
        <w:t>Neurociência e educação</w:t>
      </w:r>
      <w:r w:rsidRPr="00FF37EC">
        <w:rPr>
          <w:rFonts w:ascii="Arial" w:hAnsi="Arial" w:cs="Arial"/>
          <w:color w:val="000000"/>
          <w:sz w:val="24"/>
          <w:szCs w:val="24"/>
          <w:shd w:val="clear" w:color="auto" w:fill="FFFFFF"/>
        </w:rPr>
        <w:t>: olhando para o futuro da aprendizagem</w:t>
      </w:r>
      <w:r>
        <w:rPr>
          <w:rFonts w:ascii="Arial" w:hAnsi="Arial" w:cs="Arial"/>
          <w:color w:val="000000"/>
          <w:sz w:val="24"/>
          <w:szCs w:val="24"/>
          <w:shd w:val="clear" w:color="auto" w:fill="FFFFFF"/>
        </w:rPr>
        <w:t>.</w:t>
      </w:r>
      <w:r w:rsidRPr="00FF37EC">
        <w:rPr>
          <w:rFonts w:ascii="Arial" w:hAnsi="Arial" w:cs="Arial"/>
          <w:color w:val="000000"/>
          <w:sz w:val="24"/>
          <w:szCs w:val="24"/>
          <w:shd w:val="clear" w:color="auto" w:fill="FFFFFF"/>
        </w:rPr>
        <w:t xml:space="preserve"> Brasília: SESI/DN, 2022. </w:t>
      </w:r>
    </w:p>
    <w:p w14:paraId="2B0E8D15" w14:textId="77777777" w:rsidR="00FB15BE" w:rsidRPr="00FF37EC" w:rsidRDefault="00FB15BE" w:rsidP="00FF4D6A">
      <w:pPr>
        <w:autoSpaceDE w:val="0"/>
        <w:autoSpaceDN w:val="0"/>
        <w:adjustRightInd w:val="0"/>
        <w:spacing w:line="240" w:lineRule="auto"/>
        <w:jc w:val="left"/>
        <w:rPr>
          <w:rFonts w:ascii="Arial" w:hAnsi="Arial" w:cs="Arial"/>
          <w:color w:val="000000"/>
          <w:sz w:val="24"/>
          <w:szCs w:val="24"/>
          <w:shd w:val="clear" w:color="auto" w:fill="FFFFFF"/>
        </w:rPr>
      </w:pPr>
    </w:p>
    <w:p w14:paraId="6847195F" w14:textId="77777777"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 xml:space="preserve">BARDIN, L. </w:t>
      </w:r>
      <w:r w:rsidRPr="00FF37EC">
        <w:rPr>
          <w:rFonts w:ascii="Arial" w:hAnsi="Arial" w:cs="Arial"/>
          <w:b/>
          <w:sz w:val="24"/>
          <w:szCs w:val="24"/>
        </w:rPr>
        <w:t>Análise de Conteúdo</w:t>
      </w:r>
      <w:r w:rsidRPr="00FF37EC">
        <w:rPr>
          <w:rFonts w:ascii="Arial" w:hAnsi="Arial" w:cs="Arial"/>
          <w:sz w:val="24"/>
          <w:szCs w:val="24"/>
        </w:rPr>
        <w:t>. São Paulo: Edições 70, 2016.</w:t>
      </w:r>
    </w:p>
    <w:p w14:paraId="7FD2D277" w14:textId="77777777" w:rsidR="00FB15BE" w:rsidRDefault="00FB15BE" w:rsidP="00FF4D6A">
      <w:pPr>
        <w:spacing w:line="240" w:lineRule="auto"/>
        <w:ind w:firstLine="0"/>
        <w:jc w:val="left"/>
        <w:rPr>
          <w:rFonts w:ascii="Arial" w:hAnsi="Arial" w:cs="Arial"/>
          <w:sz w:val="24"/>
          <w:szCs w:val="24"/>
        </w:rPr>
      </w:pPr>
      <w:bookmarkStart w:id="0" w:name="_Hlk212915439"/>
      <w:r w:rsidRPr="00673CE6">
        <w:rPr>
          <w:rFonts w:ascii="Arial" w:hAnsi="Arial" w:cs="Arial"/>
          <w:sz w:val="24"/>
          <w:szCs w:val="24"/>
        </w:rPr>
        <w:t>CONSELHO NACIONAL DE EDUCAÇÃO</w:t>
      </w:r>
      <w:r>
        <w:rPr>
          <w:rFonts w:ascii="Arial" w:hAnsi="Arial" w:cs="Arial"/>
          <w:sz w:val="24"/>
          <w:szCs w:val="24"/>
        </w:rPr>
        <w:t xml:space="preserve"> (Brasil). </w:t>
      </w:r>
      <w:r w:rsidRPr="00673CE6">
        <w:rPr>
          <w:rStyle w:val="nfase"/>
          <w:rFonts w:ascii="Arial" w:hAnsi="Arial" w:cs="Arial"/>
          <w:sz w:val="24"/>
          <w:szCs w:val="24"/>
        </w:rPr>
        <w:t>Resolução CNE/CEB nº 1, de 28 de maio de 202</w:t>
      </w:r>
      <w:r>
        <w:rPr>
          <w:rStyle w:val="nfase"/>
          <w:rFonts w:ascii="Arial" w:hAnsi="Arial" w:cs="Arial"/>
          <w:sz w:val="24"/>
          <w:szCs w:val="24"/>
        </w:rPr>
        <w:t xml:space="preserve">. </w:t>
      </w:r>
      <w:r w:rsidRPr="00934618">
        <w:rPr>
          <w:rStyle w:val="nfase"/>
          <w:rFonts w:ascii="Arial" w:hAnsi="Arial" w:cs="Arial"/>
          <w:i w:val="0"/>
          <w:iCs w:val="0"/>
          <w:sz w:val="24"/>
          <w:szCs w:val="24"/>
        </w:rPr>
        <w:t>Institui Diretrizes Operacionais para a Educação de Jovens e Adultos</w:t>
      </w:r>
      <w:r w:rsidRPr="00673CE6">
        <w:rPr>
          <w:rStyle w:val="nfase"/>
          <w:rFonts w:ascii="Arial" w:hAnsi="Arial" w:cs="Arial"/>
          <w:sz w:val="24"/>
          <w:szCs w:val="24"/>
        </w:rPr>
        <w:t xml:space="preserve"> </w:t>
      </w:r>
      <w:r>
        <w:rPr>
          <w:rStyle w:val="nfase"/>
          <w:rFonts w:ascii="Arial" w:hAnsi="Arial" w:cs="Arial"/>
          <w:i w:val="0"/>
          <w:iCs w:val="0"/>
          <w:sz w:val="24"/>
          <w:szCs w:val="24"/>
        </w:rPr>
        <w:t>[...]</w:t>
      </w:r>
      <w:r w:rsidRPr="00673CE6">
        <w:rPr>
          <w:rFonts w:ascii="Arial" w:hAnsi="Arial" w:cs="Arial"/>
          <w:i/>
          <w:iCs/>
          <w:sz w:val="24"/>
          <w:szCs w:val="24"/>
        </w:rPr>
        <w:t>.</w:t>
      </w:r>
      <w:r w:rsidRPr="00673CE6">
        <w:rPr>
          <w:rFonts w:ascii="Arial" w:hAnsi="Arial" w:cs="Arial"/>
          <w:sz w:val="24"/>
          <w:szCs w:val="24"/>
        </w:rPr>
        <w:t xml:space="preserve"> </w:t>
      </w:r>
      <w:r w:rsidRPr="00673CE6">
        <w:rPr>
          <w:rFonts w:ascii="Arial" w:hAnsi="Arial" w:cs="Arial"/>
          <w:b/>
          <w:bCs/>
          <w:sz w:val="24"/>
          <w:szCs w:val="24"/>
        </w:rPr>
        <w:t>Diário Oficial da União</w:t>
      </w:r>
      <w:r w:rsidRPr="00673CE6">
        <w:rPr>
          <w:rFonts w:ascii="Arial" w:hAnsi="Arial" w:cs="Arial"/>
          <w:sz w:val="24"/>
          <w:szCs w:val="24"/>
        </w:rPr>
        <w:t xml:space="preserve">, Brasília, DF, 2021. Disponível em: </w:t>
      </w:r>
      <w:hyperlink r:id="rId8" w:history="1">
        <w:r w:rsidRPr="00673CE6">
          <w:rPr>
            <w:rStyle w:val="Hyperlink"/>
            <w:rFonts w:ascii="Arial" w:hAnsi="Arial" w:cs="Arial"/>
            <w:sz w:val="24"/>
            <w:szCs w:val="24"/>
          </w:rPr>
          <w:t>https://portal.mec.gov.br/secretaria-de-regulacao-e-supervisao-da-educacao-superior-seres/30000-uncategorised/90871-resolucoes-ceb-2021</w:t>
        </w:r>
      </w:hyperlink>
      <w:r w:rsidRPr="00673CE6">
        <w:rPr>
          <w:rFonts w:ascii="Arial" w:hAnsi="Arial" w:cs="Arial"/>
          <w:sz w:val="24"/>
          <w:szCs w:val="24"/>
        </w:rPr>
        <w:t>. Acesso em</w:t>
      </w:r>
      <w:r>
        <w:rPr>
          <w:rFonts w:ascii="Arial" w:hAnsi="Arial" w:cs="Arial"/>
          <w:sz w:val="24"/>
          <w:szCs w:val="24"/>
        </w:rPr>
        <w:t>:</w:t>
      </w:r>
      <w:r w:rsidRPr="00673CE6">
        <w:rPr>
          <w:rFonts w:ascii="Arial" w:hAnsi="Arial" w:cs="Arial"/>
          <w:sz w:val="24"/>
          <w:szCs w:val="24"/>
        </w:rPr>
        <w:t xml:space="preserve"> 23 maio 2024.</w:t>
      </w:r>
    </w:p>
    <w:p w14:paraId="55E111CB" w14:textId="77777777" w:rsidR="00FB15BE" w:rsidRDefault="00FB15BE" w:rsidP="00FF4D6A">
      <w:pPr>
        <w:spacing w:line="240" w:lineRule="auto"/>
        <w:jc w:val="left"/>
        <w:rPr>
          <w:rFonts w:ascii="Arial" w:hAnsi="Arial" w:cs="Arial"/>
          <w:sz w:val="24"/>
          <w:szCs w:val="24"/>
        </w:rPr>
      </w:pPr>
    </w:p>
    <w:p w14:paraId="36748E9C" w14:textId="77777777" w:rsidR="00FB15BE" w:rsidRDefault="00FB15BE" w:rsidP="00FF4D6A">
      <w:pPr>
        <w:spacing w:line="240" w:lineRule="auto"/>
        <w:ind w:firstLine="0"/>
        <w:jc w:val="left"/>
        <w:rPr>
          <w:rFonts w:ascii="Arial" w:hAnsi="Arial" w:cs="Arial"/>
          <w:sz w:val="24"/>
          <w:szCs w:val="24"/>
        </w:rPr>
      </w:pPr>
      <w:r w:rsidRPr="00673CE6">
        <w:rPr>
          <w:rFonts w:ascii="Arial" w:hAnsi="Arial" w:cs="Arial"/>
          <w:sz w:val="24"/>
          <w:szCs w:val="24"/>
        </w:rPr>
        <w:t>CONSELHO NACIONAL DE EDUCAÇÃO</w:t>
      </w:r>
      <w:r>
        <w:rPr>
          <w:rFonts w:ascii="Arial" w:hAnsi="Arial" w:cs="Arial"/>
          <w:sz w:val="24"/>
          <w:szCs w:val="24"/>
        </w:rPr>
        <w:t xml:space="preserve"> (Brasil). </w:t>
      </w:r>
      <w:r w:rsidRPr="00673CE6">
        <w:rPr>
          <w:rStyle w:val="nfase"/>
          <w:rFonts w:ascii="Arial" w:hAnsi="Arial" w:cs="Arial"/>
          <w:sz w:val="24"/>
          <w:szCs w:val="24"/>
        </w:rPr>
        <w:t xml:space="preserve">Resolução CNE/CEB nº </w:t>
      </w:r>
      <w:r>
        <w:rPr>
          <w:rStyle w:val="nfase"/>
          <w:rFonts w:ascii="Arial" w:hAnsi="Arial" w:cs="Arial"/>
          <w:sz w:val="24"/>
          <w:szCs w:val="24"/>
        </w:rPr>
        <w:t>3</w:t>
      </w:r>
      <w:r w:rsidRPr="00673CE6">
        <w:rPr>
          <w:rStyle w:val="nfase"/>
          <w:rFonts w:ascii="Arial" w:hAnsi="Arial" w:cs="Arial"/>
          <w:sz w:val="24"/>
          <w:szCs w:val="24"/>
        </w:rPr>
        <w:t xml:space="preserve">, de </w:t>
      </w:r>
      <w:r>
        <w:rPr>
          <w:rStyle w:val="nfase"/>
          <w:rFonts w:ascii="Arial" w:hAnsi="Arial" w:cs="Arial"/>
          <w:sz w:val="24"/>
          <w:szCs w:val="24"/>
        </w:rPr>
        <w:t xml:space="preserve">8 de abril de 2025. </w:t>
      </w:r>
      <w:r w:rsidRPr="00CC12FE">
        <w:rPr>
          <w:rFonts w:ascii="Arial" w:hAnsi="Arial" w:cs="Arial"/>
          <w:sz w:val="24"/>
          <w:szCs w:val="24"/>
        </w:rPr>
        <w:t>Institui as Diretrizes Operacionais Nacionais para a Educação de Jovens e Adultos – EJA.</w:t>
      </w:r>
      <w:r>
        <w:rPr>
          <w:rFonts w:ascii="Arial" w:hAnsi="Arial" w:cs="Arial"/>
          <w:sz w:val="24"/>
          <w:szCs w:val="24"/>
        </w:rPr>
        <w:t xml:space="preserve"> </w:t>
      </w:r>
      <w:r w:rsidRPr="00673CE6">
        <w:rPr>
          <w:rFonts w:ascii="Arial" w:hAnsi="Arial" w:cs="Arial"/>
          <w:b/>
          <w:bCs/>
          <w:sz w:val="24"/>
          <w:szCs w:val="24"/>
        </w:rPr>
        <w:t>Diário Oficial da União</w:t>
      </w:r>
      <w:r w:rsidRPr="00673CE6">
        <w:rPr>
          <w:rFonts w:ascii="Arial" w:hAnsi="Arial" w:cs="Arial"/>
          <w:sz w:val="24"/>
          <w:szCs w:val="24"/>
        </w:rPr>
        <w:t xml:space="preserve">, Brasília, DF, </w:t>
      </w:r>
      <w:r>
        <w:rPr>
          <w:rFonts w:ascii="Arial" w:hAnsi="Arial" w:cs="Arial"/>
          <w:sz w:val="24"/>
          <w:szCs w:val="24"/>
        </w:rPr>
        <w:t xml:space="preserve">2025. </w:t>
      </w:r>
      <w:r w:rsidRPr="00673CE6">
        <w:rPr>
          <w:rFonts w:ascii="Arial" w:hAnsi="Arial" w:cs="Arial"/>
          <w:sz w:val="24"/>
          <w:szCs w:val="24"/>
        </w:rPr>
        <w:t>Disponível em</w:t>
      </w:r>
      <w:r>
        <w:rPr>
          <w:rFonts w:ascii="Arial" w:hAnsi="Arial" w:cs="Arial"/>
          <w:sz w:val="24"/>
          <w:szCs w:val="24"/>
        </w:rPr>
        <w:t xml:space="preserve">: </w:t>
      </w:r>
      <w:r w:rsidRPr="00CC12FE">
        <w:rPr>
          <w:rFonts w:ascii="Arial" w:hAnsi="Arial" w:cs="Arial"/>
          <w:sz w:val="24"/>
          <w:szCs w:val="24"/>
        </w:rPr>
        <w:t>https://www.gov.br/mec/pt-br/cne/2025/abril/rceb003_25.pdf</w:t>
      </w:r>
      <w:r w:rsidRPr="00673CE6">
        <w:rPr>
          <w:rFonts w:ascii="Arial" w:hAnsi="Arial" w:cs="Arial"/>
          <w:sz w:val="24"/>
          <w:szCs w:val="24"/>
        </w:rPr>
        <w:t>. Acesso em</w:t>
      </w:r>
      <w:r>
        <w:rPr>
          <w:rFonts w:ascii="Arial" w:hAnsi="Arial" w:cs="Arial"/>
          <w:sz w:val="24"/>
          <w:szCs w:val="24"/>
        </w:rPr>
        <w:t>:</w:t>
      </w:r>
      <w:r w:rsidRPr="00673CE6">
        <w:rPr>
          <w:rFonts w:ascii="Arial" w:hAnsi="Arial" w:cs="Arial"/>
          <w:sz w:val="24"/>
          <w:szCs w:val="24"/>
        </w:rPr>
        <w:t xml:space="preserve"> 23 maio 2024.</w:t>
      </w:r>
    </w:p>
    <w:p w14:paraId="308FC5CC" w14:textId="77777777" w:rsidR="00FB15BE" w:rsidRPr="00FF37EC" w:rsidRDefault="00FB15BE" w:rsidP="00FF4D6A">
      <w:pPr>
        <w:spacing w:line="240" w:lineRule="auto"/>
        <w:jc w:val="left"/>
        <w:rPr>
          <w:rFonts w:ascii="Arial" w:hAnsi="Arial" w:cs="Arial"/>
          <w:sz w:val="24"/>
          <w:szCs w:val="24"/>
        </w:rPr>
      </w:pPr>
    </w:p>
    <w:bookmarkEnd w:id="0"/>
    <w:p w14:paraId="16A3F5C2" w14:textId="77777777"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CHECHI</w:t>
      </w:r>
      <w:r>
        <w:rPr>
          <w:rFonts w:ascii="Arial" w:hAnsi="Arial" w:cs="Arial"/>
          <w:sz w:val="24"/>
          <w:szCs w:val="24"/>
        </w:rPr>
        <w:t xml:space="preserve">, </w:t>
      </w:r>
      <w:r w:rsidRPr="00FF37EC">
        <w:rPr>
          <w:rFonts w:ascii="Arial" w:hAnsi="Arial" w:cs="Arial"/>
          <w:sz w:val="24"/>
          <w:szCs w:val="24"/>
        </w:rPr>
        <w:t>M</w:t>
      </w:r>
      <w:r>
        <w:rPr>
          <w:rFonts w:ascii="Arial" w:hAnsi="Arial" w:cs="Arial"/>
          <w:sz w:val="24"/>
          <w:szCs w:val="24"/>
        </w:rPr>
        <w:t xml:space="preserve">. </w:t>
      </w:r>
      <w:r w:rsidRPr="00FF37EC">
        <w:rPr>
          <w:rFonts w:ascii="Arial" w:hAnsi="Arial" w:cs="Arial"/>
          <w:sz w:val="24"/>
          <w:szCs w:val="24"/>
        </w:rPr>
        <w:t>R</w:t>
      </w:r>
      <w:r>
        <w:rPr>
          <w:rFonts w:ascii="Arial" w:hAnsi="Arial" w:cs="Arial"/>
          <w:sz w:val="24"/>
          <w:szCs w:val="24"/>
        </w:rPr>
        <w:t xml:space="preserve">.; </w:t>
      </w:r>
      <w:r w:rsidRPr="00FF37EC">
        <w:rPr>
          <w:rFonts w:ascii="Arial" w:hAnsi="Arial" w:cs="Arial"/>
          <w:sz w:val="24"/>
          <w:szCs w:val="24"/>
        </w:rPr>
        <w:t>LOPES</w:t>
      </w:r>
      <w:r>
        <w:rPr>
          <w:rFonts w:ascii="Arial" w:hAnsi="Arial" w:cs="Arial"/>
          <w:sz w:val="24"/>
          <w:szCs w:val="24"/>
        </w:rPr>
        <w:t xml:space="preserve">, </w:t>
      </w:r>
      <w:r w:rsidRPr="00FF37EC">
        <w:rPr>
          <w:rFonts w:ascii="Arial" w:hAnsi="Arial" w:cs="Arial"/>
          <w:sz w:val="24"/>
          <w:szCs w:val="24"/>
        </w:rPr>
        <w:t>R</w:t>
      </w:r>
      <w:r>
        <w:rPr>
          <w:rFonts w:ascii="Arial" w:hAnsi="Arial" w:cs="Arial"/>
          <w:sz w:val="24"/>
          <w:szCs w:val="24"/>
        </w:rPr>
        <w:t xml:space="preserve">. </w:t>
      </w:r>
      <w:r w:rsidRPr="00FF37EC">
        <w:rPr>
          <w:rFonts w:ascii="Arial" w:hAnsi="Arial" w:cs="Arial"/>
          <w:sz w:val="24"/>
          <w:szCs w:val="24"/>
        </w:rPr>
        <w:t>M. A utilização das tecnologias e ambiente virtual de aprendizagem na Educação de jovens e adultos. </w:t>
      </w:r>
      <w:r w:rsidRPr="00FF37EC">
        <w:rPr>
          <w:rFonts w:ascii="Arial" w:hAnsi="Arial" w:cs="Arial"/>
          <w:b/>
          <w:bCs/>
          <w:sz w:val="24"/>
          <w:szCs w:val="24"/>
        </w:rPr>
        <w:t>Dialogia</w:t>
      </w:r>
      <w:r w:rsidRPr="00FF37EC">
        <w:rPr>
          <w:rFonts w:ascii="Arial" w:hAnsi="Arial" w:cs="Arial"/>
          <w:sz w:val="24"/>
          <w:szCs w:val="24"/>
        </w:rPr>
        <w:t>, n. 41, p. e21460, 2022. Disponível em: https://periodicos.uninove.br/dialogia/article/view/21460. Acesso em: 24 jul. 2025.</w:t>
      </w:r>
    </w:p>
    <w:p w14:paraId="2B17D45E" w14:textId="77777777" w:rsidR="00FB15BE" w:rsidRPr="00FF37EC" w:rsidRDefault="00FB15BE" w:rsidP="00FF4D6A">
      <w:pPr>
        <w:spacing w:line="240" w:lineRule="auto"/>
        <w:jc w:val="left"/>
        <w:rPr>
          <w:rFonts w:ascii="Arial" w:hAnsi="Arial" w:cs="Arial"/>
          <w:sz w:val="24"/>
          <w:szCs w:val="24"/>
        </w:rPr>
      </w:pPr>
    </w:p>
    <w:p w14:paraId="4C3AD92A" w14:textId="00DBD560"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 xml:space="preserve">DEMO, P. Aprendizagens e Novas Tecnologias. </w:t>
      </w:r>
      <w:r w:rsidRPr="006F265C">
        <w:rPr>
          <w:rFonts w:ascii="Arial" w:hAnsi="Arial" w:cs="Arial"/>
          <w:b/>
          <w:bCs/>
          <w:sz w:val="24"/>
          <w:szCs w:val="24"/>
        </w:rPr>
        <w:t>Revista Brasileira de Docência, Ensino e Pesquisa em Educação Física</w:t>
      </w:r>
      <w:r>
        <w:rPr>
          <w:rFonts w:ascii="Arial" w:hAnsi="Arial" w:cs="Arial"/>
          <w:b/>
          <w:bCs/>
          <w:sz w:val="24"/>
          <w:szCs w:val="24"/>
        </w:rPr>
        <w:t xml:space="preserve">, </w:t>
      </w:r>
      <w:r w:rsidRPr="006F265C">
        <w:rPr>
          <w:rFonts w:ascii="Arial" w:hAnsi="Arial" w:cs="Arial"/>
          <w:sz w:val="24"/>
          <w:szCs w:val="24"/>
        </w:rPr>
        <w:t>v.</w:t>
      </w:r>
      <w:r>
        <w:rPr>
          <w:rFonts w:ascii="Arial" w:hAnsi="Arial" w:cs="Arial"/>
          <w:b/>
          <w:bCs/>
          <w:sz w:val="24"/>
          <w:szCs w:val="24"/>
        </w:rPr>
        <w:t xml:space="preserve"> </w:t>
      </w:r>
      <w:r w:rsidRPr="00FF37EC">
        <w:rPr>
          <w:rFonts w:ascii="Arial" w:hAnsi="Arial" w:cs="Arial"/>
          <w:sz w:val="24"/>
          <w:szCs w:val="24"/>
        </w:rPr>
        <w:t xml:space="preserve">1, n. 1, p.53-75, agosto/2009. Disponível em: </w:t>
      </w:r>
      <w:hyperlink r:id="rId9" w:history="1">
        <w:r w:rsidRPr="00D91CC8">
          <w:rPr>
            <w:rStyle w:val="Hyperlink"/>
            <w:rFonts w:ascii="Arial" w:hAnsi="Arial" w:cs="Arial"/>
            <w:sz w:val="24"/>
            <w:szCs w:val="24"/>
          </w:rPr>
          <w:t>https://hugoribeiro.com.br/biblioteca-digital/Demo-Aprendizagens_novas_tecnologias.pdf</w:t>
        </w:r>
      </w:hyperlink>
      <w:r w:rsidRPr="00FF37EC">
        <w:rPr>
          <w:rFonts w:ascii="Arial" w:hAnsi="Arial" w:cs="Arial"/>
          <w:sz w:val="24"/>
          <w:szCs w:val="24"/>
        </w:rPr>
        <w:t>. Acesso em</w:t>
      </w:r>
      <w:r>
        <w:rPr>
          <w:rFonts w:ascii="Arial" w:hAnsi="Arial" w:cs="Arial"/>
          <w:sz w:val="24"/>
          <w:szCs w:val="24"/>
        </w:rPr>
        <w:t>:</w:t>
      </w:r>
      <w:r w:rsidRPr="00FF37EC">
        <w:rPr>
          <w:rFonts w:ascii="Arial" w:hAnsi="Arial" w:cs="Arial"/>
          <w:sz w:val="24"/>
          <w:szCs w:val="24"/>
        </w:rPr>
        <w:t xml:space="preserve"> 14 de agosto de 2025.</w:t>
      </w:r>
    </w:p>
    <w:p w14:paraId="7A69791B" w14:textId="77777777" w:rsidR="00FF4D6A" w:rsidRDefault="00FF4D6A" w:rsidP="00FF4D6A">
      <w:pPr>
        <w:spacing w:line="240" w:lineRule="auto"/>
        <w:ind w:firstLine="0"/>
        <w:jc w:val="left"/>
        <w:rPr>
          <w:rFonts w:ascii="Arial" w:hAnsi="Arial" w:cs="Arial"/>
          <w:sz w:val="24"/>
          <w:szCs w:val="24"/>
        </w:rPr>
      </w:pPr>
    </w:p>
    <w:p w14:paraId="7A8AD2A8" w14:textId="5AB204A8" w:rsidR="00FB15BE" w:rsidRDefault="00FB15BE" w:rsidP="00FF4D6A">
      <w:pPr>
        <w:spacing w:line="240" w:lineRule="auto"/>
        <w:ind w:firstLine="0"/>
        <w:jc w:val="left"/>
        <w:rPr>
          <w:rFonts w:ascii="Arial" w:hAnsi="Arial" w:cs="Arial"/>
          <w:color w:val="000000"/>
          <w:sz w:val="24"/>
          <w:szCs w:val="24"/>
        </w:rPr>
      </w:pPr>
      <w:r w:rsidRPr="00FF37EC">
        <w:rPr>
          <w:rFonts w:ascii="Arial" w:hAnsi="Arial" w:cs="Arial"/>
          <w:color w:val="000000"/>
          <w:sz w:val="24"/>
          <w:szCs w:val="24"/>
        </w:rPr>
        <w:t xml:space="preserve">DI PIERRO. M. C.; JOIA, O.; RIBEIRO. V. M. Visões da Educação de jovens e adultos no Brasil, </w:t>
      </w:r>
      <w:r w:rsidRPr="00FF37EC">
        <w:rPr>
          <w:rFonts w:ascii="Arial" w:hAnsi="Arial" w:cs="Arial"/>
          <w:b/>
          <w:bCs/>
          <w:color w:val="000000"/>
          <w:sz w:val="24"/>
          <w:szCs w:val="24"/>
        </w:rPr>
        <w:t>Cadernos Cedes</w:t>
      </w:r>
      <w:r w:rsidRPr="00FF37EC">
        <w:rPr>
          <w:rFonts w:ascii="Arial" w:hAnsi="Arial" w:cs="Arial"/>
          <w:color w:val="000000"/>
          <w:sz w:val="24"/>
          <w:szCs w:val="24"/>
        </w:rPr>
        <w:t>, ano 21, n. 55, p. 58-77, nov. 2001.</w:t>
      </w:r>
    </w:p>
    <w:p w14:paraId="3A458099" w14:textId="77777777" w:rsidR="00FF4D6A" w:rsidRDefault="00FF4D6A" w:rsidP="00FF4D6A">
      <w:pPr>
        <w:spacing w:line="240" w:lineRule="auto"/>
        <w:ind w:firstLine="0"/>
        <w:jc w:val="left"/>
        <w:rPr>
          <w:rFonts w:ascii="Arial" w:hAnsi="Arial" w:cs="Arial"/>
          <w:color w:val="000000"/>
          <w:sz w:val="24"/>
          <w:szCs w:val="24"/>
        </w:rPr>
      </w:pPr>
    </w:p>
    <w:p w14:paraId="05D31D4D" w14:textId="3B5801B0"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 xml:space="preserve">FREIRE, P. </w:t>
      </w:r>
      <w:r w:rsidRPr="006F265C">
        <w:rPr>
          <w:rFonts w:ascii="Arial" w:hAnsi="Arial" w:cs="Arial"/>
          <w:b/>
          <w:bCs/>
          <w:sz w:val="24"/>
          <w:szCs w:val="24"/>
        </w:rPr>
        <w:t>Pedagogia da autonomia</w:t>
      </w:r>
      <w:r w:rsidRPr="00FF37EC">
        <w:rPr>
          <w:rFonts w:ascii="Arial" w:hAnsi="Arial" w:cs="Arial"/>
          <w:sz w:val="24"/>
          <w:szCs w:val="24"/>
        </w:rPr>
        <w:t>. 13</w:t>
      </w:r>
      <w:r>
        <w:rPr>
          <w:rFonts w:ascii="Arial" w:hAnsi="Arial" w:cs="Arial"/>
          <w:sz w:val="24"/>
          <w:szCs w:val="24"/>
        </w:rPr>
        <w:t xml:space="preserve">. ed. </w:t>
      </w:r>
      <w:r w:rsidRPr="00FF37EC">
        <w:rPr>
          <w:rFonts w:ascii="Arial" w:hAnsi="Arial" w:cs="Arial"/>
          <w:sz w:val="24"/>
          <w:szCs w:val="24"/>
        </w:rPr>
        <w:t>São Paulo: Paz e Terra, 1999.</w:t>
      </w:r>
    </w:p>
    <w:p w14:paraId="56D76A7C" w14:textId="77777777" w:rsidR="00FF4D6A" w:rsidRDefault="00FF4D6A" w:rsidP="00FF4D6A">
      <w:pPr>
        <w:spacing w:line="240" w:lineRule="auto"/>
        <w:ind w:firstLine="0"/>
        <w:jc w:val="left"/>
        <w:rPr>
          <w:rFonts w:ascii="Arial" w:hAnsi="Arial" w:cs="Arial"/>
          <w:sz w:val="24"/>
          <w:szCs w:val="24"/>
        </w:rPr>
      </w:pPr>
    </w:p>
    <w:p w14:paraId="1FCB8871" w14:textId="17634840" w:rsidR="00FB15BE" w:rsidRDefault="00FB15BE" w:rsidP="00FF4D6A">
      <w:pPr>
        <w:spacing w:line="240" w:lineRule="auto"/>
        <w:ind w:firstLine="0"/>
        <w:jc w:val="left"/>
        <w:rPr>
          <w:rFonts w:ascii="Arial" w:hAnsi="Arial" w:cs="Arial"/>
          <w:sz w:val="24"/>
          <w:szCs w:val="24"/>
          <w:shd w:val="clear" w:color="auto" w:fill="FFFFFF"/>
        </w:rPr>
      </w:pPr>
      <w:r w:rsidRPr="00FF37EC">
        <w:rPr>
          <w:rFonts w:ascii="Arial" w:hAnsi="Arial" w:cs="Arial"/>
          <w:sz w:val="24"/>
          <w:szCs w:val="24"/>
        </w:rPr>
        <w:lastRenderedPageBreak/>
        <w:t xml:space="preserve">FREIRE, Paulo. </w:t>
      </w:r>
      <w:r w:rsidRPr="006F265C">
        <w:rPr>
          <w:rFonts w:ascii="Arial" w:hAnsi="Arial" w:cs="Arial"/>
          <w:b/>
          <w:bCs/>
          <w:sz w:val="24"/>
          <w:szCs w:val="24"/>
        </w:rPr>
        <w:t>Pedagogia da indignação</w:t>
      </w:r>
      <w:r w:rsidRPr="00FF37EC">
        <w:rPr>
          <w:rFonts w:ascii="Arial" w:hAnsi="Arial" w:cs="Arial"/>
          <w:sz w:val="24"/>
          <w:szCs w:val="24"/>
        </w:rPr>
        <w:t>: cartas pedagógicas e outros escritos</w:t>
      </w:r>
      <w:r w:rsidRPr="00FF37EC">
        <w:rPr>
          <w:rFonts w:ascii="Arial" w:hAnsi="Arial" w:cs="Arial"/>
          <w:sz w:val="24"/>
          <w:szCs w:val="24"/>
          <w:shd w:val="clear" w:color="auto" w:fill="FFFFFF"/>
        </w:rPr>
        <w:t>. São Paulo: Editora UNESP, 2000.</w:t>
      </w:r>
    </w:p>
    <w:p w14:paraId="6D3572F0" w14:textId="77777777" w:rsidR="00FF4D6A" w:rsidRDefault="00FF4D6A" w:rsidP="00FF4D6A">
      <w:pPr>
        <w:spacing w:line="240" w:lineRule="auto"/>
        <w:ind w:firstLine="0"/>
        <w:jc w:val="left"/>
        <w:rPr>
          <w:rFonts w:ascii="Arial" w:hAnsi="Arial" w:cs="Arial"/>
          <w:sz w:val="24"/>
          <w:szCs w:val="24"/>
        </w:rPr>
      </w:pPr>
    </w:p>
    <w:p w14:paraId="0E4901A8" w14:textId="211CE978"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 xml:space="preserve">FREIRE, P. </w:t>
      </w:r>
      <w:r w:rsidRPr="006F265C">
        <w:rPr>
          <w:rFonts w:ascii="Arial" w:hAnsi="Arial" w:cs="Arial"/>
          <w:b/>
          <w:bCs/>
          <w:sz w:val="24"/>
          <w:szCs w:val="24"/>
        </w:rPr>
        <w:t>Ética utopia e educação</w:t>
      </w:r>
      <w:r w:rsidRPr="00FF37EC">
        <w:rPr>
          <w:rFonts w:ascii="Arial" w:hAnsi="Arial" w:cs="Arial"/>
          <w:sz w:val="24"/>
          <w:szCs w:val="24"/>
        </w:rPr>
        <w:t>. Petrópolis: Vozes, 2001.</w:t>
      </w:r>
    </w:p>
    <w:p w14:paraId="0085441D" w14:textId="77777777" w:rsidR="00FF4D6A" w:rsidRDefault="00FF4D6A" w:rsidP="00FF4D6A">
      <w:pPr>
        <w:spacing w:line="240" w:lineRule="auto"/>
        <w:ind w:firstLine="0"/>
        <w:jc w:val="left"/>
        <w:rPr>
          <w:rFonts w:ascii="Arial" w:hAnsi="Arial" w:cs="Arial"/>
          <w:sz w:val="24"/>
          <w:szCs w:val="24"/>
        </w:rPr>
      </w:pPr>
    </w:p>
    <w:p w14:paraId="73FD8CB7" w14:textId="368752EE" w:rsidR="00FB15BE" w:rsidRDefault="00FB15BE" w:rsidP="00FF4D6A">
      <w:pPr>
        <w:spacing w:line="240" w:lineRule="auto"/>
        <w:ind w:firstLine="0"/>
        <w:jc w:val="left"/>
        <w:rPr>
          <w:rFonts w:ascii="Arial" w:hAnsi="Arial" w:cs="Arial"/>
          <w:color w:val="000000"/>
          <w:sz w:val="24"/>
          <w:szCs w:val="24"/>
          <w:shd w:val="clear" w:color="auto" w:fill="FFFFFF"/>
        </w:rPr>
      </w:pPr>
      <w:r w:rsidRPr="00FF37EC">
        <w:rPr>
          <w:rFonts w:ascii="Arial" w:hAnsi="Arial" w:cs="Arial"/>
          <w:color w:val="000000"/>
          <w:sz w:val="24"/>
          <w:szCs w:val="24"/>
          <w:shd w:val="clear" w:color="auto" w:fill="FFFFFF"/>
        </w:rPr>
        <w:t xml:space="preserve">FREIRE, P. </w:t>
      </w:r>
      <w:r w:rsidRPr="006F265C">
        <w:rPr>
          <w:rFonts w:ascii="Arial" w:hAnsi="Arial" w:cs="Arial"/>
          <w:b/>
          <w:bCs/>
          <w:color w:val="000000"/>
          <w:sz w:val="24"/>
          <w:szCs w:val="24"/>
          <w:shd w:val="clear" w:color="auto" w:fill="FFFFFF"/>
        </w:rPr>
        <w:t>Pedagogia do oprimido</w:t>
      </w:r>
      <w:r w:rsidRPr="00FF37EC">
        <w:rPr>
          <w:rFonts w:ascii="Arial" w:hAnsi="Arial" w:cs="Arial"/>
          <w:color w:val="000000"/>
          <w:sz w:val="24"/>
          <w:szCs w:val="24"/>
          <w:shd w:val="clear" w:color="auto" w:fill="FFFFFF"/>
        </w:rPr>
        <w:t xml:space="preserve">. 42. ed. Rio de Janeiro: Paz e Terra, 2005. </w:t>
      </w:r>
    </w:p>
    <w:p w14:paraId="00589F35" w14:textId="77777777" w:rsidR="00FF4D6A" w:rsidRDefault="00FF4D6A" w:rsidP="00FF4D6A">
      <w:pPr>
        <w:spacing w:line="240" w:lineRule="auto"/>
        <w:ind w:firstLine="0"/>
        <w:jc w:val="left"/>
        <w:rPr>
          <w:rFonts w:ascii="Arial" w:hAnsi="Arial" w:cs="Arial"/>
          <w:sz w:val="24"/>
          <w:szCs w:val="24"/>
        </w:rPr>
      </w:pPr>
    </w:p>
    <w:p w14:paraId="2BA13D8A" w14:textId="1392C33C"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GADOTTI, M</w:t>
      </w:r>
      <w:r>
        <w:rPr>
          <w:rFonts w:ascii="Arial" w:hAnsi="Arial" w:cs="Arial"/>
          <w:sz w:val="24"/>
          <w:szCs w:val="24"/>
        </w:rPr>
        <w:t>.</w:t>
      </w:r>
      <w:r w:rsidRPr="00FF37EC">
        <w:rPr>
          <w:rFonts w:ascii="Arial" w:hAnsi="Arial" w:cs="Arial"/>
          <w:sz w:val="24"/>
          <w:szCs w:val="24"/>
        </w:rPr>
        <w:t xml:space="preserve">; ROMÃO, J. E. </w:t>
      </w:r>
      <w:r w:rsidRPr="006F265C">
        <w:rPr>
          <w:rFonts w:ascii="Arial" w:hAnsi="Arial" w:cs="Arial"/>
          <w:b/>
          <w:bCs/>
          <w:sz w:val="24"/>
          <w:szCs w:val="24"/>
        </w:rPr>
        <w:t>Educação de jovens e adultos</w:t>
      </w:r>
      <w:r w:rsidRPr="00FF37EC">
        <w:rPr>
          <w:rFonts w:ascii="Arial" w:hAnsi="Arial" w:cs="Arial"/>
          <w:sz w:val="24"/>
          <w:szCs w:val="24"/>
        </w:rPr>
        <w:t>: teoria prática e proposta. 8</w:t>
      </w:r>
      <w:r>
        <w:rPr>
          <w:rFonts w:ascii="Arial" w:hAnsi="Arial" w:cs="Arial"/>
          <w:sz w:val="24"/>
          <w:szCs w:val="24"/>
        </w:rPr>
        <w:t xml:space="preserve">. </w:t>
      </w:r>
      <w:r w:rsidRPr="00FF37EC">
        <w:rPr>
          <w:rFonts w:ascii="Arial" w:hAnsi="Arial" w:cs="Arial"/>
          <w:sz w:val="24"/>
          <w:szCs w:val="24"/>
        </w:rPr>
        <w:t>ed. São Paulo: Cortez, 2006.</w:t>
      </w:r>
    </w:p>
    <w:p w14:paraId="54110887" w14:textId="77777777" w:rsidR="00FF4D6A" w:rsidRDefault="00FF4D6A" w:rsidP="00FF4D6A">
      <w:pPr>
        <w:autoSpaceDE w:val="0"/>
        <w:autoSpaceDN w:val="0"/>
        <w:adjustRightInd w:val="0"/>
        <w:spacing w:line="240" w:lineRule="auto"/>
        <w:ind w:firstLine="0"/>
        <w:jc w:val="left"/>
        <w:rPr>
          <w:rFonts w:ascii="Arial" w:hAnsi="Arial" w:cs="Arial"/>
          <w:sz w:val="24"/>
          <w:szCs w:val="24"/>
        </w:rPr>
      </w:pPr>
    </w:p>
    <w:p w14:paraId="39F5ECB7" w14:textId="62E05B07" w:rsidR="00FB15BE" w:rsidRDefault="00FB15BE" w:rsidP="00FF4D6A">
      <w:pPr>
        <w:autoSpaceDE w:val="0"/>
        <w:autoSpaceDN w:val="0"/>
        <w:adjustRightInd w:val="0"/>
        <w:spacing w:line="240" w:lineRule="auto"/>
        <w:ind w:firstLine="0"/>
        <w:jc w:val="left"/>
        <w:rPr>
          <w:rFonts w:ascii="Arial" w:hAnsi="Arial" w:cs="Arial"/>
          <w:sz w:val="24"/>
          <w:szCs w:val="24"/>
        </w:rPr>
      </w:pPr>
      <w:r w:rsidRPr="00FF37EC">
        <w:rPr>
          <w:rFonts w:ascii="Arial" w:hAnsi="Arial" w:cs="Arial"/>
          <w:sz w:val="24"/>
          <w:szCs w:val="24"/>
        </w:rPr>
        <w:t>GADOTTI, M</w:t>
      </w:r>
      <w:r>
        <w:rPr>
          <w:rFonts w:ascii="Arial" w:hAnsi="Arial" w:cs="Arial"/>
          <w:sz w:val="24"/>
          <w:szCs w:val="24"/>
        </w:rPr>
        <w:t>.</w:t>
      </w:r>
      <w:r w:rsidRPr="00FF37EC">
        <w:rPr>
          <w:rFonts w:ascii="Arial" w:hAnsi="Arial" w:cs="Arial"/>
          <w:sz w:val="24"/>
          <w:szCs w:val="24"/>
        </w:rPr>
        <w:t xml:space="preserve">; ROMÃO, J. E. (org.). </w:t>
      </w:r>
      <w:r w:rsidRPr="0057389C">
        <w:rPr>
          <w:rFonts w:ascii="Arial" w:hAnsi="Arial" w:cs="Arial"/>
          <w:b/>
          <w:bCs/>
          <w:sz w:val="24"/>
          <w:szCs w:val="24"/>
        </w:rPr>
        <w:t>Educação de jovens e adultos</w:t>
      </w:r>
      <w:r w:rsidRPr="00FF37EC">
        <w:rPr>
          <w:rFonts w:ascii="Arial" w:hAnsi="Arial" w:cs="Arial"/>
          <w:sz w:val="24"/>
          <w:szCs w:val="24"/>
        </w:rPr>
        <w:t>: teoria, prática e proposta. 10. ed. São Paulo: Cortez</w:t>
      </w:r>
      <w:r>
        <w:rPr>
          <w:rFonts w:ascii="Arial" w:hAnsi="Arial" w:cs="Arial"/>
          <w:sz w:val="24"/>
          <w:szCs w:val="24"/>
        </w:rPr>
        <w:t xml:space="preserve">; </w:t>
      </w:r>
      <w:r w:rsidRPr="00FF37EC">
        <w:rPr>
          <w:rFonts w:ascii="Arial" w:hAnsi="Arial" w:cs="Arial"/>
          <w:sz w:val="24"/>
          <w:szCs w:val="24"/>
        </w:rPr>
        <w:t>Instituto Paulo Freire, 2008.</w:t>
      </w:r>
    </w:p>
    <w:p w14:paraId="6BD9B71E" w14:textId="77777777" w:rsidR="00FF4D6A" w:rsidRDefault="00FF4D6A" w:rsidP="00FF4D6A">
      <w:pPr>
        <w:spacing w:line="240" w:lineRule="auto"/>
        <w:ind w:firstLine="0"/>
        <w:jc w:val="left"/>
        <w:rPr>
          <w:rFonts w:ascii="Arial" w:hAnsi="Arial" w:cs="Arial"/>
          <w:sz w:val="24"/>
          <w:szCs w:val="24"/>
        </w:rPr>
      </w:pPr>
    </w:p>
    <w:p w14:paraId="166E4C9D" w14:textId="2C80FF95"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GIL, A</w:t>
      </w:r>
      <w:r>
        <w:rPr>
          <w:rFonts w:ascii="Arial" w:hAnsi="Arial" w:cs="Arial"/>
          <w:sz w:val="24"/>
          <w:szCs w:val="24"/>
        </w:rPr>
        <w:t>.</w:t>
      </w:r>
      <w:r w:rsidRPr="00FF37EC">
        <w:rPr>
          <w:rFonts w:ascii="Arial" w:hAnsi="Arial" w:cs="Arial"/>
          <w:sz w:val="24"/>
          <w:szCs w:val="24"/>
        </w:rPr>
        <w:t xml:space="preserve"> C. </w:t>
      </w:r>
      <w:r w:rsidRPr="005D1E73">
        <w:rPr>
          <w:rFonts w:ascii="Arial" w:hAnsi="Arial" w:cs="Arial"/>
          <w:b/>
          <w:bCs/>
          <w:sz w:val="24"/>
          <w:szCs w:val="24"/>
        </w:rPr>
        <w:t>Métodos e técnicas de pesquisa social</w:t>
      </w:r>
      <w:r w:rsidRPr="00FF37EC">
        <w:rPr>
          <w:rFonts w:ascii="Arial" w:hAnsi="Arial" w:cs="Arial"/>
          <w:sz w:val="24"/>
          <w:szCs w:val="24"/>
        </w:rPr>
        <w:t>. São Paulo: Atlas, 1999.</w:t>
      </w:r>
    </w:p>
    <w:p w14:paraId="77440363" w14:textId="77777777" w:rsidR="00FF4D6A" w:rsidRDefault="00FF4D6A" w:rsidP="00FF4D6A">
      <w:pPr>
        <w:spacing w:line="240" w:lineRule="auto"/>
        <w:ind w:firstLine="0"/>
        <w:jc w:val="left"/>
        <w:rPr>
          <w:rFonts w:ascii="Arial" w:hAnsi="Arial" w:cs="Arial"/>
          <w:sz w:val="24"/>
          <w:szCs w:val="24"/>
        </w:rPr>
      </w:pPr>
    </w:p>
    <w:p w14:paraId="17DA42E9" w14:textId="1A52D863"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GIL, A</w:t>
      </w:r>
      <w:r>
        <w:rPr>
          <w:rFonts w:ascii="Arial" w:hAnsi="Arial" w:cs="Arial"/>
          <w:sz w:val="24"/>
          <w:szCs w:val="24"/>
        </w:rPr>
        <w:t xml:space="preserve">. </w:t>
      </w:r>
      <w:r w:rsidRPr="00FF37EC">
        <w:rPr>
          <w:rFonts w:ascii="Arial" w:hAnsi="Arial" w:cs="Arial"/>
          <w:sz w:val="24"/>
          <w:szCs w:val="24"/>
        </w:rPr>
        <w:t xml:space="preserve">C. </w:t>
      </w:r>
      <w:r w:rsidRPr="005D1E73">
        <w:rPr>
          <w:rFonts w:ascii="Arial" w:hAnsi="Arial" w:cs="Arial"/>
          <w:b/>
          <w:bCs/>
          <w:sz w:val="24"/>
          <w:szCs w:val="24"/>
        </w:rPr>
        <w:t>Como elaborar projetos de pesquisa</w:t>
      </w:r>
      <w:r w:rsidRPr="00FF37EC">
        <w:rPr>
          <w:rFonts w:ascii="Arial" w:hAnsi="Arial" w:cs="Arial"/>
          <w:sz w:val="24"/>
          <w:szCs w:val="24"/>
        </w:rPr>
        <w:t>. 4. ed. São Paulo: Atlas, 2007.</w:t>
      </w:r>
    </w:p>
    <w:p w14:paraId="2ABFDCC1" w14:textId="77777777" w:rsidR="00FF4D6A" w:rsidRPr="00FF4D6A" w:rsidRDefault="00FF4D6A" w:rsidP="00FF4D6A">
      <w:pPr>
        <w:spacing w:line="240" w:lineRule="auto"/>
        <w:ind w:firstLine="0"/>
        <w:jc w:val="left"/>
        <w:rPr>
          <w:rFonts w:ascii="Arial" w:hAnsi="Arial" w:cs="Arial"/>
          <w:sz w:val="24"/>
          <w:szCs w:val="24"/>
        </w:rPr>
      </w:pPr>
    </w:p>
    <w:p w14:paraId="28488AAB" w14:textId="0742DA5D" w:rsidR="00FB15BE" w:rsidRDefault="00FB15BE" w:rsidP="00FF4D6A">
      <w:pPr>
        <w:spacing w:line="240" w:lineRule="auto"/>
        <w:ind w:firstLine="0"/>
        <w:jc w:val="left"/>
        <w:rPr>
          <w:rStyle w:val="f500"/>
          <w:rFonts w:ascii="Arial" w:hAnsi="Arial" w:cs="Arial"/>
          <w:color w:val="212529"/>
          <w:sz w:val="24"/>
          <w:szCs w:val="24"/>
        </w:rPr>
      </w:pPr>
      <w:hyperlink r:id="rId10" w:tooltip="Consultar por autor" w:history="1">
        <w:r w:rsidRPr="00FF4D6A">
          <w:rPr>
            <w:rStyle w:val="Hyperlink"/>
            <w:rFonts w:ascii="Arial" w:hAnsi="Arial" w:cs="Arial"/>
            <w:color w:val="auto"/>
            <w:sz w:val="24"/>
            <w:szCs w:val="24"/>
            <w:u w:val="none"/>
          </w:rPr>
          <w:t>LIBÂNEO, J. C.</w:t>
        </w:r>
        <w:r w:rsidRPr="00FF4D6A">
          <w:rPr>
            <w:rStyle w:val="Hyperlink"/>
            <w:rFonts w:ascii="Arial" w:hAnsi="Arial" w:cs="Arial"/>
            <w:color w:val="auto"/>
            <w:sz w:val="24"/>
            <w:szCs w:val="24"/>
          </w:rPr>
          <w:t> </w:t>
        </w:r>
      </w:hyperlink>
      <w:r w:rsidRPr="005D1E73">
        <w:rPr>
          <w:rStyle w:val="f500"/>
          <w:rFonts w:ascii="Arial" w:hAnsi="Arial" w:cs="Arial"/>
          <w:b/>
          <w:bCs/>
          <w:color w:val="212529"/>
          <w:sz w:val="24"/>
          <w:szCs w:val="24"/>
        </w:rPr>
        <w:t>Adeus professor, adeus professora?</w:t>
      </w:r>
      <w:r w:rsidRPr="00FF37EC">
        <w:rPr>
          <w:rStyle w:val="f500"/>
          <w:rFonts w:ascii="Arial" w:hAnsi="Arial" w:cs="Arial"/>
          <w:color w:val="212529"/>
          <w:sz w:val="24"/>
          <w:szCs w:val="24"/>
        </w:rPr>
        <w:t xml:space="preserve"> Novas exigências educacionais e profissão docente. 10. ed.</w:t>
      </w:r>
      <w:r w:rsidRPr="00FF37EC">
        <w:rPr>
          <w:rFonts w:ascii="Arial" w:hAnsi="Arial" w:cs="Arial"/>
          <w:color w:val="212529"/>
          <w:sz w:val="24"/>
          <w:szCs w:val="24"/>
        </w:rPr>
        <w:t xml:space="preserve"> </w:t>
      </w:r>
      <w:r w:rsidRPr="00FF37EC">
        <w:rPr>
          <w:rStyle w:val="f500"/>
          <w:rFonts w:ascii="Arial" w:hAnsi="Arial" w:cs="Arial"/>
          <w:color w:val="212529"/>
          <w:sz w:val="24"/>
          <w:szCs w:val="24"/>
        </w:rPr>
        <w:t xml:space="preserve">São Paulo: Cortez, 2005. </w:t>
      </w:r>
    </w:p>
    <w:p w14:paraId="01FC869C" w14:textId="77777777" w:rsidR="00FB15BE" w:rsidRDefault="00FB15BE" w:rsidP="00FF4D6A">
      <w:pPr>
        <w:spacing w:line="240" w:lineRule="auto"/>
        <w:jc w:val="left"/>
        <w:rPr>
          <w:rStyle w:val="f500"/>
          <w:rFonts w:ascii="Arial" w:hAnsi="Arial" w:cs="Arial"/>
          <w:color w:val="212529"/>
          <w:sz w:val="24"/>
          <w:szCs w:val="24"/>
        </w:rPr>
      </w:pPr>
    </w:p>
    <w:p w14:paraId="4FC4C2E5" w14:textId="77777777" w:rsidR="00FB15BE" w:rsidRPr="00FF4D6A" w:rsidRDefault="00FB15BE" w:rsidP="00FF4D6A">
      <w:pPr>
        <w:spacing w:line="240" w:lineRule="auto"/>
        <w:ind w:firstLine="0"/>
        <w:jc w:val="left"/>
        <w:rPr>
          <w:rFonts w:ascii="Arial" w:hAnsi="Arial" w:cs="Arial"/>
          <w:color w:val="000000"/>
          <w:sz w:val="24"/>
          <w:szCs w:val="24"/>
          <w:shd w:val="clear" w:color="auto" w:fill="FFFFFF"/>
        </w:rPr>
      </w:pPr>
      <w:r w:rsidRPr="005D1E73">
        <w:rPr>
          <w:rFonts w:ascii="Arial" w:hAnsi="Arial" w:cs="Arial"/>
          <w:color w:val="000000"/>
          <w:sz w:val="24"/>
          <w:szCs w:val="24"/>
          <w:shd w:val="clear" w:color="auto" w:fill="FFFFFF"/>
        </w:rPr>
        <w:t>LIBÂNEO, J. C.</w:t>
      </w:r>
      <w:r>
        <w:rPr>
          <w:rFonts w:ascii="Arial" w:hAnsi="Arial" w:cs="Arial"/>
          <w:color w:val="000000"/>
          <w:sz w:val="24"/>
          <w:szCs w:val="24"/>
          <w:shd w:val="clear" w:color="auto" w:fill="FFFFFF"/>
        </w:rPr>
        <w:t xml:space="preserve"> </w:t>
      </w:r>
      <w:r w:rsidRPr="00FF37EC">
        <w:rPr>
          <w:rStyle w:val="Forte"/>
          <w:rFonts w:ascii="Arial" w:hAnsi="Arial" w:cs="Arial"/>
          <w:color w:val="000000"/>
          <w:sz w:val="24"/>
          <w:szCs w:val="24"/>
          <w:bdr w:val="none" w:sz="0" w:space="0" w:color="auto" w:frame="1"/>
          <w:shd w:val="clear" w:color="auto" w:fill="FFFFFF"/>
        </w:rPr>
        <w:t xml:space="preserve">A escola brasileira em face de um dualismo perverso: </w:t>
      </w:r>
      <w:r w:rsidRPr="005D1E73">
        <w:rPr>
          <w:rStyle w:val="Forte"/>
          <w:rFonts w:ascii="Arial" w:hAnsi="Arial" w:cs="Arial"/>
          <w:color w:val="000000"/>
          <w:sz w:val="24"/>
          <w:szCs w:val="24"/>
          <w:bdr w:val="none" w:sz="0" w:space="0" w:color="auto" w:frame="1"/>
          <w:shd w:val="clear" w:color="auto" w:fill="FFFFFF"/>
        </w:rPr>
        <w:t>escola do conhecimento para os ricos, escola do acolhimento social para os pobres</w:t>
      </w:r>
      <w:r w:rsidRPr="005D1E73">
        <w:rPr>
          <w:rFonts w:ascii="Arial" w:hAnsi="Arial" w:cs="Arial"/>
          <w:b/>
          <w:bCs/>
          <w:color w:val="000000"/>
          <w:sz w:val="24"/>
          <w:szCs w:val="24"/>
          <w:shd w:val="clear" w:color="auto" w:fill="FFFFFF"/>
        </w:rPr>
        <w:t>.</w:t>
      </w:r>
      <w:r w:rsidRPr="00FF37EC">
        <w:rPr>
          <w:rFonts w:ascii="Arial" w:hAnsi="Arial" w:cs="Arial"/>
          <w:color w:val="000000"/>
          <w:sz w:val="24"/>
          <w:szCs w:val="24"/>
          <w:shd w:val="clear" w:color="auto" w:fill="FFFFFF"/>
        </w:rPr>
        <w:t xml:space="preserve"> </w:t>
      </w:r>
      <w:r w:rsidRPr="00FF4D6A">
        <w:rPr>
          <w:rFonts w:ascii="Arial" w:hAnsi="Arial" w:cs="Arial"/>
          <w:color w:val="000000"/>
          <w:sz w:val="24"/>
          <w:szCs w:val="24"/>
          <w:shd w:val="clear" w:color="auto" w:fill="FFFFFF"/>
        </w:rPr>
        <w:t>Pontifícia Universidade Católica de Goiás, Uberlândia, julho, 2010.</w:t>
      </w:r>
    </w:p>
    <w:p w14:paraId="4A75BC2F" w14:textId="77777777" w:rsidR="00FB15BE" w:rsidRPr="00FF4D6A" w:rsidRDefault="00FB15BE" w:rsidP="00FF4D6A">
      <w:pPr>
        <w:spacing w:line="240" w:lineRule="auto"/>
        <w:jc w:val="left"/>
        <w:rPr>
          <w:rFonts w:ascii="Arial" w:hAnsi="Arial" w:cs="Arial"/>
          <w:color w:val="000000"/>
          <w:sz w:val="24"/>
          <w:szCs w:val="24"/>
          <w:shd w:val="clear" w:color="auto" w:fill="FFFFFF"/>
        </w:rPr>
      </w:pPr>
    </w:p>
    <w:p w14:paraId="21C1449F" w14:textId="77777777" w:rsidR="00FB15BE" w:rsidRPr="00EE2AEF" w:rsidRDefault="00FB15BE" w:rsidP="00FF4D6A">
      <w:pPr>
        <w:spacing w:line="240" w:lineRule="auto"/>
        <w:ind w:firstLine="0"/>
        <w:jc w:val="left"/>
        <w:rPr>
          <w:rFonts w:ascii="Arial" w:hAnsi="Arial" w:cs="Arial"/>
          <w:sz w:val="24"/>
          <w:szCs w:val="24"/>
        </w:rPr>
      </w:pPr>
      <w:r w:rsidRPr="00FF4D6A">
        <w:rPr>
          <w:rStyle w:val="Forte"/>
          <w:rFonts w:ascii="Arial" w:hAnsi="Arial" w:cs="Arial"/>
          <w:b w:val="0"/>
          <w:bCs w:val="0"/>
          <w:sz w:val="24"/>
          <w:szCs w:val="24"/>
        </w:rPr>
        <w:t>MATURANA, H.</w:t>
      </w:r>
      <w:r w:rsidRPr="00EE2AEF">
        <w:rPr>
          <w:rFonts w:ascii="Arial" w:hAnsi="Arial" w:cs="Arial"/>
          <w:sz w:val="24"/>
          <w:szCs w:val="24"/>
        </w:rPr>
        <w:t xml:space="preserve"> </w:t>
      </w:r>
      <w:r w:rsidRPr="00EE2AEF">
        <w:rPr>
          <w:rFonts w:ascii="Arial" w:hAnsi="Arial" w:cs="Arial"/>
          <w:b/>
          <w:bCs/>
          <w:sz w:val="24"/>
          <w:szCs w:val="24"/>
        </w:rPr>
        <w:t>Emoções e linguagem na educação e na política</w:t>
      </w:r>
      <w:r w:rsidRPr="00EE2AEF">
        <w:rPr>
          <w:rFonts w:ascii="Arial" w:hAnsi="Arial" w:cs="Arial"/>
          <w:sz w:val="24"/>
          <w:szCs w:val="24"/>
        </w:rPr>
        <w:t>. Belo Horizonte: Editora UFMG, 2009.</w:t>
      </w:r>
    </w:p>
    <w:p w14:paraId="0E7250AC" w14:textId="77777777" w:rsidR="00FB15BE" w:rsidRDefault="00FB15BE" w:rsidP="00FF4D6A">
      <w:pPr>
        <w:spacing w:line="240" w:lineRule="auto"/>
        <w:jc w:val="left"/>
        <w:rPr>
          <w:rFonts w:ascii="Arial" w:hAnsi="Arial" w:cs="Arial"/>
          <w:strike/>
          <w:sz w:val="24"/>
          <w:szCs w:val="24"/>
        </w:rPr>
      </w:pPr>
    </w:p>
    <w:p w14:paraId="528D7FD8" w14:textId="77777777"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MANZINI, E. J. A entrevista na pesquisa social</w:t>
      </w:r>
      <w:r w:rsidRPr="00241B03">
        <w:rPr>
          <w:rFonts w:ascii="Arial" w:hAnsi="Arial" w:cs="Arial"/>
          <w:sz w:val="24"/>
          <w:szCs w:val="24"/>
        </w:rPr>
        <w:t xml:space="preserve">. </w:t>
      </w:r>
      <w:r w:rsidRPr="00241B03">
        <w:rPr>
          <w:rFonts w:ascii="Arial" w:hAnsi="Arial" w:cs="Arial"/>
          <w:b/>
          <w:bCs/>
          <w:sz w:val="24"/>
          <w:szCs w:val="24"/>
        </w:rPr>
        <w:t>Didática</w:t>
      </w:r>
      <w:r w:rsidRPr="00241B03">
        <w:rPr>
          <w:rFonts w:ascii="Arial" w:hAnsi="Arial" w:cs="Arial"/>
          <w:sz w:val="24"/>
          <w:szCs w:val="24"/>
        </w:rPr>
        <w:t>,</w:t>
      </w:r>
      <w:r w:rsidRPr="00FF37EC">
        <w:rPr>
          <w:rFonts w:ascii="Arial" w:hAnsi="Arial" w:cs="Arial"/>
          <w:sz w:val="24"/>
          <w:szCs w:val="24"/>
        </w:rPr>
        <w:t xml:space="preserve"> São Paulo, v. 26/27, p. 149-158, 1990.</w:t>
      </w:r>
    </w:p>
    <w:p w14:paraId="196E6580" w14:textId="77777777" w:rsidR="00FB15BE" w:rsidRPr="00FF37EC" w:rsidRDefault="00FB15BE" w:rsidP="00FF4D6A">
      <w:pPr>
        <w:spacing w:line="240" w:lineRule="auto"/>
        <w:jc w:val="left"/>
        <w:rPr>
          <w:rFonts w:ascii="Arial" w:hAnsi="Arial" w:cs="Arial"/>
          <w:sz w:val="24"/>
          <w:szCs w:val="24"/>
        </w:rPr>
      </w:pPr>
    </w:p>
    <w:p w14:paraId="3B38A5C9" w14:textId="77777777"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MINAYO, M</w:t>
      </w:r>
      <w:r>
        <w:rPr>
          <w:rFonts w:ascii="Arial" w:hAnsi="Arial" w:cs="Arial"/>
          <w:sz w:val="24"/>
          <w:szCs w:val="24"/>
        </w:rPr>
        <w:t xml:space="preserve">. </w:t>
      </w:r>
      <w:r w:rsidRPr="00FF37EC">
        <w:rPr>
          <w:rFonts w:ascii="Arial" w:hAnsi="Arial" w:cs="Arial"/>
          <w:sz w:val="24"/>
          <w:szCs w:val="24"/>
        </w:rPr>
        <w:t>C</w:t>
      </w:r>
      <w:r>
        <w:rPr>
          <w:rFonts w:ascii="Arial" w:hAnsi="Arial" w:cs="Arial"/>
          <w:sz w:val="24"/>
          <w:szCs w:val="24"/>
        </w:rPr>
        <w:t>.</w:t>
      </w:r>
      <w:r w:rsidRPr="00FF37EC">
        <w:rPr>
          <w:rFonts w:ascii="Arial" w:hAnsi="Arial" w:cs="Arial"/>
          <w:sz w:val="24"/>
          <w:szCs w:val="24"/>
        </w:rPr>
        <w:t xml:space="preserve"> de S. </w:t>
      </w:r>
      <w:r w:rsidRPr="00043009">
        <w:rPr>
          <w:rFonts w:ascii="Arial" w:hAnsi="Arial" w:cs="Arial"/>
          <w:b/>
          <w:bCs/>
          <w:sz w:val="24"/>
          <w:szCs w:val="24"/>
        </w:rPr>
        <w:t>O desafio do conhecimento</w:t>
      </w:r>
      <w:r w:rsidRPr="00FF37EC">
        <w:rPr>
          <w:rFonts w:ascii="Arial" w:hAnsi="Arial" w:cs="Arial"/>
          <w:sz w:val="24"/>
          <w:szCs w:val="24"/>
        </w:rPr>
        <w:t>. São Paulo: Hucitec,1993</w:t>
      </w:r>
      <w:r>
        <w:rPr>
          <w:rFonts w:ascii="Arial" w:hAnsi="Arial" w:cs="Arial"/>
          <w:sz w:val="24"/>
          <w:szCs w:val="24"/>
        </w:rPr>
        <w:t>.</w:t>
      </w:r>
    </w:p>
    <w:p w14:paraId="073CD209" w14:textId="77777777" w:rsidR="00FB15BE" w:rsidRPr="00FF37EC" w:rsidRDefault="00FB15BE" w:rsidP="00FF4D6A">
      <w:pPr>
        <w:spacing w:line="240" w:lineRule="auto"/>
        <w:jc w:val="left"/>
        <w:rPr>
          <w:rFonts w:ascii="Arial" w:hAnsi="Arial" w:cs="Arial"/>
          <w:sz w:val="24"/>
          <w:szCs w:val="24"/>
        </w:rPr>
      </w:pPr>
    </w:p>
    <w:p w14:paraId="435257B8" w14:textId="77777777" w:rsidR="00FB15BE" w:rsidRDefault="00FB15BE" w:rsidP="00FF4D6A">
      <w:pPr>
        <w:spacing w:line="240" w:lineRule="auto"/>
        <w:ind w:firstLine="0"/>
        <w:jc w:val="left"/>
        <w:rPr>
          <w:rFonts w:ascii="Arial" w:hAnsi="Arial" w:cs="Arial"/>
          <w:sz w:val="24"/>
          <w:szCs w:val="24"/>
        </w:rPr>
      </w:pPr>
      <w:r w:rsidRPr="00FF37EC">
        <w:rPr>
          <w:rFonts w:ascii="Arial" w:hAnsi="Arial" w:cs="Arial"/>
          <w:sz w:val="24"/>
          <w:szCs w:val="24"/>
        </w:rPr>
        <w:t>MINAYO, M. C. S. (</w:t>
      </w:r>
      <w:r>
        <w:rPr>
          <w:rFonts w:ascii="Arial" w:hAnsi="Arial" w:cs="Arial"/>
          <w:sz w:val="24"/>
          <w:szCs w:val="24"/>
        </w:rPr>
        <w:t>o</w:t>
      </w:r>
      <w:r w:rsidRPr="00FF37EC">
        <w:rPr>
          <w:rFonts w:ascii="Arial" w:hAnsi="Arial" w:cs="Arial"/>
          <w:sz w:val="24"/>
          <w:szCs w:val="24"/>
        </w:rPr>
        <w:t xml:space="preserve">rg.). </w:t>
      </w:r>
      <w:r w:rsidRPr="00043009">
        <w:rPr>
          <w:rFonts w:ascii="Arial" w:hAnsi="Arial" w:cs="Arial"/>
          <w:b/>
          <w:bCs/>
          <w:sz w:val="24"/>
          <w:szCs w:val="24"/>
        </w:rPr>
        <w:t>Pesquisa social</w:t>
      </w:r>
      <w:r w:rsidRPr="00FF37EC">
        <w:rPr>
          <w:rFonts w:ascii="Arial" w:hAnsi="Arial" w:cs="Arial"/>
          <w:sz w:val="24"/>
          <w:szCs w:val="24"/>
        </w:rPr>
        <w:t>: teoria, método e criatividade. Petrópolis: Vozes, 2001.</w:t>
      </w:r>
    </w:p>
    <w:p w14:paraId="48FC0D61" w14:textId="77777777" w:rsidR="00FB15BE" w:rsidRDefault="00FB15BE" w:rsidP="00FF4D6A">
      <w:pPr>
        <w:spacing w:line="240" w:lineRule="auto"/>
        <w:jc w:val="left"/>
        <w:rPr>
          <w:rFonts w:ascii="Arial" w:hAnsi="Arial" w:cs="Arial"/>
          <w:sz w:val="24"/>
          <w:szCs w:val="24"/>
        </w:rPr>
      </w:pPr>
    </w:p>
    <w:p w14:paraId="089A0C6C" w14:textId="77777777" w:rsidR="00FB15BE" w:rsidRDefault="00FB15BE" w:rsidP="00FF4D6A">
      <w:pPr>
        <w:spacing w:line="240" w:lineRule="auto"/>
        <w:ind w:firstLine="0"/>
        <w:jc w:val="left"/>
        <w:rPr>
          <w:rFonts w:ascii="Arial" w:hAnsi="Arial" w:cs="Arial"/>
          <w:sz w:val="24"/>
          <w:szCs w:val="24"/>
        </w:rPr>
      </w:pPr>
      <w:bookmarkStart w:id="1" w:name="_Hlk212914354"/>
      <w:r w:rsidRPr="00212CAF">
        <w:rPr>
          <w:rFonts w:ascii="Arial" w:hAnsi="Arial" w:cs="Arial"/>
          <w:sz w:val="24"/>
          <w:szCs w:val="24"/>
        </w:rPr>
        <w:t xml:space="preserve">OBSERVATÓRIO MOVIMENTO PELA BASE. </w:t>
      </w:r>
      <w:r w:rsidRPr="00212CAF">
        <w:rPr>
          <w:rFonts w:ascii="Arial" w:hAnsi="Arial" w:cs="Arial"/>
          <w:b/>
          <w:bCs/>
          <w:sz w:val="24"/>
          <w:szCs w:val="24"/>
        </w:rPr>
        <w:t>Em busca de saídas para a crise das políticas públicas de EJA</w:t>
      </w:r>
      <w:r w:rsidRPr="00212CAF">
        <w:rPr>
          <w:rFonts w:ascii="Arial" w:hAnsi="Arial" w:cs="Arial"/>
          <w:sz w:val="24"/>
          <w:szCs w:val="24"/>
        </w:rPr>
        <w:t>. 2022. Disponível em: https://observatorio.movimentopelabase.org.br/wp-content/uploads/2022/10/dossieeja.pdf. Acesso em: 20 out. 2025.</w:t>
      </w:r>
    </w:p>
    <w:p w14:paraId="18DB37F8" w14:textId="77777777" w:rsidR="00FB15BE" w:rsidRPr="00212CAF" w:rsidRDefault="00FB15BE" w:rsidP="00FF4D6A">
      <w:pPr>
        <w:spacing w:line="240" w:lineRule="auto"/>
        <w:jc w:val="left"/>
        <w:rPr>
          <w:rFonts w:ascii="Arial" w:hAnsi="Arial" w:cs="Arial"/>
          <w:sz w:val="24"/>
          <w:szCs w:val="24"/>
        </w:rPr>
      </w:pPr>
    </w:p>
    <w:p w14:paraId="2CFEE96E" w14:textId="77777777" w:rsidR="00FB15BE" w:rsidRDefault="00FB15BE" w:rsidP="00FF4D6A">
      <w:pPr>
        <w:spacing w:line="240" w:lineRule="auto"/>
        <w:ind w:firstLine="0"/>
        <w:jc w:val="left"/>
        <w:rPr>
          <w:rFonts w:ascii="Arial" w:hAnsi="Arial" w:cs="Arial"/>
          <w:sz w:val="24"/>
          <w:szCs w:val="24"/>
        </w:rPr>
      </w:pPr>
      <w:r w:rsidRPr="00212CAF">
        <w:rPr>
          <w:rFonts w:ascii="Arial" w:hAnsi="Arial" w:cs="Arial"/>
          <w:sz w:val="24"/>
          <w:szCs w:val="24"/>
        </w:rPr>
        <w:t xml:space="preserve">PÁDUA, E. M. M. de. </w:t>
      </w:r>
      <w:r w:rsidRPr="00212CAF">
        <w:rPr>
          <w:rFonts w:ascii="Arial" w:hAnsi="Arial" w:cs="Arial"/>
          <w:b/>
          <w:bCs/>
          <w:sz w:val="24"/>
          <w:szCs w:val="24"/>
        </w:rPr>
        <w:t>Metodologia da pesquisa</w:t>
      </w:r>
      <w:r w:rsidRPr="00212CAF">
        <w:rPr>
          <w:rFonts w:ascii="Arial" w:hAnsi="Arial" w:cs="Arial"/>
          <w:sz w:val="24"/>
          <w:szCs w:val="24"/>
        </w:rPr>
        <w:t xml:space="preserve">: abordagem teórico-prática. 6. ed. rev. </w:t>
      </w:r>
      <w:proofErr w:type="spellStart"/>
      <w:r w:rsidRPr="00212CAF">
        <w:rPr>
          <w:rFonts w:ascii="Arial" w:hAnsi="Arial" w:cs="Arial"/>
          <w:sz w:val="24"/>
          <w:szCs w:val="24"/>
        </w:rPr>
        <w:t>ampl</w:t>
      </w:r>
      <w:proofErr w:type="spellEnd"/>
      <w:r w:rsidRPr="00212CAF">
        <w:rPr>
          <w:rFonts w:ascii="Arial" w:hAnsi="Arial" w:cs="Arial"/>
          <w:sz w:val="24"/>
          <w:szCs w:val="24"/>
        </w:rPr>
        <w:t>. Campinas: Papirus, 2000.</w:t>
      </w:r>
    </w:p>
    <w:p w14:paraId="4A4DED9D" w14:textId="77777777" w:rsidR="00FB15BE" w:rsidRPr="00212CAF" w:rsidRDefault="00FB15BE" w:rsidP="00FF4D6A">
      <w:pPr>
        <w:spacing w:line="240" w:lineRule="auto"/>
        <w:jc w:val="left"/>
        <w:rPr>
          <w:rFonts w:ascii="Arial" w:hAnsi="Arial" w:cs="Arial"/>
          <w:sz w:val="24"/>
          <w:szCs w:val="24"/>
        </w:rPr>
      </w:pPr>
    </w:p>
    <w:p w14:paraId="2AA172E8" w14:textId="77777777" w:rsidR="00FB15BE" w:rsidRDefault="00FB15BE" w:rsidP="00FF4D6A">
      <w:pPr>
        <w:spacing w:line="240" w:lineRule="auto"/>
        <w:ind w:firstLine="0"/>
        <w:jc w:val="left"/>
        <w:rPr>
          <w:rFonts w:ascii="Arial" w:hAnsi="Arial" w:cs="Arial"/>
          <w:sz w:val="24"/>
          <w:szCs w:val="24"/>
        </w:rPr>
      </w:pPr>
      <w:r w:rsidRPr="00212CAF">
        <w:rPr>
          <w:rFonts w:ascii="Arial" w:hAnsi="Arial" w:cs="Arial"/>
          <w:sz w:val="24"/>
          <w:szCs w:val="24"/>
        </w:rPr>
        <w:t xml:space="preserve">PROENÇA, M. Escola é ambiente fundamental na formação de relações interpessoais.  </w:t>
      </w:r>
      <w:r w:rsidRPr="00797B6C">
        <w:rPr>
          <w:rFonts w:ascii="Arial" w:hAnsi="Arial" w:cs="Arial"/>
          <w:b/>
          <w:bCs/>
          <w:sz w:val="24"/>
          <w:szCs w:val="24"/>
        </w:rPr>
        <w:t>Jornal da USP</w:t>
      </w:r>
      <w:r w:rsidRPr="00212CAF">
        <w:rPr>
          <w:rFonts w:ascii="Arial" w:hAnsi="Arial" w:cs="Arial"/>
          <w:sz w:val="24"/>
          <w:szCs w:val="24"/>
        </w:rPr>
        <w:t>, 2023. Disponível em: https://jornal.usp.br/radio-usp/escola-e-ambiente-fundamental-na-formacao-de-relacoes-interpessoais/. Acesso em: 1 de agosto de 2025.</w:t>
      </w:r>
    </w:p>
    <w:p w14:paraId="0EC20414" w14:textId="77777777" w:rsidR="00FB15BE" w:rsidRPr="00212CAF" w:rsidRDefault="00FB15BE" w:rsidP="00FF4D6A">
      <w:pPr>
        <w:spacing w:line="240" w:lineRule="auto"/>
        <w:jc w:val="left"/>
        <w:rPr>
          <w:rFonts w:ascii="Arial" w:hAnsi="Arial" w:cs="Arial"/>
          <w:sz w:val="24"/>
          <w:szCs w:val="24"/>
        </w:rPr>
      </w:pPr>
    </w:p>
    <w:p w14:paraId="442325EB" w14:textId="77777777" w:rsidR="00FB15BE" w:rsidRDefault="00FB15BE" w:rsidP="00FF4D6A">
      <w:pPr>
        <w:spacing w:line="240" w:lineRule="auto"/>
        <w:ind w:firstLine="0"/>
        <w:jc w:val="left"/>
        <w:rPr>
          <w:rFonts w:ascii="Arial" w:hAnsi="Arial" w:cs="Arial"/>
          <w:sz w:val="24"/>
          <w:szCs w:val="24"/>
        </w:rPr>
      </w:pPr>
      <w:r w:rsidRPr="00212CAF">
        <w:rPr>
          <w:rFonts w:ascii="Arial" w:hAnsi="Arial" w:cs="Arial"/>
          <w:sz w:val="24"/>
          <w:szCs w:val="24"/>
        </w:rPr>
        <w:t xml:space="preserve">RAMOS, D. K.; BEZERRA, A. L. S. Educação de Jovens e Adultos na Modalidade a Distância: Acesso, Permanência e Aprendizagem na Percepção dos Alunos. </w:t>
      </w:r>
      <w:r w:rsidRPr="00797B6C">
        <w:rPr>
          <w:rFonts w:ascii="Arial" w:hAnsi="Arial" w:cs="Arial"/>
          <w:b/>
          <w:bCs/>
          <w:sz w:val="24"/>
          <w:szCs w:val="24"/>
        </w:rPr>
        <w:t xml:space="preserve">EaD em </w:t>
      </w:r>
      <w:r w:rsidRPr="00797B6C">
        <w:rPr>
          <w:rFonts w:ascii="Arial" w:hAnsi="Arial" w:cs="Arial"/>
          <w:b/>
          <w:bCs/>
          <w:sz w:val="24"/>
          <w:szCs w:val="24"/>
        </w:rPr>
        <w:lastRenderedPageBreak/>
        <w:t>Foco</w:t>
      </w:r>
      <w:r w:rsidRPr="00212CAF">
        <w:rPr>
          <w:rFonts w:ascii="Arial" w:hAnsi="Arial" w:cs="Arial"/>
          <w:sz w:val="24"/>
          <w:szCs w:val="24"/>
        </w:rPr>
        <w:t>, v. 10, n. 2, e1014, 2020. DOI: https://doi.org/10.18264/eadf.v10i2.1014. Disponível em: Acesso em: 20 out. 2025.</w:t>
      </w:r>
    </w:p>
    <w:p w14:paraId="13727A1F" w14:textId="77777777" w:rsidR="00FB15BE" w:rsidRPr="00212CAF" w:rsidRDefault="00FB15BE" w:rsidP="00FF4D6A">
      <w:pPr>
        <w:spacing w:line="240" w:lineRule="auto"/>
        <w:jc w:val="left"/>
        <w:rPr>
          <w:rFonts w:ascii="Arial" w:hAnsi="Arial" w:cs="Arial"/>
          <w:sz w:val="24"/>
          <w:szCs w:val="24"/>
        </w:rPr>
      </w:pPr>
    </w:p>
    <w:p w14:paraId="29C3B142" w14:textId="77777777" w:rsidR="00FB15BE" w:rsidRDefault="00FB15BE" w:rsidP="00FF4D6A">
      <w:pPr>
        <w:spacing w:line="240" w:lineRule="auto"/>
        <w:ind w:firstLine="0"/>
        <w:jc w:val="left"/>
        <w:rPr>
          <w:rFonts w:ascii="Arial" w:hAnsi="Arial" w:cs="Arial"/>
          <w:sz w:val="24"/>
          <w:szCs w:val="24"/>
        </w:rPr>
      </w:pPr>
      <w:r w:rsidRPr="00212CAF">
        <w:rPr>
          <w:rFonts w:ascii="Arial" w:hAnsi="Arial" w:cs="Arial"/>
          <w:sz w:val="24"/>
          <w:szCs w:val="24"/>
        </w:rPr>
        <w:t xml:space="preserve">TRIVIÑOS, A. N. S. </w:t>
      </w:r>
      <w:r w:rsidRPr="00797B6C">
        <w:rPr>
          <w:rFonts w:ascii="Arial" w:hAnsi="Arial" w:cs="Arial"/>
          <w:b/>
          <w:bCs/>
          <w:sz w:val="24"/>
          <w:szCs w:val="24"/>
        </w:rPr>
        <w:t>Introdução à pesquisa em ciências sociais</w:t>
      </w:r>
      <w:r w:rsidRPr="00212CAF">
        <w:rPr>
          <w:rFonts w:ascii="Arial" w:hAnsi="Arial" w:cs="Arial"/>
          <w:sz w:val="24"/>
          <w:szCs w:val="24"/>
        </w:rPr>
        <w:t>: a pesquisa qualitativa em educação. São Paulo: Atlas, 1987.</w:t>
      </w:r>
    </w:p>
    <w:bookmarkEnd w:id="1"/>
    <w:p w14:paraId="636EFDB5" w14:textId="77777777" w:rsidR="00FB15BE" w:rsidRDefault="00FB15BE" w:rsidP="00FF4D6A">
      <w:pPr>
        <w:pStyle w:val="TtulosNoNumerados"/>
      </w:pPr>
    </w:p>
    <w:p w14:paraId="1CEA4D6E" w14:textId="77777777" w:rsidR="00597F8A" w:rsidRPr="004C446D" w:rsidRDefault="00597F8A" w:rsidP="009A33DE">
      <w:pPr>
        <w:pStyle w:val="Texto"/>
      </w:pPr>
    </w:p>
    <w:p w14:paraId="61126B4C" w14:textId="77777777" w:rsidR="001E54C1" w:rsidRDefault="001E54C1">
      <w:pPr>
        <w:pStyle w:val="TtulosNoNumerados"/>
      </w:pPr>
    </w:p>
    <w:p w14:paraId="361B03A7" w14:textId="77777777" w:rsidR="001E54C1" w:rsidRDefault="001E54C1">
      <w:pPr>
        <w:pStyle w:val="TtulosNoNumerados"/>
      </w:pPr>
    </w:p>
    <w:p w14:paraId="3CB62C86" w14:textId="77777777" w:rsidR="00E31A9B" w:rsidRDefault="00E31A9B">
      <w:pPr>
        <w:pStyle w:val="TtulosNoNumerados"/>
      </w:pPr>
    </w:p>
    <w:p w14:paraId="400A594F" w14:textId="77777777" w:rsidR="001E54C1" w:rsidRPr="00CD581C" w:rsidRDefault="001E54C1">
      <w:pPr>
        <w:pStyle w:val="TtulosNoNumerados"/>
      </w:pPr>
    </w:p>
    <w:sectPr w:rsidR="001E54C1" w:rsidRPr="00CD581C" w:rsidSect="004C446D">
      <w:headerReference w:type="even" r:id="rId11"/>
      <w:headerReference w:type="default" r:id="rId12"/>
      <w:footerReference w:type="default" r:id="rId13"/>
      <w:headerReference w:type="first" r:id="rId14"/>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F9CAD" w14:textId="77777777" w:rsidR="007F3AF2" w:rsidRDefault="007F3AF2" w:rsidP="00026BCD">
      <w:pPr>
        <w:spacing w:line="240" w:lineRule="auto"/>
      </w:pPr>
      <w:r>
        <w:separator/>
      </w:r>
    </w:p>
  </w:endnote>
  <w:endnote w:type="continuationSeparator" w:id="0">
    <w:p w14:paraId="7415B587" w14:textId="77777777" w:rsidR="007F3AF2" w:rsidRDefault="007F3AF2"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987A5" w14:textId="77777777" w:rsidR="007F3AF2" w:rsidRDefault="007F3AF2" w:rsidP="00026BCD">
      <w:pPr>
        <w:spacing w:line="240" w:lineRule="auto"/>
      </w:pPr>
      <w:r>
        <w:separator/>
      </w:r>
    </w:p>
  </w:footnote>
  <w:footnote w:type="continuationSeparator" w:id="0">
    <w:p w14:paraId="085B1331" w14:textId="77777777" w:rsidR="007F3AF2" w:rsidRDefault="007F3AF2" w:rsidP="00026BCD">
      <w:pPr>
        <w:spacing w:line="240" w:lineRule="auto"/>
      </w:pPr>
      <w:r>
        <w:continuationSeparator/>
      </w:r>
    </w:p>
  </w:footnote>
  <w:footnote w:id="1">
    <w:p w14:paraId="70A961FF" w14:textId="77777777" w:rsidR="00E47278" w:rsidRDefault="00E47278" w:rsidP="00916E3D">
      <w:pPr>
        <w:pStyle w:val="Rodap"/>
        <w:ind w:firstLine="0"/>
        <w:rPr>
          <w:rFonts w:ascii="Arial" w:hAnsi="Arial" w:cs="Arial"/>
        </w:rPr>
      </w:pPr>
      <w:r>
        <w:rPr>
          <w:rStyle w:val="Refdenotaderodap"/>
        </w:rPr>
        <w:footnoteRef/>
      </w:r>
      <w:r>
        <w:t xml:space="preserve"> </w:t>
      </w:r>
      <w:r w:rsidRPr="00FF37EC">
        <w:rPr>
          <w:rFonts w:ascii="Arial" w:hAnsi="Arial" w:cs="Arial"/>
        </w:rPr>
        <w:t xml:space="preserve">Mestranda em Educação, Universidade Regional de Blumenau, Blumenau, Santa Catarina, Brasil, </w:t>
      </w:r>
      <w:hyperlink r:id="rId1" w:history="1">
        <w:r w:rsidRPr="00FF37EC">
          <w:rPr>
            <w:rStyle w:val="Hyperlink"/>
            <w:rFonts w:ascii="Arial" w:hAnsi="Arial" w:cs="Arial"/>
          </w:rPr>
          <w:t>greaninprofessora@yahoo.com.br</w:t>
        </w:r>
      </w:hyperlink>
    </w:p>
    <w:p w14:paraId="01268977" w14:textId="2D217018" w:rsidR="00E47278" w:rsidRDefault="00E47278" w:rsidP="00916E3D">
      <w:pPr>
        <w:pStyle w:val="Textodenotaderodap"/>
      </w:pPr>
    </w:p>
  </w:footnote>
  <w:footnote w:id="2">
    <w:p w14:paraId="7B8CC547" w14:textId="77777777" w:rsidR="00E47278" w:rsidRPr="00FF37EC" w:rsidRDefault="00E47278" w:rsidP="00916E3D">
      <w:pPr>
        <w:pStyle w:val="Rodap"/>
        <w:ind w:firstLine="0"/>
        <w:rPr>
          <w:rFonts w:ascii="Arial" w:hAnsi="Arial" w:cs="Arial"/>
        </w:rPr>
      </w:pPr>
      <w:r>
        <w:rPr>
          <w:rStyle w:val="Refdenotaderodap"/>
        </w:rPr>
        <w:footnoteRef/>
      </w:r>
      <w:r>
        <w:t xml:space="preserve"> </w:t>
      </w:r>
      <w:r w:rsidRPr="00FF37EC">
        <w:rPr>
          <w:rFonts w:ascii="Arial" w:hAnsi="Arial" w:cs="Arial"/>
        </w:rPr>
        <w:t xml:space="preserve">Mestranda em Educação, Universidade Regional de Blumenau, Blumenau, Santa Catarina, Brasil, </w:t>
      </w:r>
      <w:hyperlink r:id="rId2" w:history="1">
        <w:r w:rsidRPr="00FF37EC">
          <w:rPr>
            <w:rStyle w:val="Hyperlink"/>
            <w:rFonts w:ascii="Arial" w:hAnsi="Arial" w:cs="Arial"/>
          </w:rPr>
          <w:t>kellyayanna@furb.br</w:t>
        </w:r>
      </w:hyperlink>
    </w:p>
    <w:p w14:paraId="53BE28D0" w14:textId="62792DCD" w:rsidR="00E47278" w:rsidRDefault="00E47278">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454F"/>
    <w:rsid w:val="00017230"/>
    <w:rsid w:val="000251AB"/>
    <w:rsid w:val="00026BCD"/>
    <w:rsid w:val="0004284F"/>
    <w:rsid w:val="00042954"/>
    <w:rsid w:val="00055BA2"/>
    <w:rsid w:val="00057443"/>
    <w:rsid w:val="00083ECD"/>
    <w:rsid w:val="0008414C"/>
    <w:rsid w:val="00091F4C"/>
    <w:rsid w:val="000B3107"/>
    <w:rsid w:val="000B3767"/>
    <w:rsid w:val="000C4F87"/>
    <w:rsid w:val="000D4380"/>
    <w:rsid w:val="00101D85"/>
    <w:rsid w:val="00116C61"/>
    <w:rsid w:val="00126DD2"/>
    <w:rsid w:val="00133DE8"/>
    <w:rsid w:val="00143DA4"/>
    <w:rsid w:val="0015196A"/>
    <w:rsid w:val="00154AF7"/>
    <w:rsid w:val="00163493"/>
    <w:rsid w:val="00172360"/>
    <w:rsid w:val="00194448"/>
    <w:rsid w:val="001A1913"/>
    <w:rsid w:val="001A3BDA"/>
    <w:rsid w:val="001B0B31"/>
    <w:rsid w:val="001D23A0"/>
    <w:rsid w:val="001E54C1"/>
    <w:rsid w:val="001E75F3"/>
    <w:rsid w:val="001F6136"/>
    <w:rsid w:val="00217CF3"/>
    <w:rsid w:val="002506BE"/>
    <w:rsid w:val="00250E5E"/>
    <w:rsid w:val="00251815"/>
    <w:rsid w:val="00286A63"/>
    <w:rsid w:val="0029403C"/>
    <w:rsid w:val="00297730"/>
    <w:rsid w:val="002A6224"/>
    <w:rsid w:val="002D4387"/>
    <w:rsid w:val="002E5744"/>
    <w:rsid w:val="0030144E"/>
    <w:rsid w:val="0030158D"/>
    <w:rsid w:val="003063C9"/>
    <w:rsid w:val="00390C0D"/>
    <w:rsid w:val="00391E0A"/>
    <w:rsid w:val="00391F87"/>
    <w:rsid w:val="003A16B9"/>
    <w:rsid w:val="003A53FB"/>
    <w:rsid w:val="003B2FAA"/>
    <w:rsid w:val="003B5B9D"/>
    <w:rsid w:val="003B6045"/>
    <w:rsid w:val="003D08B6"/>
    <w:rsid w:val="003E279A"/>
    <w:rsid w:val="003F656B"/>
    <w:rsid w:val="00403677"/>
    <w:rsid w:val="00435A4C"/>
    <w:rsid w:val="004371A8"/>
    <w:rsid w:val="00442C14"/>
    <w:rsid w:val="00454912"/>
    <w:rsid w:val="0047767C"/>
    <w:rsid w:val="00483A93"/>
    <w:rsid w:val="00485239"/>
    <w:rsid w:val="00485697"/>
    <w:rsid w:val="004B0EE5"/>
    <w:rsid w:val="004C0FF1"/>
    <w:rsid w:val="004C10A5"/>
    <w:rsid w:val="004C446D"/>
    <w:rsid w:val="004D022B"/>
    <w:rsid w:val="00501902"/>
    <w:rsid w:val="00522804"/>
    <w:rsid w:val="00526D12"/>
    <w:rsid w:val="00531E8C"/>
    <w:rsid w:val="00555367"/>
    <w:rsid w:val="0057474E"/>
    <w:rsid w:val="00576DF9"/>
    <w:rsid w:val="00597F8A"/>
    <w:rsid w:val="005A2B0A"/>
    <w:rsid w:val="005C5724"/>
    <w:rsid w:val="005C58D8"/>
    <w:rsid w:val="005D3A9E"/>
    <w:rsid w:val="0060173B"/>
    <w:rsid w:val="006017C1"/>
    <w:rsid w:val="006032B4"/>
    <w:rsid w:val="00614953"/>
    <w:rsid w:val="006306D9"/>
    <w:rsid w:val="00646D7A"/>
    <w:rsid w:val="0068327B"/>
    <w:rsid w:val="00695D93"/>
    <w:rsid w:val="006C2E27"/>
    <w:rsid w:val="006D2F5D"/>
    <w:rsid w:val="006D3ABF"/>
    <w:rsid w:val="006E7866"/>
    <w:rsid w:val="007016EA"/>
    <w:rsid w:val="00704890"/>
    <w:rsid w:val="00707214"/>
    <w:rsid w:val="00717678"/>
    <w:rsid w:val="00760B15"/>
    <w:rsid w:val="0076389E"/>
    <w:rsid w:val="00777399"/>
    <w:rsid w:val="00777958"/>
    <w:rsid w:val="007A1F67"/>
    <w:rsid w:val="007B3083"/>
    <w:rsid w:val="007B7881"/>
    <w:rsid w:val="007C257B"/>
    <w:rsid w:val="007D0EAE"/>
    <w:rsid w:val="007E2E87"/>
    <w:rsid w:val="007E33B8"/>
    <w:rsid w:val="007F3AF2"/>
    <w:rsid w:val="00812F49"/>
    <w:rsid w:val="00816D36"/>
    <w:rsid w:val="00823FCA"/>
    <w:rsid w:val="00827FF4"/>
    <w:rsid w:val="00836A3A"/>
    <w:rsid w:val="008562B7"/>
    <w:rsid w:val="00865FF8"/>
    <w:rsid w:val="0087040B"/>
    <w:rsid w:val="00892CA9"/>
    <w:rsid w:val="008967EE"/>
    <w:rsid w:val="008B711F"/>
    <w:rsid w:val="008C02E5"/>
    <w:rsid w:val="008C6DFB"/>
    <w:rsid w:val="008F32E8"/>
    <w:rsid w:val="008F3891"/>
    <w:rsid w:val="0090786F"/>
    <w:rsid w:val="00915550"/>
    <w:rsid w:val="00916E3D"/>
    <w:rsid w:val="009173EC"/>
    <w:rsid w:val="00934618"/>
    <w:rsid w:val="00965B62"/>
    <w:rsid w:val="009676AF"/>
    <w:rsid w:val="00971680"/>
    <w:rsid w:val="0098531D"/>
    <w:rsid w:val="009A0059"/>
    <w:rsid w:val="009A33DE"/>
    <w:rsid w:val="009B4393"/>
    <w:rsid w:val="009E3B90"/>
    <w:rsid w:val="009E6C0F"/>
    <w:rsid w:val="00A161E5"/>
    <w:rsid w:val="00A223FB"/>
    <w:rsid w:val="00A27006"/>
    <w:rsid w:val="00A35ED3"/>
    <w:rsid w:val="00A47061"/>
    <w:rsid w:val="00AB2173"/>
    <w:rsid w:val="00AB47AE"/>
    <w:rsid w:val="00AD5392"/>
    <w:rsid w:val="00AD658C"/>
    <w:rsid w:val="00AF346D"/>
    <w:rsid w:val="00AF4418"/>
    <w:rsid w:val="00AF55AB"/>
    <w:rsid w:val="00B2706C"/>
    <w:rsid w:val="00B3107E"/>
    <w:rsid w:val="00B31EAA"/>
    <w:rsid w:val="00B35ECD"/>
    <w:rsid w:val="00B47A4E"/>
    <w:rsid w:val="00B61B60"/>
    <w:rsid w:val="00B6500C"/>
    <w:rsid w:val="00B663F7"/>
    <w:rsid w:val="00B7745C"/>
    <w:rsid w:val="00B801C6"/>
    <w:rsid w:val="00BA460D"/>
    <w:rsid w:val="00BA68B0"/>
    <w:rsid w:val="00BB3206"/>
    <w:rsid w:val="00BB34FF"/>
    <w:rsid w:val="00BD004B"/>
    <w:rsid w:val="00BD042D"/>
    <w:rsid w:val="00BD0F6C"/>
    <w:rsid w:val="00BD278E"/>
    <w:rsid w:val="00BD722D"/>
    <w:rsid w:val="00BE76DE"/>
    <w:rsid w:val="00BF09E3"/>
    <w:rsid w:val="00C8769A"/>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A3654"/>
    <w:rsid w:val="00DC0714"/>
    <w:rsid w:val="00DE30BE"/>
    <w:rsid w:val="00DF040B"/>
    <w:rsid w:val="00E044EA"/>
    <w:rsid w:val="00E05F28"/>
    <w:rsid w:val="00E31A9B"/>
    <w:rsid w:val="00E406F6"/>
    <w:rsid w:val="00E47278"/>
    <w:rsid w:val="00E57BDA"/>
    <w:rsid w:val="00E65BC9"/>
    <w:rsid w:val="00E73320"/>
    <w:rsid w:val="00E91D9C"/>
    <w:rsid w:val="00EC1F91"/>
    <w:rsid w:val="00ED4385"/>
    <w:rsid w:val="00ED7BE5"/>
    <w:rsid w:val="00EE2639"/>
    <w:rsid w:val="00F27CE0"/>
    <w:rsid w:val="00F32F47"/>
    <w:rsid w:val="00F46CF2"/>
    <w:rsid w:val="00F647DC"/>
    <w:rsid w:val="00F72FD3"/>
    <w:rsid w:val="00F97363"/>
    <w:rsid w:val="00F97C22"/>
    <w:rsid w:val="00FB15BE"/>
    <w:rsid w:val="00FB7715"/>
    <w:rsid w:val="00FC02FB"/>
    <w:rsid w:val="00FC4166"/>
    <w:rsid w:val="00FC6AF0"/>
    <w:rsid w:val="00FE005E"/>
    <w:rsid w:val="00FE40BB"/>
    <w:rsid w:val="00FE5684"/>
    <w:rsid w:val="00FF4D6A"/>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FB15BE"/>
    <w:rPr>
      <w:b/>
      <w:bCs/>
    </w:rPr>
  </w:style>
  <w:style w:type="paragraph" w:styleId="NormalWeb">
    <w:name w:val="Normal (Web)"/>
    <w:basedOn w:val="Normal"/>
    <w:uiPriority w:val="99"/>
    <w:unhideWhenUsed/>
    <w:rsid w:val="00FB15BE"/>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14:ligatures w14:val="none"/>
    </w:rPr>
  </w:style>
  <w:style w:type="character" w:styleId="nfase">
    <w:name w:val="Emphasis"/>
    <w:uiPriority w:val="20"/>
    <w:qFormat/>
    <w:rsid w:val="00FB15BE"/>
    <w:rPr>
      <w:i/>
      <w:iCs/>
    </w:rPr>
  </w:style>
  <w:style w:type="character" w:customStyle="1" w:styleId="f500">
    <w:name w:val="f500"/>
    <w:basedOn w:val="Fontepargpadro"/>
    <w:rsid w:val="00FB1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mec.gov.br/secretaria-de-regulacao-e-supervisao-da-educacao-superior-seres/30000-uncategorised/90871-resolucoes-ceb-202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ergamumweb.udesc.br/pesquisa_geral?q=Lib%C3%A2neo,%20Jos%C3%A9%20Carlos&amp;for=AUTOR" TargetMode="External"/><Relationship Id="rId4" Type="http://schemas.openxmlformats.org/officeDocument/2006/relationships/settings" Target="settings.xml"/><Relationship Id="rId9" Type="http://schemas.openxmlformats.org/officeDocument/2006/relationships/hyperlink" Target="https://hugoribeiro.com.br/biblioteca-digital/Demo-Aprendizagens_novas_tecnologias.pdf"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mailto:kellyayanna@furb.br" TargetMode="External"/><Relationship Id="rId1" Type="http://schemas.openxmlformats.org/officeDocument/2006/relationships/hyperlink" Target="mailto:greaninprofessora@yahoo.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2486</Words>
  <Characters>13428</Characters>
  <Application>Microsoft Office Word</Application>
  <DocSecurity>0</DocSecurity>
  <Lines>111</Lines>
  <Paragraphs>31</Paragraphs>
  <ScaleCrop>false</ScaleCrop>
  <Company/>
  <LinksUpToDate>false</LinksUpToDate>
  <CharactersWithSpaces>15883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Kelly Ayanna Peters Barros</cp:lastModifiedBy>
  <cp:revision>16</cp:revision>
  <dcterms:created xsi:type="dcterms:W3CDTF">2025-11-02T22:32:00Z</dcterms:created>
  <dcterms:modified xsi:type="dcterms:W3CDTF">2025-11-03T01:44:00Z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