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" w:hAnsi="Times"/>
          <w:b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AN FIRST ASSESSMENT OF  </w:t>
      </w:r>
      <w:r>
        <w:rPr>
          <w:rFonts w:ascii="Times" w:hAnsi="Times"/>
          <w:b/>
          <w:i/>
          <w:iCs/>
          <w:sz w:val="24"/>
          <w:szCs w:val="24"/>
          <w:lang w:val="en-US"/>
        </w:rPr>
        <w:t>Buellia</w:t>
      </w:r>
      <w:r>
        <w:rPr>
          <w:rFonts w:ascii="Times" w:hAnsi="Times"/>
          <w:b/>
          <w:sz w:val="24"/>
          <w:szCs w:val="24"/>
          <w:lang w:val="en-US"/>
        </w:rPr>
        <w:t xml:space="preserve"> s.l. FROM THE GALAPAGOS ISLANDS: SPECIES CONTAINING XANTHONES</w:t>
      </w:r>
    </w:p>
    <w:p>
      <w:pPr>
        <w:pStyle w:val="Normal"/>
        <w:spacing w:before="0"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Christian Parrinello</w:t>
      </w:r>
      <w:r>
        <w:rPr>
          <w:rFonts w:ascii="Times" w:hAnsi="Times"/>
          <w:sz w:val="24"/>
          <w:szCs w:val="24"/>
          <w:vertAlign w:val="superscript"/>
          <w:lang w:val="en-US"/>
        </w:rPr>
        <w:t>1*</w:t>
      </w:r>
      <w:r>
        <w:rPr>
          <w:rFonts w:ascii="Times" w:hAnsi="Times"/>
          <w:sz w:val="24"/>
          <w:szCs w:val="24"/>
          <w:lang w:val="en-US"/>
        </w:rPr>
        <w:t>; John A. Elix</w:t>
      </w:r>
      <w:r>
        <w:rPr>
          <w:rFonts w:ascii="Times" w:hAnsi="Times"/>
          <w:sz w:val="24"/>
          <w:szCs w:val="24"/>
          <w:vertAlign w:val="superscript"/>
          <w:lang w:val="en-US"/>
        </w:rPr>
        <w:t>4</w:t>
      </w:r>
      <w:r>
        <w:rPr>
          <w:rFonts w:ascii="Times" w:hAnsi="Times"/>
          <w:sz w:val="24"/>
          <w:szCs w:val="24"/>
          <w:lang w:val="en-US"/>
        </w:rPr>
        <w:t>; Todd Widhelm</w:t>
      </w:r>
      <w:r>
        <w:rPr>
          <w:rFonts w:ascii="Times" w:hAnsi="Times"/>
          <w:sz w:val="24"/>
          <w:szCs w:val="24"/>
          <w:vertAlign w:val="superscript"/>
          <w:lang w:val="en-US"/>
        </w:rPr>
        <w:t>5</w:t>
      </w:r>
      <w:r>
        <w:rPr>
          <w:rFonts w:ascii="Times" w:hAnsi="Times"/>
          <w:sz w:val="24"/>
          <w:szCs w:val="24"/>
          <w:lang w:val="en-US"/>
        </w:rPr>
        <w:t>; H. Thorsten Lumbsch</w:t>
      </w:r>
      <w:r>
        <w:rPr>
          <w:rFonts w:ascii="Times" w:hAnsi="Times"/>
          <w:sz w:val="24"/>
          <w:szCs w:val="24"/>
          <w:vertAlign w:val="superscript"/>
          <w:lang w:val="en-US"/>
        </w:rPr>
        <w:t>5</w:t>
      </w:r>
      <w:r>
        <w:rPr>
          <w:rFonts w:ascii="Times" w:hAnsi="Times"/>
          <w:position w:val="0"/>
          <w:sz w:val="24"/>
          <w:sz w:val="24"/>
          <w:szCs w:val="24"/>
          <w:vertAlign w:val="baseline"/>
          <w:lang w:val="en-US"/>
        </w:rPr>
        <w:t>; Frank Bungartz</w:t>
      </w:r>
      <w:r>
        <w:rPr>
          <w:rFonts w:ascii="Times" w:hAnsi="Times"/>
          <w:sz w:val="24"/>
          <w:szCs w:val="24"/>
          <w:vertAlign w:val="superscript"/>
          <w:lang w:val="en-US"/>
        </w:rPr>
        <w:t>1, 2, 3</w:t>
      </w:r>
    </w:p>
    <w:p>
      <w:pPr>
        <w:pStyle w:val="Normal"/>
        <w:jc w:val="center"/>
        <w:rPr>
          <w:rStyle w:val="Internet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>
        <w:rPr>
          <w:rFonts w:cs="Times" w:ascii="Times" w:hAnsi="Times"/>
          <w:color w:val="000000"/>
          <w:sz w:val="24"/>
          <w:szCs w:val="24"/>
          <w:lang w:val="en-US"/>
        </w:rPr>
        <w:t>Biodiversity Integration Knowledge Center &amp; School of Life Sciences, Arizona State University, USA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>
        <w:rPr>
          <w:rFonts w:cs="Times" w:ascii="Times" w:hAnsi="Times"/>
          <w:color w:val="000000"/>
          <w:sz w:val="24"/>
          <w:szCs w:val="24"/>
          <w:lang w:val="en-US"/>
        </w:rPr>
        <w:t>Charles Darwin Foundation for the Galapagos Islands, Ecuador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r>
        <w:rPr>
          <w:rFonts w:cs="Times" w:ascii="Times" w:hAnsi="Times"/>
          <w:color w:val="000000"/>
          <w:sz w:val="24"/>
          <w:szCs w:val="24"/>
          <w:lang w:val="en-US"/>
        </w:rPr>
        <w:t>Instituto Nacional de Biodiversidad (INABIO), Ecuador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4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Australian National University;</w:t>
      </w:r>
      <w:r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 5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Field Museum, USA; </w:t>
      </w:r>
      <w:r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E-mail: cparrin1@asu.edu</w:t>
      </w:r>
    </w:p>
    <w:p>
      <w:pPr>
        <w:pStyle w:val="Normal"/>
        <w:jc w:val="center"/>
        <w:rPr>
          <w:rStyle w:val="Internet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>
        <w:rPr>
          <w:rFonts w:ascii="Times" w:hAnsi="Times"/>
          <w:color w:val="000000" w:themeColor="text1"/>
          <w:sz w:val="24"/>
          <w:szCs w:val="24"/>
          <w:u w:val="none"/>
          <w:lang w:val="en-US"/>
        </w:rPr>
      </w:r>
    </w:p>
    <w:p>
      <w:pPr>
        <w:pStyle w:val="Normal"/>
        <w:spacing w:lineRule="auto" w:line="276" w:before="0" w:after="160"/>
        <w:jc w:val="both"/>
        <w:rPr>
          <w:rFonts w:ascii="Times" w:hAnsi="Times"/>
          <w:color w:val="000000"/>
          <w:sz w:val="24"/>
          <w:szCs w:val="24"/>
          <w:lang w:val="en-US"/>
        </w:rPr>
      </w:pPr>
      <w:r>
        <w:rPr>
          <w:rFonts w:cs="Times" w:ascii="Times" w:hAnsi="Times"/>
          <w:color w:val="000000"/>
          <w:sz w:val="24"/>
          <w:szCs w:val="24"/>
          <w:lang w:val="en-US"/>
        </w:rPr>
        <w:t xml:space="preserve">The genus </w:t>
      </w:r>
      <w:r>
        <w:rPr>
          <w:rFonts w:cs="Times" w:ascii="Times" w:hAnsi="Times"/>
          <w:i/>
          <w:iCs/>
          <w:color w:val="000000"/>
          <w:sz w:val="24"/>
          <w:szCs w:val="24"/>
          <w:lang w:val="en-US"/>
        </w:rPr>
        <w:t>Buellia</w:t>
      </w:r>
      <w:r>
        <w:rPr>
          <w:rFonts w:cs="Times" w:ascii="Times" w:hAnsi="Times"/>
          <w:color w:val="000000"/>
          <w:sz w:val="24"/>
          <w:szCs w:val="24"/>
          <w:lang w:val="en-US"/>
        </w:rPr>
        <w:t xml:space="preserve"> remains one of the largest, poorly resolved genera of crustose lichens world-wide. A global revision based on existing data is challenging because of </w:t>
      </w:r>
      <w:r>
        <w:rPr>
          <w:rFonts w:eastAsia="Cambria" w:cs="Times" w:ascii="Times" w:hAnsi="Times"/>
          <w:color w:val="000000"/>
          <w:sz w:val="24"/>
          <w:szCs w:val="24"/>
          <w:lang w:val="en-US"/>
        </w:rPr>
        <w:t>an</w:t>
      </w:r>
      <w:r>
        <w:rPr>
          <w:rFonts w:cs="Times" w:ascii="Times" w:hAnsi="Times"/>
          <w:color w:val="000000"/>
          <w:sz w:val="24"/>
          <w:szCs w:val="24"/>
          <w:lang w:val="en-US"/>
        </w:rPr>
        <w:t xml:space="preserve"> enormous diversity in the group. In the Galapagos Islands, species of </w:t>
      </w:r>
      <w:r>
        <w:rPr>
          <w:rFonts w:cs="Times" w:ascii="Times" w:hAnsi="Times"/>
          <w:i/>
          <w:iCs/>
          <w:color w:val="000000"/>
          <w:sz w:val="24"/>
          <w:szCs w:val="24"/>
          <w:lang w:val="en-US"/>
        </w:rPr>
        <w:t>Buellia</w:t>
      </w:r>
      <w:r>
        <w:rPr>
          <w:rFonts w:cs="Times" w:ascii="Times" w:hAnsi="Times"/>
          <w:color w:val="000000"/>
          <w:sz w:val="24"/>
          <w:szCs w:val="24"/>
          <w:lang w:val="en-US"/>
        </w:rPr>
        <w:t xml:space="preserve"> s.l. are very common, widely distributed and unusually diverse. </w:t>
      </w:r>
      <w:r>
        <w:rPr>
          <w:rFonts w:eastAsia="Cambria" w:cs="Times" w:ascii="Times" w:hAnsi="Times"/>
          <w:color w:val="000000"/>
          <w:sz w:val="24"/>
          <w:szCs w:val="24"/>
          <w:lang w:val="en-US"/>
        </w:rPr>
        <w:t>As</w:t>
      </w:r>
      <w:r>
        <w:rPr>
          <w:rFonts w:cs="Times" w:ascii="Times" w:hAnsi="Times"/>
          <w:color w:val="000000"/>
          <w:sz w:val="24"/>
          <w:szCs w:val="24"/>
          <w:lang w:val="en-US"/>
        </w:rPr>
        <w:t xml:space="preserve"> a first step towards a more comprehensive revision, </w:t>
      </w:r>
      <w:r>
        <w:rPr>
          <w:rFonts w:eastAsia="Cambria" w:cs="Times" w:ascii="Times" w:hAnsi="Times"/>
          <w:color w:val="000000"/>
          <w:sz w:val="24"/>
          <w:szCs w:val="24"/>
          <w:lang w:val="en-US"/>
        </w:rPr>
        <w:t xml:space="preserve">we decided to focus on a group easily separated </w:t>
      </w:r>
      <w:r>
        <w:rPr>
          <w:rFonts w:eastAsia="Adobe Caslon Pro Bold" w:cs="Adobe Caslon Pro Bold" w:ascii="Adobe Caslon Pro Bold" w:hAnsi="Adobe Caslon Pro Bold"/>
          <w:color w:val="000000"/>
          <w:sz w:val="24"/>
          <w:szCs w:val="24"/>
          <w:lang w:val="en-US"/>
        </w:rPr>
        <w:t>–</w:t>
      </w:r>
      <w:r>
        <w:rPr>
          <w:rFonts w:eastAsia="Cambria" w:cs="Times" w:ascii="Times" w:hAnsi="Times"/>
          <w:color w:val="000000"/>
          <w:sz w:val="24"/>
          <w:szCs w:val="24"/>
          <w:lang w:val="en-US"/>
        </w:rPr>
        <w:t xml:space="preserve"> s</w:t>
      </w:r>
      <w:r>
        <w:rPr>
          <w:rFonts w:cs="Times" w:ascii="Times" w:hAnsi="Times"/>
          <w:color w:val="000000"/>
          <w:sz w:val="24"/>
          <w:szCs w:val="24"/>
          <w:lang w:val="en-US"/>
        </w:rPr>
        <w:t>pecimens containing xanthones  recognized by their pale yellowish green thall</w:t>
      </w:r>
      <w:r>
        <w:rPr>
          <w:rFonts w:eastAsia="Cambria" w:cs="Times" w:ascii="Times" w:hAnsi="Times"/>
          <w:color w:val="000000"/>
          <w:sz w:val="24"/>
          <w:szCs w:val="24"/>
          <w:lang w:val="en-US"/>
        </w:rPr>
        <w:t>i</w:t>
      </w:r>
      <w:r>
        <w:rPr>
          <w:rFonts w:cs="Times" w:ascii="Times" w:hAnsi="Times"/>
          <w:color w:val="000000"/>
          <w:sz w:val="24"/>
          <w:szCs w:val="24"/>
          <w:lang w:val="en-US"/>
        </w:rPr>
        <w:t xml:space="preserve">, displaying a UV+ bright yellow to bright orange fluorescence and/or a C+ orange spot test reaction. The heterogeneous group represents an assemblage of taxa that are not closely, phylogenetically related. </w:t>
      </w:r>
      <w:r>
        <w:rPr>
          <w:rFonts w:eastAsia="Cambria" w:cs="Times" w:ascii="Times" w:hAnsi="Times"/>
          <w:color w:val="000000"/>
          <w:sz w:val="24"/>
          <w:szCs w:val="24"/>
          <w:lang w:val="en-US"/>
        </w:rPr>
        <w:t>Secondary chemistry of the specimens was analyzed with thin-layer chromatography, first using standard solvent system C to confirm the presence of xanthones, then examining specimens further in solvent F, comparing specimen extracts with samples of pure xanthones. Documenting their morphology, anatomy and secondary chemistry, we present here a dichotomous key to distinguish the species. Ultimately these results will contribute to a more comprehensive phylogenetic revision, also employing molecular tools.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dobe Caslon Pro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2a2a"/>
    <w:pPr>
      <w:widowControl/>
      <w:suppressAutoHyphens w:val="true"/>
      <w:bidi w:val="0"/>
      <w:spacing w:lineRule="auto" w:line="259" w:before="0" w:after="160"/>
      <w:jc w:val="left"/>
    </w:pPr>
    <w:rPr>
      <w:rFonts w:ascii="Cambria" w:hAnsi="Cambria" w:eastAsia="Cambria" w:eastAsiaTheme="minorHAnsi" w:cs="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d22a2a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bd2764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c17"/>
    <w:rPr>
      <w:color w:val="605E5C"/>
      <w:shd w:fill="E1DFDD" w:val="clear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Pr>
      <w:rFonts w:ascii="Cambria" w:hAnsi="Cambria" w:eastAsia="Cambria" w:eastAsiaTheme="minorHAnsi"/>
      <w:szCs w:val="20"/>
      <w:lang w:val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913c3"/>
    <w:rPr>
      <w:rFonts w:ascii="Segoe UI" w:hAnsi="Segoe UI" w:eastAsia="Cambria" w:cs="Segoe UI" w:eastAsiaTheme="minorHAnsi"/>
      <w:sz w:val="18"/>
      <w:szCs w:val="18"/>
      <w:lang w:val="pt-B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13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LibreOffice/7.0.5.2$Windows_X86_64 LibreOffice_project/64390860c6cd0aca4beafafcfd84613dd9dfb63a</Application>
  <AppVersion>15.0000</AppVersion>
  <DocSecurity>0</DocSecurity>
  <Pages>1</Pages>
  <Words>239</Words>
  <Characters>1465</Characters>
  <CharactersWithSpaces>1703</CharactersWithSpaces>
  <Paragraphs>4</Paragraphs>
  <Company>NMNH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2021-04-14T19:03:00Z</dcterms:created>
  <dc:creator>Manuela Dal Forno</dc:creator>
  <dc:description/>
  <dc:language>en-US</dc:language>
  <cp:lastModifiedBy>Frank Bungartz</cp:lastModifiedBy>
  <dcterms:modified xsi:type="dcterms:W3CDTF">2021-04-27T09:36:45Z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