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616537" w14:textId="77777777" w:rsidR="00DA6E2C" w:rsidRPr="00DA30AF" w:rsidRDefault="00DA6E2C" w:rsidP="0050573B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DA30AF">
        <w:rPr>
          <w:rFonts w:ascii="Times New Roman" w:hAnsi="Times New Roman" w:cs="Times New Roman"/>
          <w:b/>
          <w:sz w:val="24"/>
          <w:szCs w:val="24"/>
          <w:lang w:val="pt-BR"/>
        </w:rPr>
        <w:t>Um terço dos indivíduos após AVE deambuladores comunitários ilimitados apresentam déficit no equilíbrio dinâmico</w:t>
      </w:r>
      <w:r w:rsidR="0050573B" w:rsidRPr="00DA30AF">
        <w:rPr>
          <w:rFonts w:ascii="Times New Roman" w:hAnsi="Times New Roman" w:cs="Times New Roman"/>
          <w:b/>
          <w:sz w:val="24"/>
          <w:szCs w:val="24"/>
          <w:lang w:val="pt-BR"/>
        </w:rPr>
        <w:t xml:space="preserve"> e risco </w:t>
      </w:r>
      <w:r w:rsidR="00232874" w:rsidRPr="00DA30AF">
        <w:rPr>
          <w:rFonts w:ascii="Times New Roman" w:hAnsi="Times New Roman" w:cs="Times New Roman"/>
          <w:b/>
          <w:sz w:val="24"/>
          <w:szCs w:val="24"/>
          <w:lang w:val="pt-BR"/>
        </w:rPr>
        <w:t xml:space="preserve">aumentado </w:t>
      </w:r>
      <w:r w:rsidR="0050573B" w:rsidRPr="00DA30AF">
        <w:rPr>
          <w:rFonts w:ascii="Times New Roman" w:hAnsi="Times New Roman" w:cs="Times New Roman"/>
          <w:b/>
          <w:sz w:val="24"/>
          <w:szCs w:val="24"/>
          <w:lang w:val="pt-BR"/>
        </w:rPr>
        <w:t xml:space="preserve">de queda </w:t>
      </w:r>
    </w:p>
    <w:p w14:paraId="3574E4B2" w14:textId="45ACC5DD" w:rsidR="00DA6E2C" w:rsidRPr="00DA30AF" w:rsidRDefault="00D87BEE" w:rsidP="00D87BEE">
      <w:pPr>
        <w:rPr>
          <w:rFonts w:ascii="Times New Roman" w:hAnsi="Times New Roman" w:cs="Times New Roman"/>
          <w:sz w:val="24"/>
          <w:szCs w:val="24"/>
          <w:u w:val="single"/>
          <w:lang w:val="pt-BR"/>
        </w:rPr>
      </w:pPr>
      <w:r w:rsidRPr="00DA30AF">
        <w:rPr>
          <w:rFonts w:ascii="Times New Roman" w:hAnsi="Times New Roman" w:cs="Times New Roman"/>
          <w:sz w:val="24"/>
          <w:szCs w:val="24"/>
          <w:lang w:val="pt-BR"/>
        </w:rPr>
        <w:t>Ana Luiza Ferreira</w:t>
      </w:r>
      <w:r w:rsidR="00D435E1" w:rsidRPr="00DA30AF">
        <w:rPr>
          <w:rFonts w:ascii="Times New Roman" w:hAnsi="Times New Roman" w:cs="Times New Roman"/>
          <w:sz w:val="24"/>
          <w:szCs w:val="24"/>
          <w:lang w:val="pt-BR"/>
        </w:rPr>
        <w:t xml:space="preserve"> de Castro</w:t>
      </w:r>
      <w:r w:rsidRPr="00DA30AF">
        <w:rPr>
          <w:rFonts w:ascii="Times New Roman" w:hAnsi="Times New Roman" w:cs="Times New Roman"/>
          <w:sz w:val="24"/>
          <w:szCs w:val="24"/>
          <w:lang w:val="pt-BR"/>
        </w:rPr>
        <w:t xml:space="preserve">, Maria Tereza Mota Alvarenga, Patrick Roberto Avelino, </w:t>
      </w:r>
      <w:proofErr w:type="spellStart"/>
      <w:r w:rsidRPr="00DA30AF">
        <w:rPr>
          <w:rFonts w:ascii="Times New Roman" w:hAnsi="Times New Roman" w:cs="Times New Roman"/>
          <w:sz w:val="24"/>
          <w:szCs w:val="24"/>
          <w:lang w:val="pt-BR"/>
        </w:rPr>
        <w:t>Kenia</w:t>
      </w:r>
      <w:proofErr w:type="spellEnd"/>
      <w:r w:rsidRPr="00DA30AF">
        <w:rPr>
          <w:rFonts w:ascii="Times New Roman" w:hAnsi="Times New Roman" w:cs="Times New Roman"/>
          <w:sz w:val="24"/>
          <w:szCs w:val="24"/>
          <w:lang w:val="pt-BR"/>
        </w:rPr>
        <w:t xml:space="preserve"> Kiefer de Menezes, </w:t>
      </w:r>
      <w:r w:rsidR="007A0E36" w:rsidRPr="00DA30AF">
        <w:rPr>
          <w:rFonts w:ascii="Times New Roman" w:hAnsi="Times New Roman" w:cs="Times New Roman"/>
          <w:sz w:val="24"/>
          <w:szCs w:val="24"/>
          <w:lang w:val="pt-BR"/>
        </w:rPr>
        <w:t xml:space="preserve">Luci </w:t>
      </w:r>
      <w:proofErr w:type="spellStart"/>
      <w:r w:rsidR="007A0E36" w:rsidRPr="00DA30AF">
        <w:rPr>
          <w:rFonts w:ascii="Times New Roman" w:hAnsi="Times New Roman" w:cs="Times New Roman"/>
          <w:sz w:val="24"/>
          <w:szCs w:val="24"/>
          <w:lang w:val="pt-BR"/>
        </w:rPr>
        <w:t>Fuscaldi</w:t>
      </w:r>
      <w:proofErr w:type="spellEnd"/>
      <w:r w:rsidR="007A0E36" w:rsidRPr="00DA30AF">
        <w:rPr>
          <w:rFonts w:ascii="Times New Roman" w:hAnsi="Times New Roman" w:cs="Times New Roman"/>
          <w:sz w:val="24"/>
          <w:szCs w:val="24"/>
          <w:lang w:val="pt-BR"/>
        </w:rPr>
        <w:t xml:space="preserve"> Teixeira-</w:t>
      </w:r>
      <w:proofErr w:type="spellStart"/>
      <w:r w:rsidR="007A0E36" w:rsidRPr="00DA30AF">
        <w:rPr>
          <w:rFonts w:ascii="Times New Roman" w:hAnsi="Times New Roman" w:cs="Times New Roman"/>
          <w:sz w:val="24"/>
          <w:szCs w:val="24"/>
          <w:lang w:val="pt-BR"/>
        </w:rPr>
        <w:t>Salmela</w:t>
      </w:r>
      <w:proofErr w:type="spellEnd"/>
      <w:r w:rsidR="007A0E36" w:rsidRPr="00DA30AF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Pr="00DA30AF">
        <w:rPr>
          <w:rFonts w:ascii="Times New Roman" w:hAnsi="Times New Roman" w:cs="Times New Roman"/>
          <w:sz w:val="24"/>
          <w:szCs w:val="24"/>
          <w:lang w:val="pt-BR"/>
        </w:rPr>
        <w:t xml:space="preserve">Aline Alvim Scianni </w:t>
      </w:r>
    </w:p>
    <w:p w14:paraId="607641DA" w14:textId="4A4ABBAD" w:rsidR="00A8271E" w:rsidRPr="00D005E4" w:rsidRDefault="008160EA" w:rsidP="00A45441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005E4">
        <w:rPr>
          <w:rFonts w:ascii="Times New Roman" w:hAnsi="Times New Roman" w:cs="Times New Roman"/>
          <w:b/>
          <w:sz w:val="24"/>
          <w:szCs w:val="24"/>
          <w:lang w:val="pt-BR"/>
        </w:rPr>
        <w:t>INTRODUÇÃO:</w:t>
      </w:r>
      <w:r w:rsidRPr="00D005E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A8271E" w:rsidRPr="00D005E4">
        <w:rPr>
          <w:rFonts w:ascii="Times New Roman" w:hAnsi="Times New Roman" w:cs="Times New Roman"/>
          <w:sz w:val="24"/>
          <w:szCs w:val="24"/>
          <w:lang w:val="pt-BR"/>
        </w:rPr>
        <w:t>A deambulação após um acidente vascular encefálico pode ser divi</w:t>
      </w:r>
      <w:r w:rsidR="00897CDC">
        <w:rPr>
          <w:rFonts w:ascii="Times New Roman" w:hAnsi="Times New Roman" w:cs="Times New Roman"/>
          <w:sz w:val="24"/>
          <w:szCs w:val="24"/>
          <w:lang w:val="pt-BR"/>
        </w:rPr>
        <w:t xml:space="preserve">dida em: </w:t>
      </w:r>
      <w:r w:rsidR="00A8271E" w:rsidRPr="00D005E4">
        <w:rPr>
          <w:rFonts w:ascii="Times New Roman" w:hAnsi="Times New Roman" w:cs="Times New Roman"/>
          <w:sz w:val="24"/>
          <w:szCs w:val="24"/>
          <w:lang w:val="pt-BR"/>
        </w:rPr>
        <w:t>domiciliar, comunitária limitada e comunitária ilimitada. N</w:t>
      </w:r>
      <w:r w:rsidR="00897CDC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A8271E" w:rsidRPr="00D005E4">
        <w:rPr>
          <w:rFonts w:ascii="Times New Roman" w:hAnsi="Times New Roman" w:cs="Times New Roman"/>
          <w:sz w:val="24"/>
          <w:szCs w:val="24"/>
          <w:lang w:val="pt-BR"/>
        </w:rPr>
        <w:t xml:space="preserve"> categoria de deambulação</w:t>
      </w:r>
      <w:r w:rsidR="00897CDC">
        <w:rPr>
          <w:rFonts w:ascii="Times New Roman" w:hAnsi="Times New Roman" w:cs="Times New Roman"/>
          <w:sz w:val="24"/>
          <w:szCs w:val="24"/>
          <w:lang w:val="pt-BR"/>
        </w:rPr>
        <w:t xml:space="preserve"> ilimitada,</w:t>
      </w:r>
      <w:r w:rsidR="00A8271E" w:rsidRPr="00D005E4">
        <w:rPr>
          <w:rFonts w:ascii="Times New Roman" w:hAnsi="Times New Roman" w:cs="Times New Roman"/>
          <w:sz w:val="24"/>
          <w:szCs w:val="24"/>
          <w:lang w:val="pt-BR"/>
        </w:rPr>
        <w:t xml:space="preserve"> os indivíduos são capazes de</w:t>
      </w:r>
      <w:r w:rsidR="00EC2173" w:rsidRPr="00D005E4">
        <w:rPr>
          <w:rFonts w:ascii="Times New Roman" w:hAnsi="Times New Roman" w:cs="Times New Roman"/>
          <w:sz w:val="24"/>
          <w:szCs w:val="24"/>
          <w:lang w:val="pt-BR"/>
        </w:rPr>
        <w:t xml:space="preserve"> deambular</w:t>
      </w:r>
      <w:r w:rsidR="00A8271E" w:rsidRPr="00D005E4">
        <w:rPr>
          <w:rFonts w:ascii="Times New Roman" w:hAnsi="Times New Roman" w:cs="Times New Roman"/>
          <w:sz w:val="24"/>
          <w:szCs w:val="24"/>
          <w:lang w:val="pt-BR"/>
        </w:rPr>
        <w:t xml:space="preserve"> pela comu</w:t>
      </w:r>
      <w:r w:rsidR="00C60EE0" w:rsidRPr="00D005E4">
        <w:rPr>
          <w:rFonts w:ascii="Times New Roman" w:hAnsi="Times New Roman" w:cs="Times New Roman"/>
          <w:sz w:val="24"/>
          <w:szCs w:val="24"/>
          <w:lang w:val="pt-BR"/>
        </w:rPr>
        <w:t xml:space="preserve">nidade de forma </w:t>
      </w:r>
      <w:r w:rsidR="00897CDC">
        <w:rPr>
          <w:rFonts w:ascii="Times New Roman" w:hAnsi="Times New Roman" w:cs="Times New Roman"/>
          <w:sz w:val="24"/>
          <w:szCs w:val="24"/>
          <w:lang w:val="pt-BR"/>
        </w:rPr>
        <w:t>não restrita</w:t>
      </w:r>
      <w:r w:rsidR="00C60EE0" w:rsidRPr="00D005E4">
        <w:rPr>
          <w:rFonts w:ascii="Times New Roman" w:hAnsi="Times New Roman" w:cs="Times New Roman"/>
          <w:sz w:val="24"/>
          <w:szCs w:val="24"/>
          <w:lang w:val="pt-BR"/>
        </w:rPr>
        <w:t xml:space="preserve">. Todavia, </w:t>
      </w:r>
      <w:r w:rsidR="00EC2173" w:rsidRPr="00D005E4">
        <w:rPr>
          <w:rFonts w:ascii="Times New Roman" w:hAnsi="Times New Roman" w:cs="Times New Roman"/>
          <w:sz w:val="24"/>
          <w:szCs w:val="24"/>
          <w:lang w:val="pt-BR"/>
        </w:rPr>
        <w:t>podem apresentar deficiências no equilíbrio dinâmico e</w:t>
      </w:r>
      <w:r w:rsidR="006677A0" w:rsidRPr="00D005E4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EC2173" w:rsidRPr="00D005E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6677A0" w:rsidRPr="00D005E4">
        <w:rPr>
          <w:rFonts w:ascii="Times New Roman" w:hAnsi="Times New Roman" w:cs="Times New Roman"/>
          <w:sz w:val="24"/>
          <w:szCs w:val="24"/>
          <w:lang w:val="pt-BR"/>
        </w:rPr>
        <w:t xml:space="preserve">consequentemente, </w:t>
      </w:r>
      <w:r w:rsidR="00EC2173" w:rsidRPr="00D005E4">
        <w:rPr>
          <w:rFonts w:ascii="Times New Roman" w:hAnsi="Times New Roman" w:cs="Times New Roman"/>
          <w:sz w:val="24"/>
          <w:szCs w:val="24"/>
          <w:lang w:val="pt-BR"/>
        </w:rPr>
        <w:t xml:space="preserve">risco aumentado para quedas. </w:t>
      </w:r>
    </w:p>
    <w:p w14:paraId="33C92316" w14:textId="77777777" w:rsidR="00835E88" w:rsidRPr="00D005E4" w:rsidRDefault="008160EA" w:rsidP="00A45441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005E4">
        <w:rPr>
          <w:rFonts w:ascii="Times New Roman" w:hAnsi="Times New Roman" w:cs="Times New Roman"/>
          <w:b/>
          <w:sz w:val="24"/>
          <w:szCs w:val="24"/>
          <w:lang w:val="pt-BR"/>
        </w:rPr>
        <w:t>OBJETIVO:</w:t>
      </w:r>
      <w:r w:rsidRPr="00D005E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F3038D" w:rsidRPr="00D005E4">
        <w:rPr>
          <w:rFonts w:ascii="Times New Roman" w:hAnsi="Times New Roman" w:cs="Times New Roman"/>
          <w:sz w:val="24"/>
          <w:szCs w:val="24"/>
          <w:lang w:val="pt-BR"/>
        </w:rPr>
        <w:t xml:space="preserve">Caracterizar uma amostra de indivíduos </w:t>
      </w:r>
      <w:bookmarkStart w:id="0" w:name="_GoBack"/>
      <w:bookmarkEnd w:id="0"/>
      <w:r w:rsidR="00232874" w:rsidRPr="00D005E4">
        <w:rPr>
          <w:rFonts w:ascii="Times New Roman" w:hAnsi="Times New Roman" w:cs="Times New Roman"/>
          <w:sz w:val="24"/>
          <w:szCs w:val="24"/>
          <w:lang w:val="pt-BR"/>
        </w:rPr>
        <w:t xml:space="preserve">após AVE crônicos </w:t>
      </w:r>
      <w:r w:rsidR="00F3038D" w:rsidRPr="00D005E4">
        <w:rPr>
          <w:rFonts w:ascii="Times New Roman" w:hAnsi="Times New Roman" w:cs="Times New Roman"/>
          <w:sz w:val="24"/>
          <w:szCs w:val="24"/>
          <w:lang w:val="pt-BR"/>
        </w:rPr>
        <w:t>deambuladores comunitários ilimitados em rela</w:t>
      </w:r>
      <w:r w:rsidR="00EC2173" w:rsidRPr="00D005E4">
        <w:rPr>
          <w:rFonts w:ascii="Times New Roman" w:hAnsi="Times New Roman" w:cs="Times New Roman"/>
          <w:sz w:val="24"/>
          <w:szCs w:val="24"/>
          <w:lang w:val="pt-BR"/>
        </w:rPr>
        <w:t xml:space="preserve">ção ao seu equilíbrio dinâmico e risco de quedas. </w:t>
      </w:r>
    </w:p>
    <w:p w14:paraId="4653C321" w14:textId="276BB33D" w:rsidR="004F6B48" w:rsidRPr="00D005E4" w:rsidRDefault="00F3038D" w:rsidP="00A45441">
      <w:p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005E4">
        <w:rPr>
          <w:rFonts w:ascii="Times New Roman" w:hAnsi="Times New Roman" w:cs="Times New Roman"/>
          <w:b/>
          <w:sz w:val="24"/>
          <w:szCs w:val="24"/>
          <w:lang w:val="pt-BR"/>
        </w:rPr>
        <w:t>MÉTODOS:</w:t>
      </w:r>
      <w:r w:rsidRPr="00D005E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835E88" w:rsidRPr="00D005E4">
        <w:rPr>
          <w:rFonts w:ascii="Times New Roman" w:hAnsi="Times New Roman" w:cs="Times New Roman"/>
          <w:sz w:val="24"/>
          <w:szCs w:val="24"/>
          <w:lang w:val="pt-BR"/>
        </w:rPr>
        <w:t xml:space="preserve">Os critérios de inclusão foram: idade ≥18 anos, diagnóstico de AVE crônico, ausência de alterações cognitivas (identificadas através do Mini Exame do Estado Mental). </w:t>
      </w:r>
      <w:r w:rsidR="00391D10" w:rsidRPr="00D005E4">
        <w:rPr>
          <w:rFonts w:ascii="Times New Roman" w:hAnsi="Times New Roman" w:cs="Times New Roman"/>
          <w:sz w:val="24"/>
          <w:szCs w:val="24"/>
          <w:lang w:val="pt-BR"/>
        </w:rPr>
        <w:t xml:space="preserve">A deambulação comunitária ilimitada foi definida </w:t>
      </w:r>
      <w:r w:rsidR="006677A0" w:rsidRPr="00D005E4">
        <w:rPr>
          <w:rFonts w:ascii="Times New Roman" w:hAnsi="Times New Roman" w:cs="Times New Roman"/>
          <w:sz w:val="24"/>
          <w:szCs w:val="24"/>
          <w:lang w:val="pt-BR"/>
        </w:rPr>
        <w:t>pelo</w:t>
      </w:r>
      <w:r w:rsidR="00391D10" w:rsidRPr="00D005E4">
        <w:rPr>
          <w:rFonts w:ascii="Times New Roman" w:hAnsi="Times New Roman" w:cs="Times New Roman"/>
          <w:sz w:val="24"/>
          <w:szCs w:val="24"/>
          <w:lang w:val="pt-BR"/>
        </w:rPr>
        <w:t xml:space="preserve"> ponto de corte de 288 metros ou mais percorridos no Teste de Caminhada de 6 minutos (TC6). Para avaliação do equilíbrio dinâmico foi utilizado o </w:t>
      </w:r>
      <w:r w:rsidR="00391D10" w:rsidRPr="00D005E4">
        <w:rPr>
          <w:rFonts w:ascii="Times New Roman" w:hAnsi="Times New Roman" w:cs="Times New Roman"/>
          <w:i/>
          <w:sz w:val="24"/>
          <w:szCs w:val="24"/>
          <w:lang w:val="pt-BR"/>
        </w:rPr>
        <w:t xml:space="preserve">Four </w:t>
      </w:r>
      <w:proofErr w:type="spellStart"/>
      <w:r w:rsidR="00391D10" w:rsidRPr="00D005E4">
        <w:rPr>
          <w:rFonts w:ascii="Times New Roman" w:hAnsi="Times New Roman" w:cs="Times New Roman"/>
          <w:i/>
          <w:sz w:val="24"/>
          <w:szCs w:val="24"/>
          <w:lang w:val="pt-BR"/>
        </w:rPr>
        <w:t>Step</w:t>
      </w:r>
      <w:proofErr w:type="spellEnd"/>
      <w:r w:rsidR="00391D10" w:rsidRPr="00D005E4">
        <w:rPr>
          <w:rFonts w:ascii="Times New Roman" w:hAnsi="Times New Roman" w:cs="Times New Roman"/>
          <w:i/>
          <w:sz w:val="24"/>
          <w:szCs w:val="24"/>
          <w:lang w:val="pt-BR"/>
        </w:rPr>
        <w:t xml:space="preserve"> Square Test</w:t>
      </w:r>
      <w:r w:rsidR="00835E88" w:rsidRPr="00D005E4">
        <w:rPr>
          <w:rFonts w:ascii="Times New Roman" w:hAnsi="Times New Roman" w:cs="Times New Roman"/>
          <w:i/>
          <w:sz w:val="24"/>
          <w:szCs w:val="24"/>
          <w:lang w:val="pt-BR"/>
        </w:rPr>
        <w:t>,</w:t>
      </w:r>
      <w:r w:rsidR="00835E88" w:rsidRPr="00D005E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6677A0" w:rsidRPr="00D005E4">
        <w:rPr>
          <w:rFonts w:ascii="Times New Roman" w:hAnsi="Times New Roman" w:cs="Times New Roman"/>
          <w:sz w:val="24"/>
          <w:szCs w:val="24"/>
          <w:lang w:val="pt-BR"/>
        </w:rPr>
        <w:t>o</w:t>
      </w:r>
      <w:r w:rsidR="00835E88" w:rsidRPr="00D005E4">
        <w:rPr>
          <w:rFonts w:ascii="Times New Roman" w:hAnsi="Times New Roman" w:cs="Times New Roman"/>
          <w:sz w:val="24"/>
          <w:szCs w:val="24"/>
          <w:lang w:val="pt-BR"/>
        </w:rPr>
        <w:t xml:space="preserve"> ponto de corte de 15 segundos foi utilizado para distinguir indivíduos com risco aumentado para quedas. </w:t>
      </w:r>
      <w:r w:rsidR="007A0E36" w:rsidRPr="00D005E4">
        <w:rPr>
          <w:rFonts w:ascii="Times New Roman" w:hAnsi="Times New Roman" w:cs="Times New Roman"/>
          <w:sz w:val="24"/>
          <w:szCs w:val="24"/>
          <w:lang w:val="de-DE"/>
        </w:rPr>
        <w:t>Estatística descritiva foi realizada por meio do programa SPSS (versão 19.0), considerando nível de significância de 5%.</w:t>
      </w:r>
      <w:r w:rsidR="00835E88" w:rsidRPr="00D005E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4F6B48" w:rsidRPr="00D005E4">
        <w:rPr>
          <w:rFonts w:ascii="Times New Roman" w:hAnsi="Times New Roman" w:cs="Times New Roman"/>
          <w:sz w:val="24"/>
          <w:szCs w:val="24"/>
          <w:lang w:val="de-DE"/>
        </w:rPr>
        <w:t xml:space="preserve">Os dados foram reportados em frequência e porcetagem. </w:t>
      </w:r>
    </w:p>
    <w:p w14:paraId="1671B56A" w14:textId="5266FC27" w:rsidR="00232874" w:rsidRPr="00D005E4" w:rsidRDefault="004F6B48" w:rsidP="00A45441">
      <w:p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005E4">
        <w:rPr>
          <w:rFonts w:ascii="Times New Roman" w:hAnsi="Times New Roman" w:cs="Times New Roman"/>
          <w:b/>
          <w:sz w:val="24"/>
          <w:szCs w:val="24"/>
          <w:lang w:val="de-DE"/>
        </w:rPr>
        <w:t xml:space="preserve">RESULTADOS: </w:t>
      </w:r>
      <w:r w:rsidRPr="00897CDC">
        <w:rPr>
          <w:rFonts w:ascii="Times New Roman" w:hAnsi="Times New Roman" w:cs="Times New Roman"/>
          <w:sz w:val="24"/>
          <w:szCs w:val="24"/>
          <w:lang w:val="de-DE"/>
        </w:rPr>
        <w:t xml:space="preserve">51 indivíduos após AVE crônicos deambuladores cominutários ilimitados participaram do estudo. </w:t>
      </w:r>
      <w:r w:rsidRPr="00D005E4">
        <w:rPr>
          <w:rFonts w:ascii="Times New Roman" w:hAnsi="Times New Roman" w:cs="Times New Roman"/>
          <w:sz w:val="24"/>
          <w:szCs w:val="24"/>
          <w:lang w:val="de-DE"/>
        </w:rPr>
        <w:t xml:space="preserve">A média de tempo após AVE foi de 26 meses </w:t>
      </w:r>
      <w:r w:rsidR="00232874" w:rsidRPr="00D005E4">
        <w:rPr>
          <w:rFonts w:ascii="Times New Roman" w:hAnsi="Times New Roman" w:cs="Times New Roman"/>
          <w:sz w:val="24"/>
          <w:szCs w:val="24"/>
          <w:lang w:val="de-DE"/>
        </w:rPr>
        <w:t>e a média de idade foi de 67 anos</w:t>
      </w:r>
      <w:r w:rsidR="00897CDC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232874" w:rsidRPr="00D005E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D005E4">
        <w:rPr>
          <w:rFonts w:ascii="Times New Roman" w:hAnsi="Times New Roman" w:cs="Times New Roman"/>
          <w:sz w:val="24"/>
          <w:szCs w:val="24"/>
          <w:lang w:val="de-DE"/>
        </w:rPr>
        <w:t xml:space="preserve">Em relação ao desempenho no </w:t>
      </w:r>
      <w:r w:rsidRPr="00D005E4">
        <w:rPr>
          <w:rFonts w:ascii="Times New Roman" w:hAnsi="Times New Roman" w:cs="Times New Roman"/>
          <w:i/>
          <w:sz w:val="24"/>
          <w:szCs w:val="24"/>
          <w:lang w:val="pt-BR"/>
        </w:rPr>
        <w:t xml:space="preserve">Four </w:t>
      </w:r>
      <w:proofErr w:type="spellStart"/>
      <w:r w:rsidRPr="00D005E4">
        <w:rPr>
          <w:rFonts w:ascii="Times New Roman" w:hAnsi="Times New Roman" w:cs="Times New Roman"/>
          <w:i/>
          <w:sz w:val="24"/>
          <w:szCs w:val="24"/>
          <w:lang w:val="pt-BR"/>
        </w:rPr>
        <w:t>Step</w:t>
      </w:r>
      <w:proofErr w:type="spellEnd"/>
      <w:r w:rsidRPr="00D005E4">
        <w:rPr>
          <w:rFonts w:ascii="Times New Roman" w:hAnsi="Times New Roman" w:cs="Times New Roman"/>
          <w:i/>
          <w:sz w:val="24"/>
          <w:szCs w:val="24"/>
          <w:lang w:val="pt-BR"/>
        </w:rPr>
        <w:t xml:space="preserve"> Square Test</w:t>
      </w:r>
      <w:r w:rsidR="006677A0" w:rsidRPr="00D005E4">
        <w:rPr>
          <w:rFonts w:ascii="Times New Roman" w:hAnsi="Times New Roman" w:cs="Times New Roman"/>
          <w:iCs/>
          <w:sz w:val="24"/>
          <w:szCs w:val="24"/>
          <w:lang w:val="pt-BR"/>
        </w:rPr>
        <w:t>,</w:t>
      </w:r>
      <w:r w:rsidRPr="00D005E4"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r w:rsidR="00835E88" w:rsidRPr="00D005E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D005E4">
        <w:rPr>
          <w:rFonts w:ascii="Times New Roman" w:hAnsi="Times New Roman" w:cs="Times New Roman"/>
          <w:sz w:val="24"/>
          <w:szCs w:val="24"/>
          <w:lang w:val="de-DE"/>
        </w:rPr>
        <w:t>os indivíduos apresentaram uma média de 13 segundos para a execuç</w:t>
      </w:r>
      <w:r w:rsidR="006677A0" w:rsidRPr="00D005E4">
        <w:rPr>
          <w:rFonts w:ascii="Times New Roman" w:hAnsi="Times New Roman" w:cs="Times New Roman"/>
          <w:sz w:val="24"/>
          <w:szCs w:val="24"/>
          <w:lang w:val="de-DE"/>
        </w:rPr>
        <w:t>ão</w:t>
      </w:r>
      <w:r w:rsidRPr="00D005E4">
        <w:rPr>
          <w:rFonts w:ascii="Times New Roman" w:hAnsi="Times New Roman" w:cs="Times New Roman"/>
          <w:sz w:val="24"/>
          <w:szCs w:val="24"/>
          <w:lang w:val="de-DE"/>
        </w:rPr>
        <w:t xml:space="preserve"> do teste. </w:t>
      </w:r>
      <w:r w:rsidR="00232874" w:rsidRPr="00D005E4">
        <w:rPr>
          <w:rFonts w:ascii="Times New Roman" w:hAnsi="Times New Roman" w:cs="Times New Roman"/>
          <w:sz w:val="24"/>
          <w:szCs w:val="24"/>
          <w:lang w:val="de-DE"/>
        </w:rPr>
        <w:t xml:space="preserve">70% do indivíduos realizaram o teste com menos de 15 segundos. </w:t>
      </w:r>
    </w:p>
    <w:p w14:paraId="57B179BA" w14:textId="5EFCE861" w:rsidR="00EC2173" w:rsidRPr="00D005E4" w:rsidRDefault="00232874" w:rsidP="00A45441">
      <w:p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005E4">
        <w:rPr>
          <w:rFonts w:ascii="Times New Roman" w:hAnsi="Times New Roman" w:cs="Times New Roman"/>
          <w:b/>
          <w:sz w:val="24"/>
          <w:szCs w:val="24"/>
          <w:lang w:val="de-DE"/>
        </w:rPr>
        <w:t>CONCLUSÃO</w:t>
      </w:r>
      <w:r w:rsidRPr="00D005E4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r w:rsidR="00D005E4">
        <w:rPr>
          <w:rFonts w:ascii="Times New Roman" w:hAnsi="Times New Roman" w:cs="Times New Roman"/>
          <w:sz w:val="24"/>
          <w:szCs w:val="23"/>
          <w:lang w:val="de-DE"/>
        </w:rPr>
        <w:t xml:space="preserve">Um </w:t>
      </w:r>
      <w:r w:rsidRPr="00D005E4">
        <w:rPr>
          <w:rFonts w:ascii="Times New Roman" w:hAnsi="Times New Roman" w:cs="Times New Roman"/>
          <w:sz w:val="24"/>
          <w:szCs w:val="24"/>
          <w:lang w:val="de-DE"/>
        </w:rPr>
        <w:t>terço dos indivíduos após AVE crônicos deambuladores comunitários ilimitados apresentam diminuição do equilíbrio dinâmico e risco aumentado para quedas.</w:t>
      </w:r>
      <w:r w:rsidRPr="00DA30A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51456A32" w14:textId="77777777" w:rsidR="00D005E4" w:rsidRPr="00D005E4" w:rsidRDefault="00D005E4">
      <w:p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sectPr w:rsidR="00D005E4" w:rsidRPr="00D005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D529F8"/>
    <w:multiLevelType w:val="hybridMultilevel"/>
    <w:tmpl w:val="AC4EC960"/>
    <w:lvl w:ilvl="0" w:tplc="F30C95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FC79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E68D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AA5C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26C9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32E8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9CB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C43E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5ED2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1552A0A"/>
    <w:multiLevelType w:val="hybridMultilevel"/>
    <w:tmpl w:val="042C84EA"/>
    <w:lvl w:ilvl="0" w:tplc="AAAC23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C1D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3634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46D7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920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4609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1A0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4A6A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E22E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yNDc0NzU3NzU0tzBW0lEKTi0uzszPAykwrAUAFbPkniwAAAA="/>
  </w:docVars>
  <w:rsids>
    <w:rsidRoot w:val="00C81CD5"/>
    <w:rsid w:val="001A03BB"/>
    <w:rsid w:val="00232874"/>
    <w:rsid w:val="00240B11"/>
    <w:rsid w:val="00391D10"/>
    <w:rsid w:val="004114C6"/>
    <w:rsid w:val="004F6B48"/>
    <w:rsid w:val="0050573B"/>
    <w:rsid w:val="006677A0"/>
    <w:rsid w:val="006B1C74"/>
    <w:rsid w:val="00722506"/>
    <w:rsid w:val="007A0E36"/>
    <w:rsid w:val="008160EA"/>
    <w:rsid w:val="00835E88"/>
    <w:rsid w:val="00897CDC"/>
    <w:rsid w:val="00A45441"/>
    <w:rsid w:val="00A8271E"/>
    <w:rsid w:val="00B27882"/>
    <w:rsid w:val="00C60EE0"/>
    <w:rsid w:val="00C81CD5"/>
    <w:rsid w:val="00D005E4"/>
    <w:rsid w:val="00D435E1"/>
    <w:rsid w:val="00D87BEE"/>
    <w:rsid w:val="00DA30AF"/>
    <w:rsid w:val="00DA6E2C"/>
    <w:rsid w:val="00EC2173"/>
    <w:rsid w:val="00F3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52CC18"/>
  <w15:chartTrackingRefBased/>
  <w15:docId w15:val="{C3533CF3-93B4-4BAB-BB90-6CE69D66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5E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8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240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358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30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809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301</Words>
  <Characters>1763</Characters>
  <Application>Microsoft Office Word</Application>
  <DocSecurity>0</DocSecurity>
  <Lines>28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Tereza</dc:creator>
  <cp:keywords/>
  <dc:description/>
  <cp:lastModifiedBy>Aninha</cp:lastModifiedBy>
  <cp:revision>3</cp:revision>
  <dcterms:created xsi:type="dcterms:W3CDTF">2022-03-06T19:32:00Z</dcterms:created>
  <dcterms:modified xsi:type="dcterms:W3CDTF">2022-03-06T20:03:00Z</dcterms:modified>
</cp:coreProperties>
</file>