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35143EC0" w14:textId="63F4EB79" w:rsidR="000B3107" w:rsidRDefault="008562B7" w:rsidP="004A78C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182AD9" w14:textId="788CE1E6" w:rsidR="0491D5EE" w:rsidRDefault="00026BCD" w:rsidP="004A78C7">
      <w:pPr>
        <w:pStyle w:val="Ttulo"/>
      </w:pPr>
      <w:r w:rsidRPr="0491D5EE">
        <w:t>RESUMO EXPANDIDO</w:t>
      </w:r>
    </w:p>
    <w:p w14:paraId="0FFC7A85" w14:textId="77777777" w:rsidR="004A78C7" w:rsidRPr="004A78C7" w:rsidRDefault="004A78C7" w:rsidP="004A78C7"/>
    <w:p w14:paraId="5EB4D84D" w14:textId="67C40FF0" w:rsidR="0491D5EE" w:rsidRPr="005413E7" w:rsidRDefault="2BF74FE8" w:rsidP="004A78C7">
      <w:pPr>
        <w:spacing w:line="240" w:lineRule="auto"/>
        <w:ind w:firstLine="0"/>
        <w:rPr>
          <w:rFonts w:cs="Arial"/>
        </w:rPr>
      </w:pPr>
      <w:r w:rsidRPr="005413E7">
        <w:rPr>
          <w:rFonts w:cs="Arial"/>
        </w:rPr>
        <w:t xml:space="preserve">Grupo de Trabalho (GT): </w:t>
      </w:r>
      <w:r w:rsidR="00E15DA2" w:rsidRPr="005413E7">
        <w:rPr>
          <w:rFonts w:cs="Arial"/>
        </w:rPr>
        <w:t xml:space="preserve">Grupo de trabalho </w:t>
      </w:r>
      <w:r w:rsidR="00863CD9" w:rsidRPr="005413E7">
        <w:rPr>
          <w:rFonts w:cs="Arial"/>
        </w:rPr>
        <w:t>1 Convivência escolar e enfrentamento à violência: práticas que desenvolvemos para a melhoria da qualidade da escolarização</w:t>
      </w:r>
    </w:p>
    <w:p w14:paraId="0668ED63" w14:textId="77777777" w:rsidR="00E15DA2" w:rsidRPr="005413E7" w:rsidRDefault="00E15DA2" w:rsidP="004A78C7">
      <w:pPr>
        <w:spacing w:line="240" w:lineRule="auto"/>
        <w:ind w:firstLine="0"/>
        <w:rPr>
          <w:rFonts w:cs="Arial"/>
        </w:rPr>
      </w:pPr>
    </w:p>
    <w:p w14:paraId="2BB5F806" w14:textId="403683BE" w:rsidR="00E15DA2" w:rsidRPr="005413E7" w:rsidRDefault="517E9F2A" w:rsidP="004A78C7">
      <w:pPr>
        <w:spacing w:line="240" w:lineRule="auto"/>
        <w:ind w:firstLine="0"/>
      </w:pPr>
      <w:r w:rsidRPr="005413E7">
        <w:rPr>
          <w:rFonts w:cs="Arial"/>
        </w:rPr>
        <w:t>Modalidade d</w:t>
      </w:r>
      <w:r w:rsidR="64F49340" w:rsidRPr="005413E7">
        <w:rPr>
          <w:rFonts w:cs="Arial"/>
        </w:rPr>
        <w:t xml:space="preserve">o </w:t>
      </w:r>
      <w:r w:rsidR="52EB1B39" w:rsidRPr="005413E7">
        <w:rPr>
          <w:rFonts w:cs="Arial"/>
        </w:rPr>
        <w:t>trabalho</w:t>
      </w:r>
      <w:r w:rsidR="5A2C2FA2" w:rsidRPr="005413E7">
        <w:rPr>
          <w:rFonts w:cs="Arial"/>
        </w:rPr>
        <w:t>:</w:t>
      </w:r>
      <w:r w:rsidR="261990A4" w:rsidRPr="005413E7">
        <w:rPr>
          <w:rFonts w:cs="Arial"/>
        </w:rPr>
        <w:t xml:space="preserve"> </w:t>
      </w:r>
      <w:r w:rsidR="00E15DA2" w:rsidRPr="005413E7">
        <w:rPr>
          <w:rFonts w:cs="Arial"/>
        </w:rPr>
        <w:t>Comunic</w:t>
      </w:r>
      <w:r w:rsidR="00E15DA2" w:rsidRPr="005413E7">
        <w:t>ação oral</w:t>
      </w:r>
    </w:p>
    <w:p w14:paraId="76D235B2" w14:textId="7EF8CF53" w:rsidR="77D603DC" w:rsidRPr="005413E7" w:rsidRDefault="77D603DC" w:rsidP="004A78C7">
      <w:pPr>
        <w:spacing w:line="240" w:lineRule="auto"/>
        <w:ind w:firstLine="0"/>
        <w:rPr>
          <w:rFonts w:cs="Arial"/>
        </w:rPr>
      </w:pPr>
    </w:p>
    <w:p w14:paraId="1572CD5D" w14:textId="215AC30A" w:rsidR="110062EF" w:rsidRPr="005413E7" w:rsidRDefault="046AE1D2" w:rsidP="004A78C7">
      <w:pPr>
        <w:spacing w:line="240" w:lineRule="auto"/>
        <w:ind w:firstLine="0"/>
        <w:rPr>
          <w:rFonts w:cs="Arial"/>
        </w:rPr>
      </w:pPr>
      <w:r w:rsidRPr="005413E7">
        <w:rPr>
          <w:rFonts w:cs="Arial"/>
        </w:rPr>
        <w:t xml:space="preserve">Formato de apresentação: </w:t>
      </w:r>
      <w:r w:rsidR="001744AE" w:rsidRPr="005413E7">
        <w:rPr>
          <w:rFonts w:cs="Arial"/>
        </w:rPr>
        <w:t>O</w:t>
      </w:r>
      <w:r w:rsidRPr="005413E7">
        <w:rPr>
          <w:rFonts w:cs="Arial"/>
        </w:rPr>
        <w:t>n</w:t>
      </w:r>
      <w:r w:rsidR="00250E5E" w:rsidRPr="005413E7">
        <w:rPr>
          <w:rFonts w:cs="Arial"/>
        </w:rPr>
        <w:t>-</w:t>
      </w:r>
      <w:r w:rsidRPr="005413E7">
        <w:rPr>
          <w:rFonts w:cs="Arial"/>
        </w:rPr>
        <w:t>line</w:t>
      </w:r>
    </w:p>
    <w:p w14:paraId="5191CADF" w14:textId="5F803C52" w:rsidR="0491D5EE" w:rsidRDefault="0491D5EE" w:rsidP="00E73320">
      <w:pPr>
        <w:pStyle w:val="Texto"/>
      </w:pPr>
    </w:p>
    <w:p w14:paraId="168A8843" w14:textId="77777777" w:rsidR="00E15DA2" w:rsidRDefault="00E15DA2" w:rsidP="00E15DA2">
      <w:pPr>
        <w:pStyle w:val="Texto"/>
        <w:jc w:val="center"/>
        <w:rPr>
          <w:b/>
          <w:bCs/>
        </w:rPr>
      </w:pPr>
      <w:r w:rsidRPr="00E15DA2">
        <w:rPr>
          <w:b/>
          <w:bCs/>
        </w:rPr>
        <w:t xml:space="preserve">CONVIVÊNCIA NO ENSINO SUPERIOR: </w:t>
      </w:r>
    </w:p>
    <w:p w14:paraId="5A1B1E66" w14:textId="0E2758E9" w:rsidR="78AE189E" w:rsidRDefault="00E15DA2" w:rsidP="004A78C7">
      <w:pPr>
        <w:pStyle w:val="Texto"/>
        <w:jc w:val="center"/>
        <w:rPr>
          <w:b/>
          <w:bCs/>
        </w:rPr>
      </w:pPr>
      <w:r w:rsidRPr="00E15DA2">
        <w:rPr>
          <w:b/>
          <w:bCs/>
        </w:rPr>
        <w:t>DA MENTORIA PARA PENSAR O BEM-ESTAR</w:t>
      </w:r>
    </w:p>
    <w:p w14:paraId="75ADFB8D" w14:textId="77777777" w:rsidR="004A78C7" w:rsidRPr="00E15DA2" w:rsidRDefault="004A78C7" w:rsidP="004A78C7">
      <w:pPr>
        <w:pStyle w:val="Texto"/>
        <w:jc w:val="center"/>
        <w:rPr>
          <w:b/>
          <w:bCs/>
        </w:rPr>
      </w:pPr>
    </w:p>
    <w:p w14:paraId="7DC4BC66" w14:textId="48DF9B03" w:rsidR="00A161E5" w:rsidRPr="00FB4E27" w:rsidRDefault="00E15DA2" w:rsidP="004A78C7">
      <w:pPr>
        <w:pStyle w:val="Autoria"/>
        <w:rPr>
          <w:rFonts w:asciiTheme="minorHAnsi" w:hAnsiTheme="minorHAnsi"/>
          <w:sz w:val="24"/>
        </w:rPr>
      </w:pPr>
      <w:r w:rsidRPr="00FB4E27">
        <w:rPr>
          <w:rFonts w:asciiTheme="minorHAnsi" w:hAnsiTheme="minorHAnsi"/>
          <w:sz w:val="24"/>
        </w:rPr>
        <w:t>Sofia Castanheira Pais</w:t>
      </w:r>
      <w:r w:rsidR="00250E5E" w:rsidRPr="00FB4E27">
        <w:rPr>
          <w:rStyle w:val="Refdenotaderodap"/>
          <w:rFonts w:asciiTheme="minorHAnsi" w:hAnsiTheme="minorHAnsi"/>
          <w:sz w:val="24"/>
        </w:rPr>
        <w:footnoteReference w:id="1"/>
      </w:r>
    </w:p>
    <w:p w14:paraId="13054325" w14:textId="4C24872C" w:rsidR="004A78C7" w:rsidRDefault="00250E5E" w:rsidP="004A78C7">
      <w:pPr>
        <w:pStyle w:val="Texto"/>
        <w:tabs>
          <w:tab w:val="clear" w:pos="4819"/>
          <w:tab w:val="left" w:pos="5760"/>
        </w:tabs>
        <w:spacing w:line="240" w:lineRule="auto"/>
        <w:jc w:val="right"/>
        <w:rPr>
          <w:rFonts w:asciiTheme="minorHAnsi" w:hAnsiTheme="minorHAnsi"/>
        </w:rPr>
      </w:pPr>
      <w:r w:rsidRPr="00FB4E27">
        <w:rPr>
          <w:rFonts w:asciiTheme="minorHAnsi" w:hAnsiTheme="minorHAnsi"/>
        </w:rPr>
        <w:tab/>
      </w:r>
      <w:r w:rsidR="004A78C7">
        <w:rPr>
          <w:rFonts w:asciiTheme="minorHAnsi" w:hAnsiTheme="minorHAnsi"/>
        </w:rPr>
        <w:t>Carolina Alves</w:t>
      </w:r>
      <w:r w:rsidR="004A78C7">
        <w:rPr>
          <w:rFonts w:asciiTheme="minorHAnsi" w:hAnsiTheme="minorHAnsi"/>
          <w:vertAlign w:val="superscript"/>
        </w:rPr>
        <w:t>2</w:t>
      </w:r>
    </w:p>
    <w:p w14:paraId="2A0EDC07" w14:textId="1E2410A7" w:rsidR="004A78C7" w:rsidRPr="004A78C7" w:rsidRDefault="004A78C7" w:rsidP="004A78C7">
      <w:pPr>
        <w:pStyle w:val="Texto"/>
        <w:tabs>
          <w:tab w:val="clear" w:pos="4819"/>
          <w:tab w:val="left" w:pos="5760"/>
        </w:tabs>
        <w:spacing w:line="240" w:lineRule="auto"/>
        <w:jc w:val="right"/>
        <w:rPr>
          <w:rFonts w:asciiTheme="minorHAnsi" w:hAnsiTheme="minorHAnsi"/>
          <w:vertAlign w:val="superscript"/>
        </w:rPr>
      </w:pPr>
      <w:r>
        <w:rPr>
          <w:rFonts w:asciiTheme="minorHAnsi" w:hAnsiTheme="minorHAnsi"/>
        </w:rPr>
        <w:t>Maria Torres Gomes</w:t>
      </w:r>
      <w:r>
        <w:rPr>
          <w:rFonts w:asciiTheme="minorHAnsi" w:hAnsiTheme="minorHAnsi"/>
          <w:vertAlign w:val="superscript"/>
        </w:rPr>
        <w:t>3</w:t>
      </w:r>
    </w:p>
    <w:p w14:paraId="4F47D999" w14:textId="55C829C5" w:rsidR="00DF040B" w:rsidRPr="004A78C7" w:rsidRDefault="004A78C7" w:rsidP="004A78C7">
      <w:pPr>
        <w:pStyle w:val="Texto"/>
        <w:tabs>
          <w:tab w:val="clear" w:pos="4819"/>
          <w:tab w:val="left" w:pos="5760"/>
        </w:tabs>
        <w:spacing w:line="240" w:lineRule="auto"/>
        <w:jc w:val="right"/>
        <w:rPr>
          <w:rFonts w:asciiTheme="minorHAnsi" w:hAnsiTheme="minorHAnsi"/>
          <w:vertAlign w:val="superscript"/>
        </w:rPr>
      </w:pPr>
      <w:r>
        <w:rPr>
          <w:rFonts w:asciiTheme="minorHAnsi" w:hAnsiTheme="minorHAnsi"/>
        </w:rPr>
        <w:t>Mariana Antunes Lopes</w:t>
      </w:r>
      <w:r>
        <w:rPr>
          <w:rFonts w:asciiTheme="minorHAnsi" w:hAnsiTheme="minorHAnsi"/>
          <w:vertAlign w:val="superscript"/>
        </w:rPr>
        <w:t>4</w:t>
      </w:r>
    </w:p>
    <w:p w14:paraId="2F21D6B4" w14:textId="77777777" w:rsidR="00E15DA2" w:rsidRDefault="00E15DA2" w:rsidP="00E15DA2">
      <w:pPr>
        <w:ind w:firstLine="0"/>
        <w:rPr>
          <w:b/>
          <w:bCs/>
        </w:rPr>
      </w:pPr>
    </w:p>
    <w:p w14:paraId="4852DB5E" w14:textId="77777777" w:rsidR="00E60C5A" w:rsidRDefault="00E60C5A" w:rsidP="00E15DA2">
      <w:pPr>
        <w:ind w:firstLine="0"/>
        <w:rPr>
          <w:b/>
          <w:bCs/>
        </w:rPr>
      </w:pPr>
    </w:p>
    <w:p w14:paraId="2FB6A693" w14:textId="7AFBF639" w:rsidR="00E15DA2" w:rsidRPr="00F77A11" w:rsidRDefault="00BD0F6C" w:rsidP="00E15DA2">
      <w:pPr>
        <w:ind w:firstLine="0"/>
      </w:pPr>
      <w:r w:rsidRPr="001744AE">
        <w:rPr>
          <w:rFonts w:ascii="Arial" w:hAnsi="Arial" w:cs="Arial"/>
          <w:b/>
          <w:bCs/>
          <w:sz w:val="24"/>
          <w:szCs w:val="24"/>
        </w:rPr>
        <w:t>PALAVRAS-CHAVE</w:t>
      </w:r>
      <w:r w:rsidRPr="001A1913">
        <w:rPr>
          <w:b/>
          <w:bCs/>
        </w:rPr>
        <w:t xml:space="preserve">: </w:t>
      </w:r>
      <w:r w:rsidR="00E15DA2" w:rsidRPr="00F77A11">
        <w:t>bem-estar, mentoria, ensino superior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1FF9CEDC" w14:textId="77777777" w:rsidR="00FF6077" w:rsidRDefault="00FF6077" w:rsidP="00FF6077">
      <w:r>
        <w:t xml:space="preserve">A entrada no ensino superior implica um conjunto de desafios que envolvem, não raras vezes, mobilidade geográfica e afastamento da família ou rede próxima, mas também a inserção numa dinâmica institucional com características particulares. São estes alguns dos aspetos que tendem a </w:t>
      </w:r>
      <w:r w:rsidRPr="00BF5262">
        <w:t xml:space="preserve">precipitar dificuldades adaptativas </w:t>
      </w:r>
      <w:r>
        <w:t xml:space="preserve">com reflexos ao nível do bem-estar </w:t>
      </w:r>
      <w:r w:rsidRPr="00BF5262">
        <w:t>dos</w:t>
      </w:r>
      <w:r>
        <w:t>/as</w:t>
      </w:r>
      <w:r w:rsidRPr="00BF5262">
        <w:t xml:space="preserve"> estudantes.</w:t>
      </w:r>
      <w:r>
        <w:t xml:space="preserve"> </w:t>
      </w:r>
      <w:r w:rsidRPr="00A925A3">
        <w:t xml:space="preserve">Preocupadas com a qualidade </w:t>
      </w:r>
      <w:r>
        <w:t>das trajetórias educativas</w:t>
      </w:r>
      <w:r w:rsidRPr="00A925A3">
        <w:t xml:space="preserve"> dos/as estudantes, as I</w:t>
      </w:r>
      <w:r>
        <w:t>nstituições de Ensino Superior (IES) têm procurado criar</w:t>
      </w:r>
      <w:r w:rsidRPr="00A925A3">
        <w:t xml:space="preserve"> condições</w:t>
      </w:r>
      <w:r>
        <w:t xml:space="preserve"> favoráveis ao desenvolvimento da sua </w:t>
      </w:r>
      <w:r w:rsidRPr="00A925A3">
        <w:t xml:space="preserve">autonomia e confiança (Almeida </w:t>
      </w:r>
      <w:r>
        <w:t>&amp;</w:t>
      </w:r>
      <w:r w:rsidRPr="00A925A3">
        <w:t xml:space="preserve"> Castro, 2021).</w:t>
      </w:r>
      <w:r>
        <w:t xml:space="preserve"> </w:t>
      </w:r>
    </w:p>
    <w:p w14:paraId="068F8F47" w14:textId="77777777" w:rsidR="0059553C" w:rsidRDefault="00B04B0C" w:rsidP="00FF6077">
      <w:r>
        <w:t xml:space="preserve">Nesse sentido, os programas de mentoria surgem como uma estratégia facilitadora da </w:t>
      </w:r>
      <w:r w:rsidR="0059553C">
        <w:t>integração</w:t>
      </w:r>
      <w:r>
        <w:t xml:space="preserve"> de novos estudantes, bem como parecem constituir uma mais-valia </w:t>
      </w:r>
      <w:r w:rsidR="00FB4E27">
        <w:t xml:space="preserve">para uma experiência que tende a desafiar o conceito de sucesso académico. </w:t>
      </w:r>
      <w:r w:rsidR="0059553C">
        <w:t>Mais do que uma visão que associa o sucesso à quantificação de etapas alcançadas ou aos resultados positivos em momentos de avaliação, importa assumir que uma trajetória escolar bem-sucedida inclui uma vivência solidária e sádia face aos desafios da relação consigo e com os outros.</w:t>
      </w:r>
    </w:p>
    <w:p w14:paraId="6E7AFC75" w14:textId="33C22B80" w:rsidR="00B04B0C" w:rsidRDefault="00863CD9" w:rsidP="00FF6077">
      <w:r>
        <w:lastRenderedPageBreak/>
        <w:t>É sobre a adoção da estratégia da mentoria numa universidade portuguesa que se reflete nesta comunicação. Através de</w:t>
      </w:r>
      <w:r w:rsidRPr="00F95551">
        <w:t xml:space="preserve"> registos escritos </w:t>
      </w:r>
      <w:r>
        <w:t xml:space="preserve">de estudantes-mentoras, </w:t>
      </w:r>
      <w:r w:rsidRPr="00F95551">
        <w:t>tratados através de análise de conteúdo</w:t>
      </w:r>
      <w:r>
        <w:t>, discute-se so</w:t>
      </w:r>
      <w:r w:rsidRPr="00F95551">
        <w:t xml:space="preserve">bre  as principais fragilidades e mais-valias do programa da mentoria para que os/as estudantes se sintam melhor integrados/as a nível académico, pessoal e social. </w:t>
      </w:r>
    </w:p>
    <w:p w14:paraId="53A54077" w14:textId="77777777" w:rsidR="001744AE" w:rsidRPr="009A33DE" w:rsidRDefault="001744AE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3C75C343" w14:textId="7AA53DC0" w:rsidR="00CC147F" w:rsidRDefault="00C21AC0" w:rsidP="006414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D1FE6">
        <w:rPr>
          <w:rFonts w:eastAsia="Times New Roman" w:cs="Times New Roman"/>
          <w:color w:val="000000"/>
        </w:rPr>
        <w:t xml:space="preserve">É sabido que o ensino superior não é alheio a cenários sociais, culturais, económicos e políticos pautados por constantes desafios e mudanças. A este respeito, a literatura mostra argumentos que reforçam que a missão da Universidade evoluiu com o passar dos anos, preocupando-se não apenas com um sistema de educação que deveria voltar-se para diversificação de públicos (Pedrosa </w:t>
      </w:r>
      <w:r w:rsidRPr="008D1FE6">
        <w:rPr>
          <w:rFonts w:eastAsia="Times New Roman" w:cs="Times New Roman"/>
          <w:i/>
          <w:color w:val="000000"/>
        </w:rPr>
        <w:t>et al</w:t>
      </w:r>
      <w:r w:rsidRPr="008D1FE6">
        <w:rPr>
          <w:rFonts w:eastAsia="Times New Roman" w:cs="Times New Roman"/>
          <w:color w:val="000000"/>
        </w:rPr>
        <w:t xml:space="preserve">., 2005), mas também com a importância de se pôr em </w:t>
      </w:r>
      <w:r w:rsidR="0064143A">
        <w:rPr>
          <w:rFonts w:eastAsia="Times New Roman" w:cs="Times New Roman"/>
          <w:color w:val="000000"/>
        </w:rPr>
        <w:t>diálogo</w:t>
      </w:r>
      <w:r w:rsidRPr="008D1FE6">
        <w:rPr>
          <w:rFonts w:eastAsia="Times New Roman" w:cs="Times New Roman"/>
          <w:color w:val="000000"/>
        </w:rPr>
        <w:t xml:space="preserve"> a investigação e o ensino. </w:t>
      </w:r>
      <w:r w:rsidR="00FB4E27">
        <w:rPr>
          <w:rFonts w:eastAsia="Times New Roman" w:cs="Times New Roman"/>
          <w:color w:val="000000"/>
        </w:rPr>
        <w:t xml:space="preserve">A ideia de sucesso académico não se deve restringir, por conseguinte, a estudantes com características específicas, nem tão pouco reduzir à supremacia do domínio científico e académico </w:t>
      </w:r>
      <w:r w:rsidR="0059553C">
        <w:rPr>
          <w:rFonts w:eastAsia="Times New Roman" w:cs="Times New Roman"/>
          <w:color w:val="000000"/>
        </w:rPr>
        <w:t>sobre</w:t>
      </w:r>
      <w:r w:rsidR="00FB4E27">
        <w:rPr>
          <w:rFonts w:eastAsia="Times New Roman" w:cs="Times New Roman"/>
          <w:color w:val="000000"/>
        </w:rPr>
        <w:t xml:space="preserve"> outros domínios da existência humana</w:t>
      </w:r>
      <w:r w:rsidR="0059553C">
        <w:rPr>
          <w:rFonts w:eastAsia="Times New Roman" w:cs="Times New Roman"/>
          <w:color w:val="000000"/>
        </w:rPr>
        <w:t xml:space="preserve">. Ora, a </w:t>
      </w:r>
      <w:r w:rsidR="008D1FE6" w:rsidRPr="008D1FE6">
        <w:rPr>
          <w:rFonts w:eastAsia="Times New Roman" w:cs="Times New Roman"/>
          <w:color w:val="000000"/>
        </w:rPr>
        <w:t xml:space="preserve">estes aspetos soma-se </w:t>
      </w:r>
      <w:r w:rsidRPr="008D1FE6">
        <w:rPr>
          <w:rFonts w:eastAsia="Times New Roman" w:cs="Times New Roman"/>
          <w:color w:val="000000"/>
        </w:rPr>
        <w:t>o facto de “a universidade também [ser] uma comunidade social”, ou seja, um lugar provido de relações com pessoas de diferentes culturas, origens e experiências diversas</w:t>
      </w:r>
      <w:r w:rsidR="008D1FE6" w:rsidRPr="008D1FE6">
        <w:rPr>
          <w:rFonts w:eastAsia="Times New Roman" w:cs="Times New Roman"/>
          <w:color w:val="000000"/>
        </w:rPr>
        <w:t xml:space="preserve"> </w:t>
      </w:r>
      <w:r w:rsidRPr="008D1FE6">
        <w:rPr>
          <w:rFonts w:eastAsia="Times New Roman" w:cs="Times New Roman"/>
          <w:color w:val="000000"/>
        </w:rPr>
        <w:t xml:space="preserve">(Menezes </w:t>
      </w:r>
      <w:r w:rsidRPr="008D1FE6">
        <w:rPr>
          <w:rFonts w:eastAsia="Times New Roman" w:cs="Times New Roman"/>
          <w:i/>
          <w:color w:val="000000"/>
        </w:rPr>
        <w:t>et al</w:t>
      </w:r>
      <w:r w:rsidRPr="008D1FE6">
        <w:rPr>
          <w:rFonts w:eastAsia="Times New Roman" w:cs="Times New Roman"/>
          <w:color w:val="000000"/>
        </w:rPr>
        <w:t>., 2018, p. 396)</w:t>
      </w:r>
      <w:r w:rsidR="0064143A">
        <w:rPr>
          <w:rFonts w:eastAsia="Times New Roman" w:cs="Times New Roman"/>
          <w:color w:val="000000"/>
        </w:rPr>
        <w:t xml:space="preserve"> e para as quais importa assegurar respostas adequadas e socialmente responsáveis.</w:t>
      </w:r>
      <w:r w:rsidR="0064143A">
        <w:rPr>
          <w:color w:val="000000"/>
        </w:rPr>
        <w:t xml:space="preserve"> O seu bem-estar e a qualidade das suas trajetórias são, por isso, a</w:t>
      </w:r>
      <w:r w:rsidR="00CC147F">
        <w:rPr>
          <w:color w:val="000000"/>
        </w:rPr>
        <w:t xml:space="preserve">tualmente, </w:t>
      </w:r>
      <w:r w:rsidR="0064143A">
        <w:rPr>
          <w:color w:val="000000"/>
        </w:rPr>
        <w:t>pontos relevantes que as IES consideram.</w:t>
      </w:r>
    </w:p>
    <w:p w14:paraId="510F526C" w14:textId="044DEC7A" w:rsidR="00BC4C8B" w:rsidRDefault="00E56286" w:rsidP="00BC4C8B">
      <w:pPr>
        <w:spacing w:before="240" w:after="240"/>
        <w:ind w:firstLine="720"/>
        <w:rPr>
          <w:color w:val="000000"/>
        </w:rPr>
      </w:pPr>
      <w:r>
        <w:rPr>
          <w:color w:val="000000"/>
        </w:rPr>
        <w:t xml:space="preserve">Longe vão os tempos de reduzir o conceito de saúde à ausência de doença ou de o considerar </w:t>
      </w:r>
      <w:r w:rsidRPr="00786780">
        <w:rPr>
          <w:color w:val="000000"/>
        </w:rPr>
        <w:t>“um fenómeno observável e quantificável numa leitura a que corresponde a uma concepção positivista do mundo</w:t>
      </w:r>
      <w:r w:rsidRPr="00786780">
        <w:rPr>
          <w:i/>
          <w:iCs/>
          <w:color w:val="000000"/>
        </w:rPr>
        <w:t>”</w:t>
      </w:r>
      <w:r>
        <w:rPr>
          <w:color w:val="000000"/>
        </w:rPr>
        <w:t xml:space="preserve"> </w:t>
      </w:r>
      <w:r w:rsidRPr="00786780">
        <w:rPr>
          <w:color w:val="000000"/>
        </w:rPr>
        <w:t>(Costa, 2009:17)</w:t>
      </w:r>
      <w:r>
        <w:rPr>
          <w:color w:val="000000"/>
        </w:rPr>
        <w:t xml:space="preserve">. Significa isto que, </w:t>
      </w:r>
      <w:r w:rsidRPr="00786780">
        <w:rPr>
          <w:color w:val="000000"/>
        </w:rPr>
        <w:t>“mais do que opostas, saúde e doença representam, efectivamente, dois pólos de um continuum” (Altschuler, 1997: 3</w:t>
      </w:r>
      <w:r>
        <w:rPr>
          <w:color w:val="000000"/>
        </w:rPr>
        <w:t xml:space="preserve">) </w:t>
      </w:r>
      <w:r w:rsidR="00BC4C8B">
        <w:rPr>
          <w:color w:val="000000"/>
        </w:rPr>
        <w:t>que configura uma</w:t>
      </w:r>
      <w:r>
        <w:rPr>
          <w:color w:val="000000"/>
        </w:rPr>
        <w:t xml:space="preserve"> leitura </w:t>
      </w:r>
      <w:r w:rsidR="00BC4C8B">
        <w:rPr>
          <w:color w:val="000000"/>
        </w:rPr>
        <w:t xml:space="preserve">integrada e </w:t>
      </w:r>
      <w:r>
        <w:rPr>
          <w:color w:val="000000"/>
        </w:rPr>
        <w:t xml:space="preserve">biopsicossocial do desenvolvimento humano. </w:t>
      </w:r>
      <w:r w:rsidR="00BC4C8B">
        <w:rPr>
          <w:color w:val="000000"/>
        </w:rPr>
        <w:t>Nesta linha</w:t>
      </w:r>
      <w:r>
        <w:rPr>
          <w:color w:val="000000"/>
        </w:rPr>
        <w:t xml:space="preserve">, </w:t>
      </w:r>
      <w:r w:rsidR="00BC4C8B">
        <w:rPr>
          <w:color w:val="000000"/>
        </w:rPr>
        <w:t>corroborando a Organização Mundial da Saúde, definir saúde não se limita a incluir apenas</w:t>
      </w:r>
      <w:r w:rsidRPr="00786780">
        <w:rPr>
          <w:color w:val="000000"/>
        </w:rPr>
        <w:t xml:space="preserve"> o corpo e </w:t>
      </w:r>
      <w:r w:rsidR="00BC4C8B">
        <w:rPr>
          <w:color w:val="000000"/>
        </w:rPr>
        <w:t>os</w:t>
      </w:r>
      <w:r w:rsidRPr="00786780">
        <w:rPr>
          <w:color w:val="000000"/>
        </w:rPr>
        <w:t xml:space="preserve"> aspetos de natureza fisiológica, mas </w:t>
      </w:r>
      <w:r w:rsidR="00BC4C8B">
        <w:rPr>
          <w:color w:val="000000"/>
        </w:rPr>
        <w:t>implica</w:t>
      </w:r>
      <w:r w:rsidRPr="00786780">
        <w:rPr>
          <w:color w:val="000000"/>
        </w:rPr>
        <w:t xml:space="preserve"> também</w:t>
      </w:r>
      <w:r w:rsidR="00BC4C8B">
        <w:rPr>
          <w:color w:val="000000"/>
        </w:rPr>
        <w:t xml:space="preserve"> considerar</w:t>
      </w:r>
      <w:r w:rsidRPr="00786780">
        <w:rPr>
          <w:color w:val="000000"/>
        </w:rPr>
        <w:t xml:space="preserve"> a mente, as emoções, as relações sociais, a coletividade; assim como a necessidade d</w:t>
      </w:r>
      <w:r w:rsidR="00BC4C8B">
        <w:rPr>
          <w:color w:val="000000"/>
        </w:rPr>
        <w:t xml:space="preserve">o </w:t>
      </w:r>
      <w:r w:rsidRPr="00786780">
        <w:rPr>
          <w:color w:val="000000"/>
        </w:rPr>
        <w:t xml:space="preserve">envolvimento de </w:t>
      </w:r>
      <w:r w:rsidR="00BC4C8B">
        <w:rPr>
          <w:color w:val="000000"/>
        </w:rPr>
        <w:t xml:space="preserve">um vasto conjunto de </w:t>
      </w:r>
      <w:r w:rsidRPr="00786780">
        <w:rPr>
          <w:color w:val="000000"/>
        </w:rPr>
        <w:t>sectores sociais</w:t>
      </w:r>
      <w:r w:rsidR="00BC4C8B">
        <w:rPr>
          <w:color w:val="000000"/>
        </w:rPr>
        <w:t>,</w:t>
      </w:r>
      <w:r w:rsidRPr="00786780">
        <w:rPr>
          <w:color w:val="000000"/>
        </w:rPr>
        <w:t xml:space="preserve"> </w:t>
      </w:r>
      <w:r w:rsidR="00BC4C8B">
        <w:rPr>
          <w:color w:val="000000"/>
        </w:rPr>
        <w:t xml:space="preserve">políticos, económicos, etc. </w:t>
      </w:r>
      <w:r>
        <w:rPr>
          <w:color w:val="000000"/>
        </w:rPr>
        <w:t>no sentido de</w:t>
      </w:r>
      <w:r w:rsidRPr="00786780">
        <w:rPr>
          <w:color w:val="000000"/>
        </w:rPr>
        <w:t xml:space="preserve"> assegurem a saúde de todos/as.</w:t>
      </w:r>
      <w:r w:rsidR="00BC4C8B">
        <w:rPr>
          <w:color w:val="000000"/>
        </w:rPr>
        <w:t xml:space="preserve"> </w:t>
      </w:r>
    </w:p>
    <w:p w14:paraId="540344E5" w14:textId="1B3A3EC6" w:rsidR="00CC147F" w:rsidRPr="0064143A" w:rsidRDefault="00E56286" w:rsidP="0064143A">
      <w:pPr>
        <w:spacing w:before="240" w:after="240"/>
        <w:ind w:firstLine="720"/>
        <w:rPr>
          <w:color w:val="000000"/>
        </w:rPr>
      </w:pPr>
      <w:r>
        <w:rPr>
          <w:color w:val="000000"/>
        </w:rPr>
        <w:t>Os</w:t>
      </w:r>
      <w:r w:rsidRPr="00B708A4">
        <w:rPr>
          <w:color w:val="000000"/>
        </w:rPr>
        <w:t xml:space="preserve"> conceito</w:t>
      </w:r>
      <w:r>
        <w:rPr>
          <w:color w:val="000000"/>
        </w:rPr>
        <w:t>s</w:t>
      </w:r>
      <w:r w:rsidRPr="00B708A4">
        <w:rPr>
          <w:color w:val="000000"/>
        </w:rPr>
        <w:t xml:space="preserve"> de </w:t>
      </w:r>
      <w:r>
        <w:rPr>
          <w:color w:val="000000"/>
        </w:rPr>
        <w:t>saúde e de bem</w:t>
      </w:r>
      <w:r w:rsidRPr="00B708A4">
        <w:rPr>
          <w:color w:val="000000"/>
        </w:rPr>
        <w:t>-estar</w:t>
      </w:r>
      <w:r>
        <w:rPr>
          <w:color w:val="000000"/>
        </w:rPr>
        <w:t xml:space="preserve"> são abrangentes e multifacetados. </w:t>
      </w:r>
      <w:r w:rsidRPr="00B708A4">
        <w:rPr>
          <w:color w:val="000000"/>
        </w:rPr>
        <w:t xml:space="preserve">A literatura mostra que, em termos de discurso político e meios de comunicação populares, bem-estar é, </w:t>
      </w:r>
      <w:r w:rsidR="00CC147F">
        <w:rPr>
          <w:color w:val="000000"/>
        </w:rPr>
        <w:t>vulgar</w:t>
      </w:r>
      <w:r w:rsidRPr="00B708A4">
        <w:rPr>
          <w:color w:val="000000"/>
        </w:rPr>
        <w:t xml:space="preserve">mente, discutido em termos de riqueza, saúde e felicidade (e.g. </w:t>
      </w:r>
      <w:bookmarkStart w:id="0" w:name="_Hlk212939796"/>
      <w:r w:rsidRPr="00B708A4">
        <w:rPr>
          <w:color w:val="000000"/>
        </w:rPr>
        <w:t xml:space="preserve">Diener and Seligman 2004; Seligman, 2002) aparecendo também associado a um vasto conjunto de disciplinas </w:t>
      </w:r>
      <w:r w:rsidR="00CC147F">
        <w:rPr>
          <w:color w:val="000000"/>
        </w:rPr>
        <w:t>de que são exemplo</w:t>
      </w:r>
      <w:r w:rsidRPr="00B708A4">
        <w:rPr>
          <w:color w:val="000000"/>
        </w:rPr>
        <w:t xml:space="preserve"> a Psicologia, a Sociologia, a Medicina, etc. </w:t>
      </w:r>
      <w:r w:rsidR="00CC147F">
        <w:rPr>
          <w:color w:val="000000"/>
        </w:rPr>
        <w:t>Os i</w:t>
      </w:r>
      <w:r w:rsidRPr="00B708A4">
        <w:rPr>
          <w:color w:val="000000"/>
        </w:rPr>
        <w:t>ndicadores do bem-estar incluem, necessariamente, uma visão sobre o indivíduo na sua relação com a sociedade, incluindo dimensões de coesão social, aspetos de natureza física, psicológica, social, econ</w:t>
      </w:r>
      <w:r w:rsidR="00CC147F">
        <w:rPr>
          <w:color w:val="000000"/>
        </w:rPr>
        <w:t>ó</w:t>
      </w:r>
      <w:r w:rsidRPr="00B708A4">
        <w:rPr>
          <w:color w:val="000000"/>
        </w:rPr>
        <w:t>mica (e.g. Dolan, Peasgood and White, 2008; Helliwell and Putnam, 2004; Lima &amp; Novo, 2006, UNICEF, 2013</w:t>
      </w:r>
      <w:bookmarkEnd w:id="0"/>
      <w:r w:rsidRPr="00B708A4">
        <w:rPr>
          <w:color w:val="000000"/>
        </w:rPr>
        <w:t xml:space="preserve">). </w:t>
      </w:r>
      <w:r w:rsidR="00CC147F" w:rsidRPr="00BC4C8B">
        <w:rPr>
          <w:color w:val="000000"/>
        </w:rPr>
        <w:t>O termo “bem-estar” refere-se</w:t>
      </w:r>
      <w:r w:rsidR="00CC147F">
        <w:rPr>
          <w:color w:val="000000"/>
        </w:rPr>
        <w:t>, por isso,</w:t>
      </w:r>
      <w:r w:rsidR="00CC147F" w:rsidRPr="00BC4C8B">
        <w:rPr>
          <w:color w:val="000000"/>
        </w:rPr>
        <w:t xml:space="preserve"> a um estado de saúde física, mental e emocional que permite que os indivíduos vivam de forma plena e satisfatória</w:t>
      </w:r>
      <w:r w:rsidR="00CC147F">
        <w:rPr>
          <w:color w:val="000000"/>
        </w:rPr>
        <w:t xml:space="preserve">, reconhecendo a importância </w:t>
      </w:r>
      <w:r w:rsidR="00CC147F" w:rsidRPr="00BC4C8B">
        <w:rPr>
          <w:color w:val="000000"/>
        </w:rPr>
        <w:t>de condições que promov</w:t>
      </w:r>
      <w:r w:rsidR="00CC147F">
        <w:rPr>
          <w:color w:val="000000"/>
        </w:rPr>
        <w:t>a</w:t>
      </w:r>
      <w:r w:rsidR="00CC147F" w:rsidRPr="00BC4C8B">
        <w:rPr>
          <w:color w:val="000000"/>
        </w:rPr>
        <w:t xml:space="preserve">m uma vida equilibrada e feliz. </w:t>
      </w:r>
      <w:r w:rsidR="00CC147F">
        <w:rPr>
          <w:color w:val="000000"/>
        </w:rPr>
        <w:t>É, neste sentido,</w:t>
      </w:r>
      <w:r w:rsidR="00CC147F" w:rsidRPr="00BC4C8B">
        <w:rPr>
          <w:color w:val="000000"/>
        </w:rPr>
        <w:t xml:space="preserve"> frequentemente associado a práticas de autocuidado, nutrição adequada, atividade física regular e saúde mental, sendo fundamental para a qualidade de vida.</w:t>
      </w:r>
      <w:r w:rsidR="00CC147F">
        <w:rPr>
          <w:color w:val="000000"/>
        </w:rPr>
        <w:t xml:space="preserve"> </w:t>
      </w:r>
      <w:r w:rsidRPr="00B708A4">
        <w:rPr>
          <w:color w:val="000000"/>
        </w:rPr>
        <w:t xml:space="preserve">A este respeito, entende-se que bem-estar “se refere à percepção e avaliação que as pessoas fazem de si próprias e das suas vidas” (Lima &amp; </w:t>
      </w:r>
      <w:r w:rsidRPr="00B708A4">
        <w:rPr>
          <w:color w:val="000000"/>
        </w:rPr>
        <w:lastRenderedPageBreak/>
        <w:t>Novo, 2006:6).</w:t>
      </w:r>
      <w:r w:rsidR="0064143A">
        <w:rPr>
          <w:color w:val="000000"/>
        </w:rPr>
        <w:t xml:space="preserve"> </w:t>
      </w:r>
      <w:r w:rsidR="00CC147F">
        <w:t>É, precisamente, reconhecendo a importância de garantir o bem-estar da comunidade estudantil que as IES assumem o desafio de repensar o modo como se organizam para responder aos desafios</w:t>
      </w:r>
      <w:r w:rsidR="0064143A">
        <w:t xml:space="preserve"> que esta traz.</w:t>
      </w:r>
    </w:p>
    <w:p w14:paraId="422EBC8D" w14:textId="08CD29F0" w:rsidR="00E15DA2" w:rsidRDefault="00E15DA2" w:rsidP="00E15DA2">
      <w:r>
        <w:t>Nos países anglo-saxónicos, o</w:t>
      </w:r>
      <w:r w:rsidRPr="00E634A7">
        <w:t xml:space="preserve">s </w:t>
      </w:r>
      <w:r>
        <w:t>p</w:t>
      </w:r>
      <w:r w:rsidRPr="00E634A7">
        <w:t xml:space="preserve">rogramas de </w:t>
      </w:r>
      <w:r>
        <w:t>m</w:t>
      </w:r>
      <w:r w:rsidRPr="00E634A7">
        <w:t xml:space="preserve">entoria têm vindo a afirmar-se como uma estratégia de </w:t>
      </w:r>
      <w:r>
        <w:t>suporte</w:t>
      </w:r>
      <w:r w:rsidRPr="00E634A7">
        <w:t xml:space="preserve"> à integração dos/as estudantes nas </w:t>
      </w:r>
      <w:r>
        <w:t>IES</w:t>
      </w:r>
      <w:r w:rsidRPr="00E634A7">
        <w:t>,</w:t>
      </w:r>
      <w:r>
        <w:t xml:space="preserve"> </w:t>
      </w:r>
      <w:r w:rsidRPr="00E634A7">
        <w:t xml:space="preserve">visando </w:t>
      </w:r>
      <w:r>
        <w:t xml:space="preserve">a promoção de </w:t>
      </w:r>
      <w:r w:rsidRPr="00A925A3">
        <w:t>competências não técnicas</w:t>
      </w:r>
      <w:r>
        <w:t>,</w:t>
      </w:r>
      <w:r w:rsidRPr="00E634A7">
        <w:t xml:space="preserve"> </w:t>
      </w:r>
      <w:r>
        <w:t>a prevenção d</w:t>
      </w:r>
      <w:r w:rsidRPr="00E634A7">
        <w:t>o abandono escolar</w:t>
      </w:r>
      <w:r>
        <w:t>, mas também a diminuição d</w:t>
      </w:r>
      <w:r w:rsidRPr="00A925A3">
        <w:t>as desigualdades de desempenho de grupos marginalizados e sub-representados</w:t>
      </w:r>
      <w:r>
        <w:t xml:space="preserve"> (</w:t>
      </w:r>
      <w:r w:rsidRPr="00A423AB">
        <w:t>Cruz</w:t>
      </w:r>
      <w:r>
        <w:t xml:space="preserve"> </w:t>
      </w:r>
      <w:r w:rsidRPr="00A423AB">
        <w:t>&amp; Lopes, 2024)</w:t>
      </w:r>
      <w:r>
        <w:t>. A este respeito, a</w:t>
      </w:r>
      <w:r w:rsidRPr="00E05042">
        <w:t xml:space="preserve"> investigação</w:t>
      </w:r>
      <w:r>
        <w:t xml:space="preserve"> </w:t>
      </w:r>
      <w:r w:rsidRPr="003E28A3">
        <w:t xml:space="preserve">sugere que </w:t>
      </w:r>
      <w:r>
        <w:t>os programas</w:t>
      </w:r>
      <w:r w:rsidRPr="003E28A3">
        <w:t xml:space="preserve"> de mentoria estão positivamente relacionados</w:t>
      </w:r>
      <w:r>
        <w:t xml:space="preserve">, quer com </w:t>
      </w:r>
      <w:r w:rsidRPr="003E28A3">
        <w:t>uma multiplicidade de resultados académicos</w:t>
      </w:r>
      <w:r>
        <w:t>, quer com o</w:t>
      </w:r>
      <w:r w:rsidRPr="003E28A3">
        <w:t xml:space="preserve"> desenvolvimento psicossocial dos/as estudantes (Crisp et al, 2017).</w:t>
      </w:r>
      <w:r w:rsidRPr="00E05042">
        <w:t xml:space="preserve"> </w:t>
      </w:r>
      <w:r>
        <w:t>Ainda assim, a sua implementação em IES tende ainda a ser questionada.</w:t>
      </w:r>
    </w:p>
    <w:p w14:paraId="513FE169" w14:textId="55A2F206" w:rsidR="00FF6077" w:rsidRPr="00F95551" w:rsidRDefault="00E15DA2" w:rsidP="0064143A">
      <w:pPr>
        <w:rPr>
          <w:lang w:val="pt-PT"/>
        </w:rPr>
      </w:pPr>
      <w:r>
        <w:t xml:space="preserve">Esta comunicação centra-se num </w:t>
      </w:r>
      <w:r w:rsidRPr="00D63736">
        <w:t>programa institucional de acolhimento, integração e vivência solidárias no ensino superior</w:t>
      </w:r>
      <w:r>
        <w:t xml:space="preserve"> baseado na Mentoria de pares (</w:t>
      </w:r>
      <w:hyperlink r:id="rId8" w:history="1">
        <w:r w:rsidRPr="008E56C0">
          <w:rPr>
            <w:rStyle w:val="Hiperligao"/>
          </w:rPr>
          <w:t>https://www.up.pt/mentoriaup/</w:t>
        </w:r>
      </w:hyperlink>
      <w:r>
        <w:t xml:space="preserve">). </w:t>
      </w:r>
      <w:r w:rsidR="001744AE">
        <w:t>No âmbito deste programa, que j</w:t>
      </w:r>
      <w:r w:rsidR="001744AE" w:rsidRPr="00D63736">
        <w:t>unta atuais e novos</w:t>
      </w:r>
      <w:r w:rsidR="001744AE">
        <w:t>/as</w:t>
      </w:r>
      <w:r w:rsidR="001744AE" w:rsidRPr="00D63736">
        <w:t xml:space="preserve"> estudantes nacionais e internacionais da U</w:t>
      </w:r>
      <w:r w:rsidR="00FF6077">
        <w:t xml:space="preserve">niversidade do </w:t>
      </w:r>
      <w:r w:rsidR="001744AE" w:rsidRPr="00D63736">
        <w:t>Porto</w:t>
      </w:r>
      <w:r w:rsidR="00FF6077">
        <w:t xml:space="preserve"> (UPorto)</w:t>
      </w:r>
      <w:r w:rsidR="00F95551">
        <w:t xml:space="preserve">, visa-se criar condições para uma melhor integração </w:t>
      </w:r>
      <w:r w:rsidR="00F95551" w:rsidRPr="00F95551">
        <w:rPr>
          <w:lang w:val="pt-PT"/>
        </w:rPr>
        <w:t>a nível académico, pessoal e social</w:t>
      </w:r>
      <w:r w:rsidR="00F95551">
        <w:rPr>
          <w:lang w:val="pt-PT"/>
        </w:rPr>
        <w:t>.</w:t>
      </w:r>
      <w:r w:rsidR="0064143A">
        <w:rPr>
          <w:lang w:val="pt-PT"/>
        </w:rPr>
        <w:t xml:space="preserve"> </w:t>
      </w:r>
      <w:r w:rsidR="00F95551" w:rsidRPr="00F95551">
        <w:rPr>
          <w:lang w:val="pt-PT"/>
        </w:rPr>
        <w:t xml:space="preserve">O </w:t>
      </w:r>
      <w:r w:rsidR="00F95551">
        <w:rPr>
          <w:lang w:val="pt-PT"/>
        </w:rPr>
        <w:t>p</w:t>
      </w:r>
      <w:r w:rsidR="00F95551" w:rsidRPr="00F95551">
        <w:rPr>
          <w:lang w:val="pt-PT"/>
        </w:rPr>
        <w:t>rograma privilegia dinâmicas de colaboração interpares no plano do estudo,</w:t>
      </w:r>
      <w:r w:rsidR="00F95551">
        <w:rPr>
          <w:lang w:val="pt-PT"/>
        </w:rPr>
        <w:t xml:space="preserve"> procurando</w:t>
      </w:r>
      <w:r w:rsidR="00F95551" w:rsidRPr="00F95551">
        <w:rPr>
          <w:lang w:val="pt-PT"/>
        </w:rPr>
        <w:t xml:space="preserve"> aprofundar perspetivas reflexivas, criativas e críticas sobre os processos de integração académica</w:t>
      </w:r>
      <w:r w:rsidR="00F95551">
        <w:rPr>
          <w:lang w:val="pt-PT"/>
        </w:rPr>
        <w:t>. Mais, inspira a repensar o que se entende por sucesso académico, adotando uma leitura que não elimina da sua definição a dimensão d</w:t>
      </w:r>
      <w:r w:rsidR="00F95551" w:rsidRPr="00F95551">
        <w:rPr>
          <w:lang w:val="pt-PT"/>
        </w:rPr>
        <w:t>o bem-estar</w:t>
      </w:r>
      <w:r w:rsidR="00F95551">
        <w:rPr>
          <w:lang w:val="pt-PT"/>
        </w:rPr>
        <w:t xml:space="preserve"> como ingrediente absolutamente nuclear para uma</w:t>
      </w:r>
      <w:r w:rsidR="00F95551" w:rsidRPr="00F95551">
        <w:rPr>
          <w:lang w:val="pt-PT"/>
        </w:rPr>
        <w:t xml:space="preserve"> vivência académica salutar e promotora da dignidade individual.</w:t>
      </w:r>
      <w:r w:rsidR="0064143A">
        <w:rPr>
          <w:lang w:val="pt-PT"/>
        </w:rPr>
        <w:t xml:space="preserve"> </w:t>
      </w:r>
      <w:r w:rsidR="00FF6077">
        <w:rPr>
          <w:lang w:val="pt-PT"/>
        </w:rPr>
        <w:t xml:space="preserve">A mentoria de pares é, atualmente, um programa presente em todas as unidades orgânicas da Universidade do Porto (15), assim como residências de estudantes, e </w:t>
      </w:r>
      <w:r w:rsidR="0064143A">
        <w:rPr>
          <w:lang w:val="pt-PT"/>
        </w:rPr>
        <w:t>no</w:t>
      </w:r>
      <w:r w:rsidR="00FF6077">
        <w:rPr>
          <w:lang w:val="pt-PT"/>
        </w:rPr>
        <w:t xml:space="preserve"> qual participam mais de 5000 estudantes. </w:t>
      </w:r>
      <w:r w:rsidR="00F95551">
        <w:rPr>
          <w:lang w:val="pt-PT"/>
        </w:rPr>
        <w:t>Embora seja um programa institucional, em cada uma das unidades orgânicas da Universidade, é possível desenhar e operacionalizar</w:t>
      </w:r>
      <w:r w:rsidR="00F95551" w:rsidRPr="00F95551">
        <w:rPr>
          <w:lang w:val="pt-PT"/>
        </w:rPr>
        <w:t xml:space="preserve"> modos de funcionamento</w:t>
      </w:r>
      <w:r w:rsidR="00F95551">
        <w:rPr>
          <w:lang w:val="pt-PT"/>
        </w:rPr>
        <w:t xml:space="preserve"> específicos</w:t>
      </w:r>
      <w:r w:rsidR="00F95551" w:rsidRPr="00F95551">
        <w:rPr>
          <w:lang w:val="pt-PT"/>
        </w:rPr>
        <w:t>,</w:t>
      </w:r>
      <w:r w:rsidR="00FF6077">
        <w:rPr>
          <w:lang w:val="pt-PT"/>
        </w:rPr>
        <w:t xml:space="preserve"> considerando as especificidades de cada escola.</w:t>
      </w:r>
      <w:r w:rsidR="0064143A">
        <w:rPr>
          <w:lang w:val="pt-PT"/>
        </w:rPr>
        <w:t xml:space="preserve"> </w:t>
      </w:r>
      <w:r w:rsidR="00FF6077">
        <w:rPr>
          <w:lang w:val="pt-PT"/>
        </w:rPr>
        <w:t xml:space="preserve">Assim, </w:t>
      </w:r>
      <w:r w:rsidR="00FF6077">
        <w:t xml:space="preserve">esta comunicação dedicar-se-á, de forma particular, a refletir sobre a adoção do dispositivo da mentoria no curso de Ciências da Educação da UPorto. </w:t>
      </w:r>
    </w:p>
    <w:p w14:paraId="6DBA4934" w14:textId="77777777" w:rsidR="00F95551" w:rsidRPr="00F95551" w:rsidRDefault="00F95551" w:rsidP="00F95551">
      <w:pPr>
        <w:ind w:firstLine="0"/>
        <w:rPr>
          <w:lang w:val="pt-PT"/>
        </w:rPr>
      </w:pPr>
    </w:p>
    <w:p w14:paraId="01D8AF85" w14:textId="77777777" w:rsidR="00E15DA2" w:rsidRDefault="00E15DA2" w:rsidP="00E15DA2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7AC8BDE6" w14:textId="798B7977" w:rsidR="004C08F5" w:rsidRPr="00F95551" w:rsidRDefault="004C08F5" w:rsidP="00E56286">
      <w:pPr>
        <w:ind w:firstLine="708"/>
      </w:pPr>
      <w:r w:rsidRPr="00F95551">
        <w:t xml:space="preserve">Ancorados a uma abordagem eminentemente qualitativa, os dados que aqui se apresentam repousam sobre testemunhos escritos de estudantes da Universidade do Porto que participam no Programa da Mentoria enquanto mentoras. Trata-se de um conjunto de estudantes do </w:t>
      </w:r>
      <w:r w:rsidR="00D2641D">
        <w:t>3</w:t>
      </w:r>
      <w:r w:rsidR="00F95551">
        <w:t>º ano</w:t>
      </w:r>
      <w:r w:rsidRPr="00F95551">
        <w:t xml:space="preserve"> da licenciatura em Ciências da Educação, que voluntariamente acederam a partilhar as suas perspetivas sobre a experiência de participação no programa e que, coproduzindo conhecimento sobre essas experiências, são legítimas autoras desta comunicação.</w:t>
      </w:r>
    </w:p>
    <w:p w14:paraId="1EFE1BA3" w14:textId="4FD091CE" w:rsidR="004C08F5" w:rsidRPr="00F95551" w:rsidRDefault="004C08F5" w:rsidP="00E56286">
      <w:pPr>
        <w:ind w:firstLine="708"/>
      </w:pPr>
      <w:r w:rsidRPr="00F95551">
        <w:t xml:space="preserve">Os seus registos escritos foram tratados através de análise de conteúdo e permitem refletir sobre </w:t>
      </w:r>
      <w:r w:rsidR="001744AE" w:rsidRPr="00F95551">
        <w:t xml:space="preserve"> as principais fragilidades e mais-valias </w:t>
      </w:r>
      <w:r w:rsidR="00F95551" w:rsidRPr="00F95551">
        <w:t xml:space="preserve">do programa da mentoria </w:t>
      </w:r>
      <w:r w:rsidR="001744AE" w:rsidRPr="00F95551">
        <w:t xml:space="preserve">para </w:t>
      </w:r>
      <w:r w:rsidR="00F95551" w:rsidRPr="00F95551">
        <w:t>que os/</w:t>
      </w:r>
      <w:r w:rsidR="001744AE" w:rsidRPr="00F95551">
        <w:t xml:space="preserve">as </w:t>
      </w:r>
      <w:r w:rsidR="00F95551" w:rsidRPr="00F95551">
        <w:t>estudantes s</w:t>
      </w:r>
      <w:r w:rsidR="001744AE" w:rsidRPr="00F95551">
        <w:t xml:space="preserve">e sintam melhor integrados/as a nível académico, pessoal e social. A análise dos dados recolhidos permite tecer considerações em torno </w:t>
      </w:r>
      <w:r w:rsidR="00594B8B" w:rsidRPr="00F95551">
        <w:t xml:space="preserve">das </w:t>
      </w:r>
      <w:r w:rsidR="001744AE" w:rsidRPr="00F95551">
        <w:t>seguintes categorias: Relação entre</w:t>
      </w:r>
      <w:r w:rsidR="00594B8B" w:rsidRPr="00F95551">
        <w:t xml:space="preserve"> pares, Relação entre estudantes e docentes, Dinâmica institucional. Do ponto de vista ético</w:t>
      </w:r>
      <w:r w:rsidRPr="00F95551">
        <w:t xml:space="preserve">, </w:t>
      </w:r>
      <w:r w:rsidRPr="00F95551">
        <w:rPr>
          <w:rFonts w:eastAsia="Times New Roman" w:cs="Times New Roman"/>
          <w:color w:val="000000"/>
          <w:kern w:val="0"/>
          <w:shd w:val="clear" w:color="auto" w:fill="FFFFFF"/>
          <w:lang w:eastAsia="pt-PT"/>
          <w14:ligatures w14:val="none"/>
        </w:rPr>
        <w:t>este estudo inspirou-se nos princípios da Carta Ética da Sociedade Portuguesa das Ciências da Educação, atendendo, de forma particular, a uma leitura situada do contexto e dos resultados que aqui se apresentam.</w:t>
      </w:r>
    </w:p>
    <w:p w14:paraId="0646BEF8" w14:textId="157708CB" w:rsidR="00594B8B" w:rsidRDefault="00594B8B" w:rsidP="00594B8B">
      <w:pPr>
        <w:ind w:firstLine="0"/>
      </w:pPr>
    </w:p>
    <w:p w14:paraId="2B8A5DF4" w14:textId="77777777" w:rsidR="00594B8B" w:rsidRDefault="00594B8B" w:rsidP="00594B8B">
      <w:pPr>
        <w:ind w:firstLine="0"/>
      </w:pPr>
    </w:p>
    <w:p w14:paraId="4B72C82E" w14:textId="24BABEAA" w:rsidR="00707214" w:rsidRPr="00707214" w:rsidRDefault="00FC4166" w:rsidP="004C446D">
      <w:pPr>
        <w:pStyle w:val="Ttulo1"/>
      </w:pPr>
      <w:r>
        <w:lastRenderedPageBreak/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3F478B78" w14:textId="77777777" w:rsidR="00110C1F" w:rsidRDefault="00E15DA2" w:rsidP="00E56286">
      <w:pPr>
        <w:ind w:firstLine="708"/>
      </w:pPr>
      <w:r>
        <w:t>Os resultados deste estudo revelam que a proposta da mentoria interpares pode constituir uma alternativa com potencial para pensar, não apenas formas mais horizontais de integração e acolhimento, mas também relações que tendem a desafiar a distância conservadora que é expectável entre quem está na academia há mais tempo e quem a adentra pela primeira vez. Neste sentido, os resultados revelam a importância do programa de mentoria se desenvolver com a monitorização e o suporte de uma equipa docente, sinalizando positivamente a ligação que se estabelece entre docentes e estudantes</w:t>
      </w:r>
      <w:r w:rsidR="00110C1F">
        <w:t>, pautada por uma maior proximidade</w:t>
      </w:r>
      <w:r>
        <w:t xml:space="preserve">. </w:t>
      </w:r>
    </w:p>
    <w:p w14:paraId="2EEA4FDD" w14:textId="77777777" w:rsidR="00CF3530" w:rsidRDefault="00110C1F" w:rsidP="00E56286">
      <w:pPr>
        <w:ind w:firstLine="708"/>
      </w:pPr>
      <w:r>
        <w:t>No que toca à dinâmica institucional, os testemunhos revelam que o envolvimento na mentoria parece ser facilitador de um conhecimento mais profundo da realidade da faculdade</w:t>
      </w:r>
      <w:r w:rsidR="001744AE">
        <w:t>/unidade orgânica</w:t>
      </w:r>
      <w:r>
        <w:t>, designadamente a sua geografia, os seus serviços, modos de funcionamento, bem como promove condições especialmente favoráveis para os/as estudantes acedam e comuniquem eficazmente com as suas diferentes estruturas. Ainda a este respeito, os resultados dão nota de um</w:t>
      </w:r>
      <w:r w:rsidR="001744AE">
        <w:t>a aproximação à Universidade e, como tal, um maior sentido de pertença à casa de todos/as os/as que nela habitam.</w:t>
      </w:r>
    </w:p>
    <w:p w14:paraId="284919EC" w14:textId="33249830" w:rsidR="00CF3530" w:rsidRDefault="00E56286" w:rsidP="00E56286">
      <w:pPr>
        <w:ind w:firstLine="708"/>
      </w:pPr>
      <w:r>
        <w:t>O</w:t>
      </w:r>
      <w:r w:rsidR="00CF3530">
        <w:t>s resultados dão conta de áreas de melhoria que incluem uma maior explicitação sobre a necessidade de reconhecer a diversidade de respostas de mentores/as a mentorados/as, assim como os limites da sua colaboração.</w:t>
      </w:r>
    </w:p>
    <w:p w14:paraId="0287CFFA" w14:textId="29B42D04" w:rsidR="00E15DA2" w:rsidRDefault="00CF3530" w:rsidP="00E56286">
      <w:pPr>
        <w:ind w:firstLine="708"/>
      </w:pPr>
      <w:r>
        <w:t xml:space="preserve">Finalmente, e de modo dialogante com os resultados anteriormente expostos, os resultados apontam para uma relação entre o potencial da mentoria, enquanto proposta institucional, </w:t>
      </w:r>
      <w:r w:rsidR="00B04B0C">
        <w:t>e</w:t>
      </w:r>
      <w:r>
        <w:t xml:space="preserve"> o bem-estar e a permanência dos/as estudantes na Universidade.</w:t>
      </w:r>
    </w:p>
    <w:p w14:paraId="19DB83DB" w14:textId="77777777" w:rsidR="001744AE" w:rsidRDefault="001744AE" w:rsidP="001744AE">
      <w:pPr>
        <w:ind w:firstLine="0"/>
      </w:pPr>
    </w:p>
    <w:p w14:paraId="20D71F70" w14:textId="77777777" w:rsidR="004A78C7" w:rsidRDefault="004A78C7" w:rsidP="001744AE">
      <w:pPr>
        <w:ind w:firstLine="0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7016BE3F" w14:textId="75B8F2FB" w:rsidR="00E15DA2" w:rsidRDefault="00374AC3" w:rsidP="005B52AE">
      <w:pPr>
        <w:ind w:firstLine="708"/>
      </w:pPr>
      <w:r>
        <w:t xml:space="preserve">O lugar que se ocupa e, necessariamente, a perspetiva pela qual se observa a experiência da mentoria na Universidade correspondem a uma parte reduzida (e, possivelmente, privilegiada) do cenário global. </w:t>
      </w:r>
      <w:r w:rsidR="00D76BD9">
        <w:t>Reconhece-se, ainda assim, que os testemunhos aqui aflorados são condizentes com a literatura neste domínio, apontando para a abertura a possibilidades que considerem estratégias de acolhimento criativas e mais próximas das pessoas. Certamente, a mentoria não é a única nem a melhor estratégia para promover o acolhimento e a integração de estudantes</w:t>
      </w:r>
      <w:r w:rsidR="005B52AE">
        <w:t>. Apesar disso</w:t>
      </w:r>
      <w:r w:rsidR="00D76BD9">
        <w:t>,</w:t>
      </w:r>
      <w:r w:rsidR="005B52AE">
        <w:t xml:space="preserve"> reconhece, </w:t>
      </w:r>
      <w:r w:rsidR="00D76BD9">
        <w:t>nuclearmente</w:t>
      </w:r>
      <w:r w:rsidR="005B52AE">
        <w:t>,</w:t>
      </w:r>
      <w:r w:rsidR="00D76BD9">
        <w:t xml:space="preserve"> o seu bem-estar como</w:t>
      </w:r>
      <w:r w:rsidR="005B52AE">
        <w:t xml:space="preserve"> elemento central para garantir o seu sucesso na Universidade. E é aqui que, genuinamente, reside a razão desta comunicação. Por um lado, na profunda convicção de que a diversidade deve ser celebrada e as IES são convocadas a configurar-se, hoje mais do que nunca, como espaços de pluralidade, de respeito e de convivência assente na valorização de atitudes e valores democráticos, mais do que em resultados que tendem a ditar o que se entende por excelência académica. E, por outro lado, n</w:t>
      </w:r>
      <w:r w:rsidR="00E15DA2">
        <w:t xml:space="preserve">uma altura em que exigências de natureza política e económica parecem querer sobrepor-se a uma visão humanista da Educação, </w:t>
      </w:r>
      <w:r w:rsidR="005B52AE">
        <w:t xml:space="preserve">para </w:t>
      </w:r>
      <w:r w:rsidR="00E15DA2">
        <w:t>questiona</w:t>
      </w:r>
      <w:r w:rsidR="005B52AE">
        <w:t>r</w:t>
      </w:r>
      <w:r w:rsidR="00E15DA2">
        <w:t xml:space="preserve">-se se à Universidade (também) é possível equacionar o sucesso sem garantir bem-estar. </w:t>
      </w:r>
    </w:p>
    <w:p w14:paraId="1ECE6C20" w14:textId="77777777" w:rsidR="00E15DA2" w:rsidRPr="00E15DA2" w:rsidRDefault="00E15DA2" w:rsidP="00E15DA2"/>
    <w:p w14:paraId="3459E118" w14:textId="77777777" w:rsidR="00E15DA2" w:rsidRDefault="00E15DA2" w:rsidP="00677E44">
      <w:pPr>
        <w:pStyle w:val="Texto"/>
        <w:ind w:firstLine="0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53E7F45" w14:textId="77777777" w:rsidR="00677E44" w:rsidRPr="003459CF" w:rsidRDefault="00110C1F" w:rsidP="004A78C7">
      <w:pPr>
        <w:spacing w:line="240" w:lineRule="auto"/>
        <w:ind w:firstLine="0"/>
      </w:pPr>
      <w:r w:rsidRPr="003459CF">
        <w:t xml:space="preserve">Almeida, L. S. &amp; Castro, R. V. (2021). Ser estudante no ensino superior: Observatório dos percursos académicos dos estudantes da UMinho. In L. S. Almeida e R. V. Castro (Coord.), </w:t>
      </w:r>
      <w:r w:rsidRPr="003459CF">
        <w:rPr>
          <w:i/>
          <w:iCs/>
        </w:rPr>
        <w:t xml:space="preserve">Ser </w:t>
      </w:r>
      <w:r w:rsidRPr="003459CF">
        <w:rPr>
          <w:i/>
          <w:iCs/>
        </w:rPr>
        <w:lastRenderedPageBreak/>
        <w:t>Estudante no Ensino Superior: O caso dos estudantes do 1º ano</w:t>
      </w:r>
      <w:r w:rsidRPr="003459CF">
        <w:t xml:space="preserve">. (pp. 1-31). Instituto de Educação, Universidade do Minho. Centro de Investigação em Educação (CIEd).  </w:t>
      </w:r>
    </w:p>
    <w:p w14:paraId="6FE829A4" w14:textId="77777777" w:rsidR="00677E44" w:rsidRPr="003459CF" w:rsidRDefault="00677E44" w:rsidP="004A78C7">
      <w:pPr>
        <w:spacing w:line="240" w:lineRule="auto"/>
        <w:ind w:firstLine="0"/>
      </w:pPr>
    </w:p>
    <w:p w14:paraId="31CD0B72" w14:textId="19A5277A" w:rsidR="00677E44" w:rsidRPr="003459CF" w:rsidRDefault="00677E44" w:rsidP="004A78C7">
      <w:pPr>
        <w:spacing w:line="240" w:lineRule="auto"/>
        <w:ind w:firstLine="0"/>
      </w:pPr>
      <w:r w:rsidRPr="003459CF">
        <w:rPr>
          <w:color w:val="000000"/>
          <w:lang w:val="en-GB"/>
        </w:rPr>
        <w:t xml:space="preserve">Altschuler, J. (1997). </w:t>
      </w:r>
      <w:r w:rsidRPr="003459CF">
        <w:rPr>
          <w:i/>
          <w:iCs/>
          <w:color w:val="000000"/>
          <w:lang w:val="en-GB"/>
        </w:rPr>
        <w:t>Working with Chronic Illness</w:t>
      </w:r>
      <w:r w:rsidRPr="003459CF">
        <w:rPr>
          <w:color w:val="000000"/>
          <w:lang w:val="en-GB"/>
        </w:rPr>
        <w:t xml:space="preserve">. </w:t>
      </w:r>
      <w:r w:rsidRPr="003459CF">
        <w:rPr>
          <w:color w:val="000000"/>
          <w:lang w:val="pt-PT"/>
        </w:rPr>
        <w:t>New York: Palgrave.</w:t>
      </w:r>
    </w:p>
    <w:p w14:paraId="6BD90C06" w14:textId="77777777" w:rsidR="00677E44" w:rsidRPr="003459CF" w:rsidRDefault="00677E44" w:rsidP="004A78C7">
      <w:pPr>
        <w:spacing w:line="240" w:lineRule="auto"/>
        <w:ind w:firstLine="0"/>
      </w:pPr>
    </w:p>
    <w:p w14:paraId="202CCF21" w14:textId="77777777" w:rsidR="003459CF" w:rsidRPr="003459CF" w:rsidRDefault="003459CF" w:rsidP="004A78C7">
      <w:pPr>
        <w:spacing w:line="240" w:lineRule="auto"/>
        <w:ind w:firstLine="0"/>
        <w:rPr>
          <w:color w:val="000000"/>
        </w:rPr>
      </w:pPr>
      <w:r w:rsidRPr="003459CF">
        <w:rPr>
          <w:color w:val="000000"/>
        </w:rPr>
        <w:t xml:space="preserve">Costa, Rui Manuel Pinto (2009). </w:t>
      </w:r>
      <w:r w:rsidRPr="003459CF">
        <w:rPr>
          <w:i/>
          <w:iCs/>
          <w:color w:val="000000"/>
        </w:rPr>
        <w:t>O Poder médico no Estado Novo (1945-1974). Afirmação,  legitimação e ordenamento profissional</w:t>
      </w:r>
      <w:r w:rsidRPr="003459CF">
        <w:rPr>
          <w:color w:val="000000"/>
        </w:rPr>
        <w:t>. Porto: Editorial da Universidade do Porto.</w:t>
      </w:r>
    </w:p>
    <w:p w14:paraId="770BB766" w14:textId="2D2283F3" w:rsidR="00110C1F" w:rsidRPr="003459CF" w:rsidRDefault="00110C1F" w:rsidP="004A78C7">
      <w:pPr>
        <w:spacing w:line="240" w:lineRule="auto"/>
        <w:ind w:firstLine="0"/>
      </w:pPr>
      <w:r w:rsidRPr="003459CF">
        <w:t>Cruz, J. R., &amp; Lopes, R. (2024). Transição do estudante para o Ensino Superior: um estudo sobre autoeficácia, stresse e bem-estar psicológico. </w:t>
      </w:r>
      <w:r w:rsidRPr="003459CF">
        <w:rPr>
          <w:i/>
          <w:iCs/>
        </w:rPr>
        <w:t>Revista de Enfermagem Referência, 6</w:t>
      </w:r>
      <w:r w:rsidRPr="003459CF">
        <w:t xml:space="preserve">(3), e32553. </w:t>
      </w:r>
      <w:hyperlink r:id="rId9" w:history="1">
        <w:r w:rsidRPr="003459CF">
          <w:rPr>
            <w:rStyle w:val="Hiperligao"/>
          </w:rPr>
          <w:t>https://doi.org/10.12707/RVI23.99.32553</w:t>
        </w:r>
      </w:hyperlink>
    </w:p>
    <w:p w14:paraId="5C50B56B" w14:textId="77777777" w:rsidR="00677E44" w:rsidRPr="003459CF" w:rsidRDefault="00677E44" w:rsidP="004A78C7">
      <w:pPr>
        <w:spacing w:line="240" w:lineRule="auto"/>
        <w:ind w:firstLine="0"/>
      </w:pPr>
    </w:p>
    <w:p w14:paraId="76A7CF8B" w14:textId="5C627706" w:rsidR="00110C1F" w:rsidRPr="004A78C7" w:rsidRDefault="00110C1F" w:rsidP="004A78C7">
      <w:pPr>
        <w:pStyle w:val="TtulosNoNumerados"/>
        <w:spacing w:line="240" w:lineRule="auto"/>
        <w:jc w:val="both"/>
        <w:rPr>
          <w:rFonts w:asciiTheme="minorHAnsi" w:hAnsiTheme="minorHAnsi"/>
          <w:b w:val="0"/>
          <w:bCs w:val="0"/>
          <w:sz w:val="22"/>
          <w:szCs w:val="22"/>
          <w:lang w:val="en-GB"/>
        </w:rPr>
      </w:pPr>
      <w:r w:rsidRPr="004A78C7">
        <w:rPr>
          <w:rFonts w:asciiTheme="minorHAnsi" w:hAnsiTheme="minorHAnsi"/>
          <w:b w:val="0"/>
          <w:bCs w:val="0"/>
          <w:sz w:val="22"/>
          <w:szCs w:val="22"/>
          <w:lang w:val="pt-PT"/>
        </w:rPr>
        <w:t>Crisp, G., Baker, V.L., Griffin, K.A., Lunsford, L.G. and Pifer, M.J. (2017)</w:t>
      </w:r>
      <w:r w:rsidR="003459CF" w:rsidRPr="004A78C7">
        <w:rPr>
          <w:rFonts w:asciiTheme="minorHAnsi" w:hAnsiTheme="minorHAnsi"/>
          <w:b w:val="0"/>
          <w:bCs w:val="0"/>
          <w:sz w:val="22"/>
          <w:szCs w:val="22"/>
          <w:lang w:val="pt-PT"/>
        </w:rPr>
        <w:t>.</w:t>
      </w:r>
      <w:r w:rsidRPr="004A78C7">
        <w:rPr>
          <w:rFonts w:asciiTheme="minorHAnsi" w:hAnsiTheme="minorHAnsi"/>
          <w:b w:val="0"/>
          <w:bCs w:val="0"/>
          <w:sz w:val="22"/>
          <w:szCs w:val="22"/>
          <w:lang w:val="pt-PT"/>
        </w:rPr>
        <w:t xml:space="preserve"> </w:t>
      </w:r>
      <w:r w:rsidRPr="003459CF">
        <w:rPr>
          <w:rFonts w:asciiTheme="minorHAnsi" w:hAnsiTheme="minorHAnsi"/>
          <w:b w:val="0"/>
          <w:bCs w:val="0"/>
          <w:sz w:val="22"/>
          <w:szCs w:val="22"/>
          <w:lang w:val="en-GB"/>
        </w:rPr>
        <w:t xml:space="preserve">Mentoring Undergraduate Students. </w:t>
      </w:r>
      <w:r w:rsidRPr="004A78C7">
        <w:rPr>
          <w:rFonts w:asciiTheme="minorHAnsi" w:hAnsiTheme="minorHAnsi"/>
          <w:b w:val="0"/>
          <w:bCs w:val="0"/>
          <w:i/>
          <w:iCs/>
          <w:sz w:val="22"/>
          <w:szCs w:val="22"/>
          <w:lang w:val="en-GB"/>
        </w:rPr>
        <w:t>ASHE High. Edu. Rept</w:t>
      </w:r>
      <w:r w:rsidRPr="004A78C7">
        <w:rPr>
          <w:rFonts w:asciiTheme="minorHAnsi" w:hAnsiTheme="minorHAnsi"/>
          <w:b w:val="0"/>
          <w:bCs w:val="0"/>
          <w:sz w:val="22"/>
          <w:szCs w:val="22"/>
          <w:lang w:val="en-GB"/>
        </w:rPr>
        <w:t>., 43</w:t>
      </w:r>
      <w:r w:rsidR="003459CF" w:rsidRPr="004A78C7">
        <w:rPr>
          <w:rFonts w:asciiTheme="minorHAnsi" w:hAnsiTheme="minorHAnsi"/>
          <w:b w:val="0"/>
          <w:bCs w:val="0"/>
          <w:sz w:val="22"/>
          <w:szCs w:val="22"/>
          <w:lang w:val="en-GB"/>
        </w:rPr>
        <w:t>,</w:t>
      </w:r>
      <w:r w:rsidRPr="004A78C7">
        <w:rPr>
          <w:rFonts w:asciiTheme="minorHAnsi" w:hAnsiTheme="minorHAnsi"/>
          <w:b w:val="0"/>
          <w:bCs w:val="0"/>
          <w:sz w:val="22"/>
          <w:szCs w:val="22"/>
          <w:lang w:val="en-GB"/>
        </w:rPr>
        <w:t xml:space="preserve"> 7-103. </w:t>
      </w:r>
      <w:hyperlink r:id="rId10" w:history="1">
        <w:r w:rsidRPr="004A78C7">
          <w:rPr>
            <w:rStyle w:val="Hiperligao"/>
            <w:rFonts w:asciiTheme="minorHAnsi" w:hAnsiTheme="minorHAnsi"/>
            <w:b w:val="0"/>
            <w:bCs w:val="0"/>
            <w:sz w:val="22"/>
            <w:szCs w:val="22"/>
            <w:lang w:val="en-GB"/>
          </w:rPr>
          <w:t>https://doi.org/10.1002/aehe.20117</w:t>
        </w:r>
      </w:hyperlink>
    </w:p>
    <w:p w14:paraId="7CAD0BAC" w14:textId="77777777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  <w:r w:rsidRPr="003459CF">
        <w:rPr>
          <w:color w:val="000000"/>
          <w:lang w:val="en-GB"/>
        </w:rPr>
        <w:t xml:space="preserve">Diener, E. &amp; Seligman, M.E. (2004). Beyond money: toward an economy of wellbeing. </w:t>
      </w:r>
      <w:r w:rsidRPr="003459CF">
        <w:rPr>
          <w:i/>
          <w:color w:val="000000"/>
          <w:lang w:val="en-GB"/>
        </w:rPr>
        <w:t>Psychological Science in the Public Interest, 5</w:t>
      </w:r>
      <w:r w:rsidRPr="003459CF">
        <w:rPr>
          <w:color w:val="000000"/>
          <w:lang w:val="en-GB"/>
        </w:rPr>
        <w:t>(1), 1–31.</w:t>
      </w:r>
    </w:p>
    <w:p w14:paraId="111F9F66" w14:textId="77777777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</w:p>
    <w:p w14:paraId="3FC16861" w14:textId="77777777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  <w:r w:rsidRPr="003459CF">
        <w:rPr>
          <w:color w:val="000000"/>
          <w:lang w:val="en-GB"/>
        </w:rPr>
        <w:t xml:space="preserve">Dolan, P., Peasgood, T. &amp; White, M. (2008). Do we really know what makes us happy? A review of the economic literature on the factors associated with subjective well-being. </w:t>
      </w:r>
      <w:r w:rsidRPr="003459CF">
        <w:rPr>
          <w:i/>
          <w:iCs/>
          <w:color w:val="000000"/>
          <w:lang w:val="en-GB"/>
        </w:rPr>
        <w:t>Journal of Economic Psychology 29</w:t>
      </w:r>
      <w:r w:rsidRPr="003459CF">
        <w:rPr>
          <w:color w:val="000000"/>
          <w:lang w:val="en-GB"/>
        </w:rPr>
        <w:t>(1), 94–122.</w:t>
      </w:r>
    </w:p>
    <w:p w14:paraId="73D92123" w14:textId="77777777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</w:p>
    <w:p w14:paraId="7258F010" w14:textId="4E33EBC9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  <w:r w:rsidRPr="003459CF">
        <w:rPr>
          <w:color w:val="000000"/>
          <w:lang w:val="en-GB"/>
        </w:rPr>
        <w:t xml:space="preserve">Helliwell, J.F. &amp; Putnam, R.D. (2004). The social context of well-being. </w:t>
      </w:r>
      <w:r w:rsidRPr="003459CF">
        <w:rPr>
          <w:i/>
          <w:iCs/>
          <w:color w:val="000000"/>
          <w:lang w:val="en-GB"/>
        </w:rPr>
        <w:t>Philosophical Transactions of the Royal Society of London Series B – Biological Sciences 359</w:t>
      </w:r>
      <w:r w:rsidRPr="003459CF">
        <w:rPr>
          <w:color w:val="000000"/>
          <w:lang w:val="en-GB"/>
        </w:rPr>
        <w:t>(1449), 1435–1446.</w:t>
      </w:r>
    </w:p>
    <w:p w14:paraId="03B4E7F9" w14:textId="77777777" w:rsidR="003459CF" w:rsidRPr="003459CF" w:rsidRDefault="003459CF" w:rsidP="004A78C7">
      <w:pPr>
        <w:spacing w:line="240" w:lineRule="auto"/>
        <w:ind w:firstLine="0"/>
        <w:rPr>
          <w:color w:val="000000"/>
          <w:lang w:val="en-GB"/>
        </w:rPr>
      </w:pPr>
    </w:p>
    <w:p w14:paraId="482AC486" w14:textId="77777777" w:rsidR="003459CF" w:rsidRPr="003459CF" w:rsidRDefault="003459CF" w:rsidP="004A78C7">
      <w:pPr>
        <w:spacing w:line="240" w:lineRule="auto"/>
        <w:ind w:firstLine="0"/>
        <w:rPr>
          <w:lang w:val="pt-PT"/>
        </w:rPr>
      </w:pPr>
      <w:r w:rsidRPr="003459CF">
        <w:rPr>
          <w:color w:val="000000"/>
          <w:lang w:val="pt-PT"/>
        </w:rPr>
        <w:t xml:space="preserve">Lima M. L., Novo R. N. (2006). </w:t>
      </w:r>
      <w:r w:rsidRPr="003459CF">
        <w:rPr>
          <w:color w:val="000000"/>
          <w:lang w:val="en-GB"/>
        </w:rPr>
        <w:t xml:space="preserve">So far so good? Subjective and social well-being in Portugal and Europe. </w:t>
      </w:r>
      <w:r w:rsidRPr="003459CF">
        <w:rPr>
          <w:color w:val="000000"/>
          <w:lang w:val="pt-PT"/>
        </w:rPr>
        <w:t xml:space="preserve">Portuguese Journal of Social Science 5(1), 5–33. </w:t>
      </w:r>
      <w:hyperlink r:id="rId11">
        <w:r w:rsidRPr="003459CF">
          <w:rPr>
            <w:color w:val="0000FF"/>
            <w:u w:val="single"/>
            <w:lang w:val="pt-PT"/>
          </w:rPr>
          <w:t>https://doi.org/10.1386/pjss.5.1.5/1</w:t>
        </w:r>
      </w:hyperlink>
    </w:p>
    <w:p w14:paraId="491DF475" w14:textId="77777777" w:rsidR="003459CF" w:rsidRDefault="003459CF" w:rsidP="004A78C7">
      <w:pPr>
        <w:spacing w:line="240" w:lineRule="auto"/>
        <w:ind w:firstLine="0"/>
        <w:rPr>
          <w:rFonts w:eastAsia="Times New Roman" w:cs="Times New Roman"/>
          <w:color w:val="222222"/>
          <w:highlight w:val="white"/>
        </w:rPr>
      </w:pPr>
    </w:p>
    <w:p w14:paraId="433395F2" w14:textId="0C16E664" w:rsidR="00677E44" w:rsidRPr="003459CF" w:rsidRDefault="00677E44" w:rsidP="004A78C7">
      <w:pPr>
        <w:spacing w:line="240" w:lineRule="auto"/>
        <w:ind w:firstLine="0"/>
        <w:rPr>
          <w:lang w:val="pt-PT"/>
        </w:rPr>
      </w:pPr>
      <w:r w:rsidRPr="003459CF">
        <w:rPr>
          <w:rFonts w:eastAsia="Times New Roman" w:cs="Times New Roman"/>
          <w:color w:val="222222"/>
          <w:highlight w:val="white"/>
        </w:rPr>
        <w:t xml:space="preserve">Menezes, I., Coelho, M., Amorim, J.P., Gomes, I., Pais, S.C. &amp; Coimbra, J.L. (2018) Capítulo: Inovação e compromisso social universitário: a universidade “e o chão que ela pisa”. Foro Internacional de Innovación Universitaria. </w:t>
      </w:r>
      <w:r w:rsidRPr="003459CF">
        <w:rPr>
          <w:rFonts w:eastAsia="Times New Roman" w:cs="Times New Roman"/>
          <w:i/>
          <w:color w:val="222222"/>
          <w:highlight w:val="white"/>
        </w:rPr>
        <w:t>Tendencias actuales de las transformaciones de las universidades en una nueva sociedad digital</w:t>
      </w:r>
      <w:r w:rsidR="00671E8F" w:rsidRPr="00C36E9B">
        <w:rPr>
          <w:rFonts w:cstheme="minorHAnsi"/>
          <w:shd w:val="clear" w:color="auto" w:fill="FFFFFF"/>
        </w:rPr>
        <w:t xml:space="preserve"> (pp.  395-407). Vigo: Foro Internacional de Innovación Universitaria.</w:t>
      </w:r>
    </w:p>
    <w:p w14:paraId="6330484B" w14:textId="77777777" w:rsidR="003459CF" w:rsidRPr="003459CF" w:rsidRDefault="00677E44" w:rsidP="004A78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right="-360" w:firstLine="0"/>
        <w:rPr>
          <w:rFonts w:eastAsia="Times New Roman" w:cs="Times New Roman"/>
          <w:color w:val="222222"/>
        </w:rPr>
      </w:pPr>
      <w:r w:rsidRPr="003459CF">
        <w:rPr>
          <w:rFonts w:eastAsia="Times New Roman" w:cs="Times New Roman"/>
          <w:color w:val="222222"/>
          <w:highlight w:val="white"/>
        </w:rPr>
        <w:t>Pedrosa, J., Queirós, J. F., Grilo, M., Eaton, J., &amp; Kogan, M. (2005). </w:t>
      </w:r>
      <w:r w:rsidRPr="003459CF">
        <w:rPr>
          <w:rFonts w:eastAsia="Times New Roman" w:cs="Times New Roman"/>
          <w:i/>
          <w:color w:val="222222"/>
          <w:highlight w:val="white"/>
        </w:rPr>
        <w:t>Governar a universidade portuguesa: missão, organização, funcionamento e autonomia</w:t>
      </w:r>
      <w:r w:rsidRPr="003459CF">
        <w:rPr>
          <w:rFonts w:eastAsia="Times New Roman" w:cs="Times New Roman"/>
          <w:color w:val="222222"/>
          <w:highlight w:val="white"/>
        </w:rPr>
        <w:t>. Lisboa: Fundação Calouste Gulbenkian.</w:t>
      </w:r>
    </w:p>
    <w:p w14:paraId="4ED18146" w14:textId="2AB7AAC3" w:rsidR="003459CF" w:rsidRPr="003459CF" w:rsidRDefault="003459CF" w:rsidP="004A78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right="-360" w:firstLine="0"/>
        <w:rPr>
          <w:rFonts w:eastAsia="Times New Roman" w:cs="Times New Roman"/>
          <w:color w:val="222222"/>
          <w:lang w:val="en-GB"/>
        </w:rPr>
      </w:pPr>
      <w:r w:rsidRPr="003459CF">
        <w:rPr>
          <w:color w:val="000000"/>
          <w:lang w:val="en-GB"/>
        </w:rPr>
        <w:t xml:space="preserve">Seligman, M.E. (2002). </w:t>
      </w:r>
      <w:r w:rsidRPr="003459CF">
        <w:rPr>
          <w:i/>
          <w:iCs/>
          <w:color w:val="000000"/>
          <w:lang w:val="en-GB"/>
        </w:rPr>
        <w:t>Authentic happiness: using the new positive psychology to realize your potential for lasting fulfillment.</w:t>
      </w:r>
      <w:r w:rsidRPr="003459CF">
        <w:rPr>
          <w:color w:val="000000"/>
          <w:lang w:val="en-GB"/>
        </w:rPr>
        <w:t xml:space="preserve"> New York: Free Press. </w:t>
      </w:r>
    </w:p>
    <w:p w14:paraId="085375C1" w14:textId="7B160885" w:rsidR="003459CF" w:rsidRPr="003459CF" w:rsidRDefault="003459CF" w:rsidP="004A78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right="-360" w:firstLine="0"/>
        <w:rPr>
          <w:rFonts w:eastAsia="Times New Roman" w:cs="Times New Roman"/>
          <w:color w:val="222222"/>
          <w:highlight w:val="white"/>
          <w:lang w:val="en-GB"/>
        </w:rPr>
      </w:pPr>
      <w:r w:rsidRPr="003459CF">
        <w:rPr>
          <w:color w:val="000000"/>
          <w:lang w:val="en-GB"/>
        </w:rPr>
        <w:t xml:space="preserve">UNICEF Office of Research (2013). </w:t>
      </w:r>
      <w:r w:rsidRPr="003459CF">
        <w:rPr>
          <w:i/>
          <w:iCs/>
          <w:color w:val="000000"/>
          <w:lang w:val="en-GB"/>
        </w:rPr>
        <w:t xml:space="preserve">Child Well-being in Rich Countries: A comparative overview, Innocenti Report Card 11, </w:t>
      </w:r>
      <w:r w:rsidRPr="003459CF">
        <w:rPr>
          <w:color w:val="000000"/>
          <w:lang w:val="en-GB"/>
        </w:rPr>
        <w:t>Florence: UNICEF Office of Research.</w:t>
      </w:r>
    </w:p>
    <w:p w14:paraId="59DDFE01" w14:textId="77777777" w:rsidR="00677E44" w:rsidRPr="003459CF" w:rsidRDefault="00677E44" w:rsidP="00677E44">
      <w:pPr>
        <w:pStyle w:val="Texto"/>
        <w:ind w:firstLine="0"/>
        <w:rPr>
          <w:lang w:val="en-GB"/>
        </w:rPr>
      </w:pPr>
    </w:p>
    <w:p w14:paraId="79BEE3E7" w14:textId="7BE467F6" w:rsidR="001E54C1" w:rsidRDefault="3A7DF960">
      <w:pPr>
        <w:pStyle w:val="TtulosNoNumerados"/>
      </w:pPr>
      <w:r w:rsidRPr="00DF040B">
        <w:t>AGRADECIMENTOS</w:t>
      </w:r>
      <w:r>
        <w:t xml:space="preserve"> </w:t>
      </w:r>
    </w:p>
    <w:p w14:paraId="61126B4C" w14:textId="43B1109C" w:rsidR="001E54C1" w:rsidRPr="001744AE" w:rsidRDefault="00110C1F" w:rsidP="00863CD9">
      <w:pPr>
        <w:pStyle w:val="TtulosNoNumerados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744AE">
        <w:rPr>
          <w:rFonts w:asciiTheme="minorHAnsi" w:hAnsiTheme="minorHAnsi"/>
          <w:b w:val="0"/>
          <w:bCs w:val="0"/>
          <w:sz w:val="22"/>
          <w:szCs w:val="22"/>
        </w:rPr>
        <w:t>Agradece-se a toda a comunidade que constitui o Programa de Mentoria Interpares da Universidade do Porto, designadamente, estudantes</w:t>
      </w:r>
      <w:r w:rsidR="008859B4">
        <w:rPr>
          <w:rFonts w:asciiTheme="minorHAnsi" w:hAnsiTheme="minorHAnsi"/>
          <w:b w:val="0"/>
          <w:bCs w:val="0"/>
          <w:sz w:val="22"/>
          <w:szCs w:val="22"/>
        </w:rPr>
        <w:t>-</w:t>
      </w:r>
      <w:r w:rsidRPr="001744AE">
        <w:rPr>
          <w:rFonts w:asciiTheme="minorHAnsi" w:hAnsiTheme="minorHAnsi"/>
          <w:b w:val="0"/>
          <w:bCs w:val="0"/>
          <w:sz w:val="22"/>
          <w:szCs w:val="22"/>
        </w:rPr>
        <w:t xml:space="preserve">mentores/as e mentorados/as, docentes e coordenadores/as do programa nas diferentes unidades orgânicas da Universidade do Porto. Reconhecem-se, com especial apreço, os esforços da Professora Doutora Teresa Medina para que o programa, originalmente nascido na Faculdade de Psicologia e de Ciências da Educação, fosse hoje uma possibilidade </w:t>
      </w:r>
      <w:r w:rsidR="001744AE" w:rsidRPr="001744AE">
        <w:rPr>
          <w:rFonts w:asciiTheme="minorHAnsi" w:hAnsiTheme="minorHAnsi"/>
          <w:b w:val="0"/>
          <w:bCs w:val="0"/>
          <w:sz w:val="22"/>
          <w:szCs w:val="22"/>
        </w:rPr>
        <w:t xml:space="preserve">efetiva </w:t>
      </w:r>
      <w:r w:rsidRPr="001744AE">
        <w:rPr>
          <w:rFonts w:asciiTheme="minorHAnsi" w:hAnsiTheme="minorHAnsi"/>
          <w:b w:val="0"/>
          <w:bCs w:val="0"/>
          <w:sz w:val="22"/>
          <w:szCs w:val="22"/>
        </w:rPr>
        <w:t>de integração e acolhimento de estudantes em todas as unidades orgânicas da Universidade do Porto.</w:t>
      </w: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8AF85" w14:textId="77777777" w:rsidR="00BC5814" w:rsidRDefault="00BC5814" w:rsidP="00026BCD">
      <w:pPr>
        <w:spacing w:line="240" w:lineRule="auto"/>
      </w:pPr>
      <w:r>
        <w:separator/>
      </w:r>
    </w:p>
  </w:endnote>
  <w:endnote w:type="continuationSeparator" w:id="0">
    <w:p w14:paraId="7A41FC3A" w14:textId="77777777" w:rsidR="00BC5814" w:rsidRDefault="00BC581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8532E" w14:textId="77777777" w:rsidR="00BC5814" w:rsidRDefault="00BC5814" w:rsidP="00026BCD">
      <w:pPr>
        <w:spacing w:line="240" w:lineRule="auto"/>
      </w:pPr>
      <w:r>
        <w:separator/>
      </w:r>
    </w:p>
  </w:footnote>
  <w:footnote w:type="continuationSeparator" w:id="0">
    <w:p w14:paraId="33DED833" w14:textId="77777777" w:rsidR="00BC5814" w:rsidRDefault="00BC5814" w:rsidP="00026BCD">
      <w:pPr>
        <w:spacing w:line="240" w:lineRule="auto"/>
      </w:pPr>
      <w:r>
        <w:continuationSeparator/>
      </w:r>
    </w:p>
  </w:footnote>
  <w:footnote w:id="1">
    <w:p w14:paraId="22FD869C" w14:textId="3411EC66" w:rsidR="00250E5E" w:rsidRPr="004A78C7" w:rsidRDefault="00250E5E" w:rsidP="00B04B0C">
      <w:pPr>
        <w:pStyle w:val="TtulosNoNumerados"/>
        <w:spacing w:line="240" w:lineRule="auto"/>
        <w:rPr>
          <w:rFonts w:asciiTheme="minorHAnsi" w:eastAsia="Arial" w:hAnsiTheme="minorHAnsi"/>
          <w:b w:val="0"/>
          <w:bCs w:val="0"/>
          <w:sz w:val="20"/>
          <w:szCs w:val="20"/>
        </w:rPr>
      </w:pPr>
      <w:r w:rsidRPr="004A78C7">
        <w:rPr>
          <w:rStyle w:val="Refdenotaderodap"/>
          <w:rFonts w:asciiTheme="minorHAnsi" w:hAnsiTheme="minorHAnsi"/>
          <w:b w:val="0"/>
          <w:bCs w:val="0"/>
          <w:sz w:val="20"/>
          <w:szCs w:val="20"/>
        </w:rPr>
        <w:footnoteRef/>
      </w:r>
      <w:r w:rsidR="00E15DA2" w:rsidRPr="004A78C7">
        <w:rPr>
          <w:rFonts w:asciiTheme="minorHAnsi" w:eastAsia="Arial" w:hAnsiTheme="minorHAnsi"/>
          <w:b w:val="0"/>
          <w:bCs w:val="0"/>
          <w:sz w:val="20"/>
          <w:szCs w:val="20"/>
        </w:rPr>
        <w:t>Professora Auxiliar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, </w:t>
      </w:r>
      <w:r w:rsidR="00E15DA2" w:rsidRPr="004A78C7">
        <w:rPr>
          <w:rFonts w:asciiTheme="minorHAnsi" w:eastAsia="Arial" w:hAnsiTheme="minorHAnsi"/>
          <w:b w:val="0"/>
          <w:bCs w:val="0"/>
          <w:sz w:val="20"/>
          <w:szCs w:val="20"/>
        </w:rPr>
        <w:t>Centro de Investigação e Intervenção Educativas</w:t>
      </w:r>
      <w:r w:rsidR="00B04B0C"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 </w:t>
      </w:r>
      <w:r w:rsidR="00E15DA2" w:rsidRPr="004A78C7">
        <w:rPr>
          <w:rFonts w:asciiTheme="minorHAnsi" w:eastAsia="Arial" w:hAnsiTheme="minorHAnsi"/>
          <w:b w:val="0"/>
          <w:bCs w:val="0"/>
          <w:sz w:val="20"/>
          <w:szCs w:val="20"/>
        </w:rPr>
        <w:t>da Universidade do Porto, Porto, Portugal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,</w:t>
      </w:r>
      <w:r w:rsidR="00E15DA2"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 </w:t>
      </w:r>
      <w:hyperlink r:id="rId1" w:history="1">
        <w:r w:rsidR="00E15DA2"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sofiapais@fpce.up.pt</w:t>
        </w:r>
      </w:hyperlink>
      <w:r w:rsidR="00E15DA2"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 </w:t>
      </w:r>
    </w:p>
    <w:p w14:paraId="0A6A73D4" w14:textId="77777777" w:rsidR="004A78C7" w:rsidRPr="004A78C7" w:rsidRDefault="004A78C7" w:rsidP="00B04B0C">
      <w:pPr>
        <w:pStyle w:val="TtulosNoNumerados"/>
        <w:spacing w:line="240" w:lineRule="auto"/>
        <w:rPr>
          <w:rFonts w:asciiTheme="minorHAnsi" w:eastAsia="Arial" w:hAnsiTheme="minorHAnsi"/>
          <w:b w:val="0"/>
          <w:bCs w:val="0"/>
          <w:sz w:val="20"/>
          <w:szCs w:val="20"/>
        </w:rPr>
      </w:pPr>
      <w:r w:rsidRPr="004A78C7">
        <w:rPr>
          <w:rFonts w:asciiTheme="minorHAnsi" w:eastAsia="Arial" w:hAnsiTheme="minorHAnsi"/>
          <w:b w:val="0"/>
          <w:bCs w:val="0"/>
          <w:sz w:val="20"/>
          <w:szCs w:val="20"/>
          <w:vertAlign w:val="superscript"/>
        </w:rPr>
        <w:t xml:space="preserve">2 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Estudante, Faculdade de Psicologia e de Ciências da Educação da Universidade do Porto,Porto, Portugal,</w:t>
      </w:r>
      <w:hyperlink r:id="rId2" w:history="1"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up202304889</w:t>
        </w:r>
        <w:r w:rsidRPr="004A78C7">
          <w:rPr>
            <w:rStyle w:val="Hiperligao"/>
            <w:rFonts w:asciiTheme="minorHAnsi" w:eastAsia="Arial" w:hAnsiTheme="minorHAnsi"/>
            <w:sz w:val="20"/>
            <w:szCs w:val="20"/>
          </w:rPr>
          <w:drawing>
            <wp:inline distT="0" distB="0" distL="0" distR="0" wp14:anchorId="76D1B08C" wp14:editId="2C2B0419">
              <wp:extent cx="76200" cy="82550"/>
              <wp:effectExtent l="0" t="0" r="0" b="0"/>
              <wp:docPr id="1564094360" name="Imagem 4" descr="@">
                <a:hlinkClick xmlns:a="http://schemas.openxmlformats.org/drawingml/2006/main" r:id="rId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@">
                        <a:hlinkClick r:id="rId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edu.fpce.up.pt</w:t>
        </w:r>
      </w:hyperlink>
    </w:p>
    <w:p w14:paraId="7232EC62" w14:textId="1CEB8028" w:rsidR="004A78C7" w:rsidRPr="004A78C7" w:rsidRDefault="004A78C7" w:rsidP="00B04B0C">
      <w:pPr>
        <w:pStyle w:val="TtulosNoNumerados"/>
        <w:spacing w:line="240" w:lineRule="auto"/>
        <w:rPr>
          <w:rFonts w:asciiTheme="minorHAnsi" w:eastAsia="Arial" w:hAnsiTheme="minorHAnsi"/>
          <w:b w:val="0"/>
          <w:bCs w:val="0"/>
          <w:sz w:val="20"/>
          <w:szCs w:val="20"/>
        </w:rPr>
      </w:pPr>
      <w:r w:rsidRPr="004A78C7">
        <w:rPr>
          <w:rFonts w:asciiTheme="minorHAnsi" w:eastAsia="Arial" w:hAnsiTheme="minorHAnsi"/>
          <w:b w:val="0"/>
          <w:bCs w:val="0"/>
          <w:sz w:val="20"/>
          <w:szCs w:val="20"/>
          <w:vertAlign w:val="superscript"/>
        </w:rPr>
        <w:t>3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 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Estudante, Faculdade de Psicologia e de Ciências da Educação da Universidade do Porto,Porto, Portugal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 xml:space="preserve">, </w:t>
      </w:r>
      <w:hyperlink r:id="rId4" w:history="1"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up202309728</w:t>
        </w:r>
        <w:r w:rsidRPr="004A78C7">
          <w:rPr>
            <w:rStyle w:val="Hiperligao"/>
            <w:rFonts w:asciiTheme="minorHAnsi" w:eastAsia="Arial" w:hAnsiTheme="minorHAnsi"/>
            <w:sz w:val="20"/>
            <w:szCs w:val="20"/>
          </w:rPr>
          <w:drawing>
            <wp:inline distT="0" distB="0" distL="0" distR="0" wp14:anchorId="19258257" wp14:editId="4F061248">
              <wp:extent cx="76200" cy="82550"/>
              <wp:effectExtent l="0" t="0" r="0" b="0"/>
              <wp:docPr id="95455798" name="Imagem 6" descr="@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@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edu.fpce.up.pt</w:t>
        </w:r>
      </w:hyperlink>
      <w:r>
        <w:rPr>
          <w:rFonts w:asciiTheme="minorHAnsi" w:eastAsia="Arial" w:hAnsiTheme="minorHAnsi"/>
          <w:b w:val="0"/>
          <w:bCs w:val="0"/>
          <w:sz w:val="20"/>
          <w:szCs w:val="20"/>
        </w:rPr>
        <w:t xml:space="preserve">  </w:t>
      </w:r>
    </w:p>
    <w:p w14:paraId="51406686" w14:textId="2DB607C9" w:rsidR="004A78C7" w:rsidRPr="004A78C7" w:rsidRDefault="004A78C7" w:rsidP="00B04B0C">
      <w:pPr>
        <w:pStyle w:val="TtulosNoNumerados"/>
        <w:spacing w:line="240" w:lineRule="auto"/>
        <w:rPr>
          <w:rFonts w:asciiTheme="minorHAnsi" w:hAnsiTheme="minorHAnsi"/>
          <w:vertAlign w:val="superscript"/>
        </w:rPr>
      </w:pPr>
      <w:r w:rsidRPr="004A78C7">
        <w:rPr>
          <w:rFonts w:asciiTheme="minorHAnsi" w:eastAsia="Arial" w:hAnsiTheme="minorHAnsi"/>
          <w:b w:val="0"/>
          <w:bCs w:val="0"/>
          <w:sz w:val="20"/>
          <w:szCs w:val="20"/>
          <w:vertAlign w:val="superscript"/>
        </w:rPr>
        <w:t xml:space="preserve">4 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Estudante, Faculdade de Psicologia e de Ciências da Educação da Universidade do Porto,Porto, Portugal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,</w:t>
      </w:r>
      <w:r w:rsidRPr="004A78C7">
        <w:rPr>
          <w:rFonts w:asciiTheme="minorHAnsi" w:eastAsia="Arial" w:hAnsiTheme="minorHAnsi"/>
          <w:b w:val="0"/>
          <w:bCs w:val="0"/>
          <w:sz w:val="20"/>
          <w:szCs w:val="20"/>
        </w:rPr>
        <w:t> </w:t>
      </w:r>
      <w:r>
        <w:rPr>
          <w:rFonts w:asciiTheme="minorHAnsi" w:eastAsia="Arial" w:hAnsiTheme="minorHAnsi"/>
          <w:b w:val="0"/>
          <w:bCs w:val="0"/>
          <w:sz w:val="20"/>
          <w:szCs w:val="20"/>
        </w:rPr>
        <w:t xml:space="preserve"> </w:t>
      </w:r>
      <w:hyperlink r:id="rId5" w:history="1"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up202306444</w:t>
        </w:r>
        <w:r w:rsidRPr="004A78C7">
          <w:rPr>
            <w:rStyle w:val="Hiperligao"/>
            <w:rFonts w:asciiTheme="minorHAnsi" w:eastAsia="Arial" w:hAnsiTheme="minorHAnsi"/>
            <w:sz w:val="20"/>
            <w:szCs w:val="20"/>
          </w:rPr>
          <w:drawing>
            <wp:inline distT="0" distB="0" distL="0" distR="0" wp14:anchorId="3B557DA4" wp14:editId="59C1CB54">
              <wp:extent cx="76200" cy="82550"/>
              <wp:effectExtent l="0" t="0" r="0" b="0"/>
              <wp:docPr id="1799314481" name="Imagem 2" descr="@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@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" cy="82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A78C7">
          <w:rPr>
            <w:rStyle w:val="Hiperligao"/>
            <w:rFonts w:asciiTheme="minorHAnsi" w:eastAsia="Arial" w:hAnsiTheme="minorHAnsi"/>
            <w:b w:val="0"/>
            <w:bCs w:val="0"/>
            <w:sz w:val="20"/>
            <w:szCs w:val="20"/>
          </w:rPr>
          <w:t>edu.fpce.up.pt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36970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C1E43"/>
    <w:rsid w:val="000D4380"/>
    <w:rsid w:val="00110C1F"/>
    <w:rsid w:val="00116C61"/>
    <w:rsid w:val="00126DD2"/>
    <w:rsid w:val="00133DE8"/>
    <w:rsid w:val="00143DA4"/>
    <w:rsid w:val="0015196A"/>
    <w:rsid w:val="00154AF7"/>
    <w:rsid w:val="00163493"/>
    <w:rsid w:val="00172360"/>
    <w:rsid w:val="001744AE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459CF"/>
    <w:rsid w:val="00374AC3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A78C7"/>
    <w:rsid w:val="004B0EE5"/>
    <w:rsid w:val="004C08F5"/>
    <w:rsid w:val="004C0FF1"/>
    <w:rsid w:val="004C10A5"/>
    <w:rsid w:val="004C446D"/>
    <w:rsid w:val="004D022B"/>
    <w:rsid w:val="00501902"/>
    <w:rsid w:val="00522804"/>
    <w:rsid w:val="00526D12"/>
    <w:rsid w:val="00531E8C"/>
    <w:rsid w:val="005413E7"/>
    <w:rsid w:val="0057474E"/>
    <w:rsid w:val="00576DF9"/>
    <w:rsid w:val="00594B8B"/>
    <w:rsid w:val="0059553C"/>
    <w:rsid w:val="00597F8A"/>
    <w:rsid w:val="005A2B0A"/>
    <w:rsid w:val="005B52AE"/>
    <w:rsid w:val="005C5724"/>
    <w:rsid w:val="005C58D8"/>
    <w:rsid w:val="005D3A9E"/>
    <w:rsid w:val="0060173B"/>
    <w:rsid w:val="006017C1"/>
    <w:rsid w:val="006032B4"/>
    <w:rsid w:val="006306D9"/>
    <w:rsid w:val="0064143A"/>
    <w:rsid w:val="00646D7A"/>
    <w:rsid w:val="00671E8F"/>
    <w:rsid w:val="00677E44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3CD9"/>
    <w:rsid w:val="00865FF8"/>
    <w:rsid w:val="0087040B"/>
    <w:rsid w:val="008859B4"/>
    <w:rsid w:val="00887BB3"/>
    <w:rsid w:val="00892CA9"/>
    <w:rsid w:val="008967EE"/>
    <w:rsid w:val="008B711F"/>
    <w:rsid w:val="008C02E5"/>
    <w:rsid w:val="008C6DFB"/>
    <w:rsid w:val="008D1FE6"/>
    <w:rsid w:val="008F32E8"/>
    <w:rsid w:val="008F3891"/>
    <w:rsid w:val="0090181E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B57F7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04B0C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C4C8B"/>
    <w:rsid w:val="00BC5814"/>
    <w:rsid w:val="00BD004B"/>
    <w:rsid w:val="00BD042D"/>
    <w:rsid w:val="00BD0F6C"/>
    <w:rsid w:val="00BD278E"/>
    <w:rsid w:val="00BD722D"/>
    <w:rsid w:val="00BE76DE"/>
    <w:rsid w:val="00BF09E3"/>
    <w:rsid w:val="00C21AC0"/>
    <w:rsid w:val="00C55DD5"/>
    <w:rsid w:val="00C8769A"/>
    <w:rsid w:val="00CA5EFB"/>
    <w:rsid w:val="00CA612A"/>
    <w:rsid w:val="00CC147F"/>
    <w:rsid w:val="00CC3A42"/>
    <w:rsid w:val="00CD2AF8"/>
    <w:rsid w:val="00CD581C"/>
    <w:rsid w:val="00CD7E56"/>
    <w:rsid w:val="00CE1946"/>
    <w:rsid w:val="00CF0973"/>
    <w:rsid w:val="00CF3530"/>
    <w:rsid w:val="00CF427F"/>
    <w:rsid w:val="00D07AAE"/>
    <w:rsid w:val="00D16DAA"/>
    <w:rsid w:val="00D17DEF"/>
    <w:rsid w:val="00D2641D"/>
    <w:rsid w:val="00D4622B"/>
    <w:rsid w:val="00D76BD9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15DA2"/>
    <w:rsid w:val="00E31A9B"/>
    <w:rsid w:val="00E406F6"/>
    <w:rsid w:val="00E56286"/>
    <w:rsid w:val="00E57BDA"/>
    <w:rsid w:val="00E60C5A"/>
    <w:rsid w:val="00E65BC9"/>
    <w:rsid w:val="00E73320"/>
    <w:rsid w:val="00E91D9C"/>
    <w:rsid w:val="00EC1F91"/>
    <w:rsid w:val="00ED3850"/>
    <w:rsid w:val="00ED4385"/>
    <w:rsid w:val="00ED7BE5"/>
    <w:rsid w:val="00EE2639"/>
    <w:rsid w:val="00F27CE0"/>
    <w:rsid w:val="00F32F47"/>
    <w:rsid w:val="00F46CF2"/>
    <w:rsid w:val="00F647DC"/>
    <w:rsid w:val="00F72FD3"/>
    <w:rsid w:val="00F95551"/>
    <w:rsid w:val="00F97363"/>
    <w:rsid w:val="00F97C22"/>
    <w:rsid w:val="00FB4E27"/>
    <w:rsid w:val="00FB7715"/>
    <w:rsid w:val="00FC02FB"/>
    <w:rsid w:val="00FC4166"/>
    <w:rsid w:val="00FC6AF0"/>
    <w:rsid w:val="00FE005E"/>
    <w:rsid w:val="00FE40BB"/>
    <w:rsid w:val="00FE5684"/>
    <w:rsid w:val="00FF6077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077"/>
  </w:style>
  <w:style w:type="paragraph" w:styleId="Ttulo1">
    <w:name w:val="heading 1"/>
    <w:basedOn w:val="Normal"/>
    <w:next w:val="Normal"/>
    <w:link w:val="Ttulo1Carte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iperligao">
    <w:name w:val="Hyperlink"/>
    <w:basedOn w:val="Tipodeletrapredefinidodopargrafo"/>
    <w:uiPriority w:val="99"/>
    <w:unhideWhenUsed/>
    <w:rsid w:val="00AD5392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406F6"/>
  </w:style>
  <w:style w:type="paragraph" w:styleId="Rodap">
    <w:name w:val="footer"/>
    <w:basedOn w:val="Normal"/>
    <w:link w:val="RodapCarte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406F6"/>
  </w:style>
  <w:style w:type="table" w:styleId="TabelacomGrelha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677E44"/>
    <w:pPr>
      <w:spacing w:after="160" w:line="240" w:lineRule="auto"/>
      <w:ind w:firstLine="0"/>
      <w:jc w:val="left"/>
    </w:pPr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677E44"/>
    <w:rPr>
      <w:rFonts w:ascii="Calibri" w:eastAsia="Calibri" w:hAnsi="Calibri" w:cs="Calibri"/>
      <w:kern w:val="0"/>
      <w:sz w:val="20"/>
      <w:szCs w:val="20"/>
      <w:lang w:eastAsia="pt-BR"/>
      <w14:ligatures w14:val="non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77E4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.pt/mentoriaup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386/pjss.5.1.5/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oi.org/10.1002/aehe.201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2707/RVI23.99.32553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.gif"/><Relationship Id="rId2" Type="http://schemas.openxmlformats.org/officeDocument/2006/relationships/hyperlink" Target="https://sigarra.up.pt/fpceup/pt/fest_geral.cursos_list?pv_num_unico=202304889" TargetMode="External"/><Relationship Id="rId1" Type="http://schemas.openxmlformats.org/officeDocument/2006/relationships/hyperlink" Target="mailto:sofiapais@fpce.up.pt" TargetMode="External"/><Relationship Id="rId5" Type="http://schemas.openxmlformats.org/officeDocument/2006/relationships/hyperlink" Target="https://sigarra.up.pt/fpceup/pt/fest_geral.cursos_list?pv_num_unico=202306444" TargetMode="External"/><Relationship Id="rId4" Type="http://schemas.openxmlformats.org/officeDocument/2006/relationships/hyperlink" Target="https://sigarra.up.pt/fpceup/pt/fest_geral.cursos_list?pv_num_unico=20230972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2229</Words>
  <Characters>12998</Characters>
  <Application>Microsoft Office Word</Application>
  <DocSecurity>0</DocSecurity>
  <Lines>224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Sofia Castanheira Pais</cp:lastModifiedBy>
  <cp:revision>12</cp:revision>
  <dcterms:created xsi:type="dcterms:W3CDTF">2025-11-02T01:43:00Z</dcterms:created>
  <dcterms:modified xsi:type="dcterms:W3CDTF">2025-11-02T18:05:00Z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  <property fmtid="{D5CDD505-2E9C-101B-9397-08002B2CF9AE}" pid="10" name="GrammarlyDocumentId">
    <vt:lpwstr>73737c5c-8c7c-4d9b-8fbd-8c4b53ed83ae</vt:lpwstr>
  </property>
</Properties>
</file>