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Corpodotexto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>A Inclusão Escolar de Crianças com Transtorno do Espectro Autista (TEA): Desafios, Perspectivas e Garantias Legais</w:t>
      </w:r>
    </w:p>
    <w:p>
      <w:pPr>
        <w:pStyle w:val="Corpodotexto"/>
        <w:spacing w:lineRule="auto" w:line="240" w:before="0" w:after="0"/>
        <w:ind w:left="280" w:hanging="0"/>
        <w:jc w:val="center"/>
        <w:rPr>
          <w:rFonts w:ascii="Times New Roman" w:hAnsi="Times New Roman" w:eastAsia="Calibri" w:cs="Calibri" w:eastAsiaTheme="minorHAnsi"/>
          <w:i w:val="false"/>
          <w:i w:val="false"/>
          <w:iCs w:val="false"/>
          <w:color w:val="auto"/>
          <w:kern w:val="0"/>
          <w:sz w:val="22"/>
          <w:szCs w:val="22"/>
          <w:lang w:val="pt-BR" w:eastAsia="pt-BR" w:bidi="ar-SA"/>
        </w:rPr>
      </w:pPr>
      <w:r>
        <w:rPr>
          <w:rFonts w:eastAsia="Calibri" w:cs="Calibri" w:eastAsiaTheme="minorHAnsi" w:ascii="Times New Roman" w:hAnsi="Times New Roman"/>
          <w:i w:val="false"/>
          <w:iCs w:val="false"/>
          <w:color w:val="auto"/>
          <w:kern w:val="0"/>
          <w:sz w:val="22"/>
          <w:szCs w:val="22"/>
          <w:lang w:val="pt-BR" w:eastAsia="pt-BR" w:bidi="ar-SA"/>
        </w:rPr>
        <w:t xml:space="preserve">Gabriela Soares Gomes (Discente do Curso de Direito da FCST) </w:t>
      </w:r>
    </w:p>
    <w:p>
      <w:pPr>
        <w:pStyle w:val="Corpodotexto"/>
        <w:spacing w:lineRule="auto" w:line="240" w:before="0" w:after="0"/>
        <w:ind w:hanging="0"/>
        <w:jc w:val="center"/>
        <w:rPr>
          <w:rFonts w:ascii="Times New Roman" w:hAnsi="Times New Roman" w:eastAsia="Calibri" w:cs="Calibri" w:eastAsiaTheme="minorHAnsi"/>
          <w:i w:val="false"/>
          <w:i w:val="false"/>
          <w:iCs w:val="false"/>
          <w:color w:val="auto"/>
          <w:kern w:val="0"/>
          <w:sz w:val="22"/>
          <w:szCs w:val="22"/>
          <w:lang w:val="pt-BR" w:eastAsia="pt-BR" w:bidi="ar-SA"/>
        </w:rPr>
      </w:pPr>
      <w:r>
        <w:rPr>
          <w:rFonts w:eastAsia="Calibri" w:cs="Calibri" w:eastAsiaTheme="minorHAnsi" w:ascii="Times New Roman" w:hAnsi="Times New Roman"/>
          <w:i w:val="false"/>
          <w:iCs w:val="false"/>
          <w:color w:val="auto"/>
          <w:kern w:val="0"/>
          <w:sz w:val="22"/>
          <w:szCs w:val="22"/>
          <w:lang w:val="pt-BR" w:eastAsia="pt-BR" w:bidi="ar-SA"/>
        </w:rPr>
        <w:t xml:space="preserve">E-mail: gabugabrielasoaresgomes@gmail.com </w:t>
      </w:r>
    </w:p>
    <w:p>
      <w:pPr>
        <w:pStyle w:val="Corpodotexto"/>
        <w:spacing w:lineRule="auto" w:line="24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Livia Linhares de Araújo (Discente do Curso de Direito da FCST) </w:t>
      </w:r>
    </w:p>
    <w:p>
      <w:pPr>
        <w:pStyle w:val="Corpodotexto"/>
        <w:spacing w:lineRule="auto" w:line="24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E-mail:livialinharesjp@gmail.com </w:t>
      </w:r>
    </w:p>
    <w:p>
      <w:pPr>
        <w:pStyle w:val="Corpodotexto"/>
        <w:spacing w:lineRule="auto" w:line="24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Maria Luiza dos Santos Dantas (Discente do Curso de Direito da FCST) </w:t>
      </w:r>
    </w:p>
    <w:p>
      <w:pPr>
        <w:pStyle w:val="Corpodotexto"/>
        <w:spacing w:lineRule="auto" w:line="24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E-mail: marialuiza.symons@gmail.com </w:t>
      </w:r>
    </w:p>
    <w:p>
      <w:pPr>
        <w:pStyle w:val="Corpodotexto"/>
        <w:spacing w:lineRule="auto" w:line="24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Prof. </w:t>
      </w:r>
      <w:r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 xml:space="preserve">e. Juliano Barros </w:t>
      </w:r>
      <w:r>
        <w:rPr>
          <w:rFonts w:ascii="Times New Roman" w:hAnsi="Times New Roman"/>
          <w:sz w:val="22"/>
          <w:szCs w:val="22"/>
        </w:rPr>
        <w:t>de Andrade</w:t>
      </w:r>
      <w:r>
        <w:rPr>
          <w:rFonts w:ascii="Times New Roman" w:hAnsi="Times New Roman"/>
          <w:sz w:val="22"/>
          <w:szCs w:val="22"/>
        </w:rPr>
        <w:t xml:space="preserve"> (Professor de Direito da FCST) </w:t>
      </w:r>
    </w:p>
    <w:p>
      <w:pPr>
        <w:pStyle w:val="Corpodotexto"/>
        <w:spacing w:lineRule="auto" w:line="24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E- mail:julianobarros0507@gmail.com </w:t>
      </w:r>
    </w:p>
    <w:p>
      <w:pPr>
        <w:pStyle w:val="Corpodotexto"/>
        <w:spacing w:lineRule="auto" w:line="240" w:before="0" w:after="0"/>
        <w:ind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</w:pPr>
      <w:bookmarkStart w:id="0" w:name="docs-internal-guid-b2faf11d-7fff-e71d-d1"/>
      <w:bookmarkEnd w:id="0"/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INTRODUÇÃO</w:t>
      </w:r>
    </w:p>
    <w:p>
      <w:pPr>
        <w:pStyle w:val="Corpodotexto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 xml:space="preserve">Inicialmente, é fundamental destacar a relevância da educação no progresso da sociedade brasileira. Com o decorrer do tempo, observamos que a legislação nacional tem colocado uma ênfase crescente na promoção do acesso à educação para todas as camadas da população.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  <w:t xml:space="preserve">Isso se reflete gradualmente por meio das leis, regulamentos e, sobretudo, na incorporação desse direito em nossa Constituição Federal. A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  <w:t>Lei n.º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  <w:t xml:space="preserve"> </w:t>
      </w:r>
      <w:hyperlink r:id="rId2">
        <w:r>
          <w:rPr>
            <w:rStyle w:val="Linkda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2"/>
            <w:szCs w:val="22"/>
            <w:u w:val="none"/>
            <w:effect w:val="none"/>
            <w:shd w:fill="FFFFFF" w:val="clear"/>
          </w:rPr>
          <w:t>12.764/2012</w:t>
        </w:r>
        <w:r>
          <w:rPr>
            <w:rStyle w:val="Linkda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2"/>
            <w:szCs w:val="22"/>
            <w:u w:val="single"/>
            <w:effect w:val="none"/>
            <w:shd w:fill="FFFFFF" w:val="clear"/>
          </w:rPr>
          <w:t>.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  <w:t xml:space="preserve"> vem abordando as garantias de proteção aos direitos da pessoa com espectro autistas. No art. 3º, IV, a) garante o acesso à educação e ao ensino profissionalizante. Essas ações de criação de Leis de inclusão demonstram o compromisso crescente do Brasil com o acesso à informação e o desenvolvimento intelectual de sua população,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  <w:t>sem discriminação de determinados grupos de pessoas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FFFFFF" w:val="clear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 xml:space="preserve"> Além disso, é importante ressaltar que a educação desempenha um papel crucial no fortalecimento da capacidade produtiva do país e na melhoria da qualidade de vida de seus cidadãos. O acesso à educação não apenas demonstra o compromisso com o desenvolvimento intelectual, mas também a determinação em integrar indivíduos que antes eram desamparados ou excluídos da sociedade e do seu próprio progresso. Diante dessa preocupação, o estudo revela a implementação de diversos mecanismos que, ao longo do tempo, têm buscado introduzir políticas para reduzir essa exclusão e aprimorar os profissionais da educação, capacitando-os a acolher e estimular o desenvolvimento das pessoas com diferentes tipos de habilidades e necessidades. Isso reflete a firme convicção na educação para todos, sem distinção, através de esforços contínuos para permitir que essas crianças desenvolvam suas capacidades intelectuais e habilidades sociais no ambiente escolar, recebendo o tratamento que lhes é devido, adaptado às suas realidades individuais. Neste sentido surge o problema principal do estudo em questão, qual seja: A Inclusão Escolar de Crianças com Transtorno do Espectro Autista (TEA). O TEA se manifesta através de déficits persistentes em dois principais domínios: comunicação social e interação social, juntamente com padrões restritos e repetitivos de comportamento, interesses e atividades. No entanto, é importante observar que essas características se apresentam em diversas intensidades nas pessoas com esse transtorno, o que levou ao uso da expressão "espectro autista" ao longo dos anos para refletir a ampla gama de quadros clínicos observados, reconhecendo a individualidade e complexidade desse transtorno. Essa terminologia enfatiza a necessidade de abordagens personalizadas e inclusivas no diagnóstico e tratamento do autismo. As características do TEA manifestam-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se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 xml:space="preserve"> de maneira precoce, enfatizando a necessidade de diagnóstico e estímulos nos primeiros anos de vida (C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ossio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 xml:space="preserve"> </w:t>
      </w:r>
      <w:r>
        <w:rPr>
          <w:rFonts w:ascii="Times New Roman" w:hAnsi="Times New Roman"/>
          <w:b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et al.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, 2017). Nesse contexto, a Educação Infantil, como um dos primeiros ambientes de socialização e aprendizado fora do lar, assume um papel crucial na inclusão de crianças com TEA. Essa abordagem oferece oportunidades essenciais para enriquecer o desenvolvimento durante essa fase crucial da vida, proporcionando experiências que são fundamentais para o progresso das crianças com autismo. Portanto, a inclusão escolar revela-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se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 xml:space="preserve"> como um componente-chave na promoção do desenvolvimento e bem-estar dessas crianças.  Entretanto, para a criança com TEA ingressar na escola convencional representa um desafio significativo, devido às características específicas que apresenta (incluindo dificuldades na comunicação, interação social e/ou desenvolvimento geral). Esse desafio não é exclusivo da criança, pois a escola também enfrenta complexidades consideráveis nesse processo. Além de garantir as </w:t>
      </w:r>
      <w:bookmarkStart w:id="1" w:name="docs-internal-guid-d1b24a51-7fff-3ece-88"/>
      <w:bookmarkEnd w:id="1"/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 xml:space="preserve">adequações necessárias para atender aos direitos legais e às necessidades de formação profissional da criança, é fundamental abordar a questão da integração com os colegas de forma esclarecedora. Isso visa prevenir situações de exclusão, promovendo um ambiente inclusivo e acolhedor para todos os alunos, independentemente de suas diferenças. Ao se falar sobre a inclusão de crianças autistas no ambiente escolar regular, tem-se o professor como uma peça fundamental no processo, pois ele funciona como um mediador, visto que se torna o responsável por promover o contato inicial com as outras crianças e pela participação nas brincadeiras diárias. Sendo assim, o professor precisa estar preparado para lidar com crianças com TEA, seja qual for o nível em que esse transtorno se encontre. O </w:t>
      </w:r>
      <w:hyperlink r:id="rId3">
        <w:r>
          <w:rPr>
            <w:rStyle w:val="LinkdaInternet"/>
            <w:rFonts w:eastAsia="Times New Roman" w:cs="Times New Roman" w:ascii="Times New Roman" w:hAnsi="Times New Roman"/>
            <w:b w:val="false"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2"/>
            <w:szCs w:val="22"/>
            <w:u w:val="none"/>
            <w:effect w:val="none"/>
            <w:shd w:fill="auto" w:val="clear"/>
          </w:rPr>
          <w:t>D</w:t>
        </w:r>
        <w:r>
          <w:rPr>
            <w:rStyle w:val="LinkdaInternet"/>
            <w:rFonts w:eastAsia="Times New Roman" w:cs="Times New Roman" w:ascii="Times New Roman" w:hAnsi="Times New Roman"/>
            <w:b w:val="false"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2"/>
            <w:szCs w:val="22"/>
            <w:u w:val="none"/>
            <w:effect w:val="none"/>
            <w:shd w:fill="auto" w:val="clear"/>
          </w:rPr>
          <w:t>ecreto</w:t>
        </w:r>
        <w:r>
          <w:rPr>
            <w:rStyle w:val="LinkdaInternet"/>
            <w:rFonts w:eastAsia="Times New Roman" w:cs="Times New Roman" w:ascii="Times New Roman" w:hAnsi="Times New Roman"/>
            <w:b w:val="false"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2"/>
            <w:szCs w:val="22"/>
            <w:u w:val="none"/>
            <w:effect w:val="none"/>
            <w:shd w:fill="auto" w:val="clear"/>
          </w:rPr>
          <w:t xml:space="preserve"> Nº 8.368/2014</w:t>
        </w:r>
      </w:hyperlink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 xml:space="preserve">, em seu art.4º, § 2º, fala que se for comprovada a necessidade de apoio às atividades de comunicação, interação social, locomoção, alimentação e cuidados pessoais, a instituição de ensino em que a pessoa com transtorno do espectro autista ou com outra deficiência estiver matriculada fornecerá um acompanhante qualificado no ambiente escolar, de acordo com o parágrafo único do artigo 3º da Lei nº 12.764/2012. É perceptível que as crianças portadoras de TEA possuem bastantes direitos vigentes pelo Estado, mas que nem sempre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são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 xml:space="preserve"> cumprida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s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 xml:space="preserve"> pelas instituições, principalmente as de redes públicas, onde que muitas vezes por falta de verba, não podem possuir auxiliares para ajudar essas crianças nas salas de aula. A capacidade aprendizagem é uma questão que pode ser complexa para portadores de TEA, pois ela existe, mas deve ser encontrado o método certo para explorá-la, cabe aos professores e auxiliares achar uma forma de ensino que auxilie também no desenvolvimento da criatividade e da comunicação.</w:t>
      </w:r>
    </w:p>
    <w:p>
      <w:pPr>
        <w:pStyle w:val="Corpodotexto"/>
        <w:bidi w:val="0"/>
        <w:spacing w:lineRule="auto" w:line="331" w:before="0" w:after="140"/>
        <w:jc w:val="both"/>
        <w:rPr>
          <w:rFonts w:ascii="Times New Roman" w:hAnsi="Times New Roman"/>
          <w:b/>
          <w:b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MATERIAIS E MÉTODOS</w:t>
      </w:r>
    </w:p>
    <w:p>
      <w:pPr>
        <w:pStyle w:val="Corpodotexto"/>
        <w:bidi w:val="0"/>
        <w:spacing w:lineRule="auto" w:line="331" w:before="0" w:after="140"/>
        <w:jc w:val="both"/>
        <w:rPr>
          <w:rFonts w:ascii="Times New Roman" w:hAnsi="Times New Roman"/>
          <w:b/>
          <w:b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A presente pesquisa bibliográfica foi realizada utilizando-se as bases de dados do GOOGLE SCHOLAR, com os seguintes descritores: Inclusão Escolar; autismo; educação; além de consultas a doutrina especializada no assunto e legislação correlata.</w:t>
      </w:r>
    </w:p>
    <w:p>
      <w:pPr>
        <w:pStyle w:val="Corpodotexto"/>
        <w:bidi w:val="0"/>
        <w:spacing w:lineRule="auto" w:line="331" w:before="0" w:after="140"/>
        <w:jc w:val="both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RESULTADOS</w:t>
      </w:r>
    </w:p>
    <w:p>
      <w:pPr>
        <w:pStyle w:val="Corpodotexto"/>
        <w:bidi w:val="0"/>
        <w:spacing w:lineRule="auto" w:line="331" w:before="0" w:after="14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 xml:space="preserve">Tal discussão pretende destacar os pontos principais quanto à educação inclusiva brasileira e às legislações referentes a esta inclusão como uma forma de garantir o desenvolvimento da criança, respeitando e aplicando o princípio da dignidade humana. O estudo mostra o surgimento de diversos instrumentos que buscaram incluir, ao longo dos anos, políticas para diminuir essa exclusão e aprimorar os aplicadores da educação para acolherem e incentivarem o desenvolvimento dessas pessoas com algum tipo de deficiência.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 xml:space="preserve">Há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 xml:space="preserve">leis e decretos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que tratam d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esse processo de inclusão para maior incentivo ao desenvolvimento, principalmente nos anos iniciais das crianças que necessitam de maior acompanhamento.</w:t>
      </w:r>
    </w:p>
    <w:p>
      <w:pPr>
        <w:pStyle w:val="Corpodotexto"/>
        <w:bidi w:val="0"/>
        <w:spacing w:lineRule="auto" w:line="331" w:before="0" w:after="140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CONSIDERAÇÕES FINAIS</w:t>
      </w:r>
    </w:p>
    <w:p>
      <w:pPr>
        <w:pStyle w:val="Corpodotexto"/>
        <w:bidi w:val="0"/>
        <w:spacing w:lineRule="auto" w:line="331" w:before="0" w:after="140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 xml:space="preserve">Em nossas considerações finais deste resumo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expandido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 xml:space="preserve"> sobre a inclusão de crianças com Transtorno do Espectro Autista (TEA) nas escolas, queremos enfatizar a importância e a </w:t>
      </w:r>
      <w:bookmarkStart w:id="2" w:name="docs-internal-guid-48d2ff24-7fff-521e-e7"/>
      <w:bookmarkEnd w:id="2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urgência desse tema na sociedade atual, a inclusão de crianças com TEA nas escolas não é apenas um imperativo legal, mas também uma questão de justiça social e direitos humanos. Ao longo deste resumo, exploramos os desafios e as barreiras que as crianças com TEA enfrentam no contexto escolar, bem como as estratégias e práticas que podem promover uma inclusão eficaz. Destacamos a importância da sensibilização, do treinamento de professores e da adaptação de currículos para atender às necessidades individuais das crianças com TEA.No entanto, nossa pesquisa também sublinhou que a inclusão vai além das salas de aula. Envolve toda a comunidade escolar, incluindo pais, colegas, administradores e a sociedade em geral. Todos desempenham um papel fundamental na criação de um ambiente de apoio e compreensão.</w:t>
      </w:r>
    </w:p>
    <w:p>
      <w:pPr>
        <w:pStyle w:val="Corpodotexto"/>
        <w:bidi w:val="0"/>
        <w:spacing w:lineRule="auto" w:line="331" w:before="0" w:after="1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 xml:space="preserve">PALAVRAS – CHAVE: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TEA, inclusão, escola, educação.</w:t>
      </w:r>
    </w:p>
    <w:p>
      <w:pPr>
        <w:pStyle w:val="Corpodotexto"/>
        <w:bidi w:val="0"/>
        <w:spacing w:lineRule="auto" w:line="331" w:before="0" w:after="14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AGRADECIMENTOS</w:t>
      </w:r>
    </w:p>
    <w:p>
      <w:pPr>
        <w:pStyle w:val="Corpodotexto"/>
        <w:bidi w:val="0"/>
        <w:spacing w:lineRule="auto" w:line="331" w:before="0" w:after="14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 xml:space="preserve">Aos discentes e docentes que fazem parte do curso de direito da UFRN/CERES, bem como ao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orientador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, cuja contribuição foi essencial para a elaboração deste trabalho.</w:t>
      </w:r>
    </w:p>
    <w:p>
      <w:pPr>
        <w:pStyle w:val="Corpodotexto"/>
        <w:bidi w:val="0"/>
        <w:spacing w:lineRule="auto" w:line="288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REFERÊNCIAS</w:t>
      </w:r>
    </w:p>
    <w:p>
      <w:pPr>
        <w:pStyle w:val="Corpodotexto"/>
        <w:bidi w:val="0"/>
        <w:spacing w:lineRule="auto" w:line="288"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BRANDE, C. A.; ZANFELICE, C. C. A inclusão escolar de um aluno com autismo: diferentes tempos de escuta, intervenção e aprendizagens. Revista Educação Especial, Santa Maria, v. 25, n. 42, p. 43-56,</w:t>
      </w:r>
    </w:p>
    <w:p>
      <w:pPr>
        <w:pStyle w:val="Corpodotexto"/>
        <w:bidi w:val="0"/>
        <w:spacing w:lineRule="auto" w:line="288"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BRASIL. Presidência da República. Lei no 12.764, de 27 de dezembro de 2012. Disponível: http://www.planalto.gov.br/ccivil_03/ _ato2011-2014/2012/ lei/l12764. htm.</w:t>
      </w:r>
    </w:p>
    <w:p>
      <w:pPr>
        <w:pStyle w:val="Corpodotexto"/>
        <w:bidi w:val="0"/>
        <w:spacing w:lineRule="auto" w:line="288" w:before="0" w:after="14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12121"/>
          <w:spacing w:val="0"/>
          <w:sz w:val="22"/>
          <w:szCs w:val="22"/>
          <w:u w:val="none"/>
          <w:effect w:val="none"/>
          <w:shd w:fill="auto" w:val="clear"/>
        </w:rPr>
        <w:t xml:space="preserve">INFORMATIVO DE LEGISLAÇÃO. 3 dez. 2014. Disponível em: </w:t>
      </w:r>
      <w:hyperlink r:id="rId4">
        <w:r>
          <w:rPr>
            <w:rStyle w:val="Linkda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212121"/>
            <w:spacing w:val="0"/>
            <w:sz w:val="22"/>
            <w:szCs w:val="22"/>
            <w:u w:val="none"/>
            <w:effect w:val="none"/>
            <w:shd w:fill="auto" w:val="clear"/>
          </w:rPr>
          <w:t>https://as1.trt3.jus.br/bd-trt3/bitstream/handle/11103/20960/informativo_170.pdf?sequence=1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12121"/>
          <w:spacing w:val="0"/>
          <w:sz w:val="22"/>
          <w:szCs w:val="22"/>
          <w:u w:val="none"/>
          <w:effect w:val="none"/>
          <w:shd w:fill="auto" w:val="clear"/>
        </w:rPr>
        <w:t>.</w:t>
      </w:r>
    </w:p>
    <w:p>
      <w:pPr>
        <w:pStyle w:val="Corpodotexto"/>
        <w:bidi w:val="0"/>
        <w:spacing w:lineRule="auto" w:line="288" w:before="0" w:after="14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Presidência da República. Decreto no 8.368, de 02 dezembro de 2014. Disponível emhttp://www.planalto.gov.br/ccivil_03/_ato2011-2014/2014/ decreto/ d8368.htm.</w:t>
      </w:r>
    </w:p>
    <w:p>
      <w:pPr>
        <w:pStyle w:val="Corpodotexto"/>
        <w:bidi w:val="0"/>
        <w:spacing w:lineRule="auto" w:line="288" w:before="0" w:after="14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12121"/>
          <w:spacing w:val="0"/>
          <w:sz w:val="22"/>
          <w:szCs w:val="22"/>
          <w:u w:val="none"/>
          <w:effect w:val="none"/>
          <w:shd w:fill="auto" w:val="clear"/>
        </w:rPr>
        <w:t xml:space="preserve">ROUSSEFF, DILMA 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212121"/>
          <w:spacing w:val="0"/>
          <w:sz w:val="22"/>
          <w:szCs w:val="22"/>
          <w:u w:val="none"/>
          <w:effect w:val="none"/>
          <w:shd w:fill="auto" w:val="clear"/>
        </w:rPr>
        <w:t>et al.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12121"/>
          <w:spacing w:val="0"/>
          <w:sz w:val="22"/>
          <w:szCs w:val="22"/>
          <w:u w:val="none"/>
          <w:effect w:val="none"/>
          <w:shd w:fill="auto" w:val="clear"/>
        </w:rPr>
        <w:t xml:space="preserve"> Instituto Paradigma, Pessoas Incluindo Pessoas. 17 nov. 2011. Disponível em: </w:t>
      </w:r>
      <w:hyperlink r:id="rId5">
        <w:r>
          <w:rPr>
            <w:rStyle w:val="Linkda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212121"/>
            <w:spacing w:val="0"/>
            <w:sz w:val="22"/>
            <w:szCs w:val="22"/>
            <w:u w:val="none"/>
            <w:effect w:val="none"/>
            <w:shd w:fill="auto" w:val="clear"/>
          </w:rPr>
          <w:t>https://iparadigma.org.br/wp-content/uploads/GP-20.pdf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12121"/>
          <w:spacing w:val="0"/>
          <w:sz w:val="22"/>
          <w:szCs w:val="22"/>
          <w:u w:val="none"/>
          <w:effect w:val="none"/>
          <w:shd w:fill="auto" w:val="clear"/>
        </w:rPr>
        <w:t>.</w:t>
      </w:r>
    </w:p>
    <w:p>
      <w:pPr>
        <w:pStyle w:val="Corpodotexto"/>
        <w:spacing w:before="0" w:after="14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br/>
      </w:r>
    </w:p>
    <w:sectPr>
      <w:headerReference w:type="default" r:id="rId6"/>
      <w:footerReference w:type="default" r:id="rId7"/>
      <w:type w:val="nextPage"/>
      <w:pgSz w:w="11906" w:h="16838"/>
      <w:pgMar w:left="1701" w:right="1841" w:gutter="0" w:header="284" w:top="1417" w:footer="457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ind w:left="-1701" w:hanging="0"/>
      <w:jc w:val="right"/>
      <w:rPr/>
    </w:pPr>
    <w:r>
      <w:rPr/>
      <w:t xml:space="preserve"> </w:t>
    </w:r>
    <w:r>
      <w:rPr/>
      <w:drawing>
        <wp:inline distT="0" distB="0" distL="0" distR="0">
          <wp:extent cx="4570095" cy="504825"/>
          <wp:effectExtent l="0" t="0" r="0" b="0"/>
          <wp:docPr id="2" name="Imagem 103689801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036898018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4511" r="0" b="38972"/>
                  <a:stretch>
                    <a:fillRect/>
                  </a:stretch>
                </pic:blipFill>
                <pic:spPr bwMode="auto">
                  <a:xfrm>
                    <a:off x="0" y="0"/>
                    <a:ext cx="457009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5000625" cy="1292225"/>
          <wp:effectExtent l="0" t="0" r="0" b="0"/>
          <wp:docPr id="1" name="Imagem 1614883618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614883618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6500" r="0" b="21470"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1292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e52d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066031"/>
    <w:rPr/>
  </w:style>
  <w:style w:type="character" w:styleId="RodapChar" w:customStyle="1">
    <w:name w:val="Rodapé Char"/>
    <w:basedOn w:val="DefaultParagraphFont"/>
    <w:uiPriority w:val="99"/>
    <w:qFormat/>
    <w:rsid w:val="00066031"/>
    <w:rPr/>
  </w:style>
  <w:style w:type="character" w:styleId="LinkdaInternet">
    <w:name w:val="Hyperlink"/>
    <w:basedOn w:val="DefaultParagraphFont"/>
    <w:uiPriority w:val="99"/>
    <w:unhideWhenUsed/>
    <w:rsid w:val="00fe52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10dc6"/>
    <w:rPr>
      <w:color w:val="605E5C"/>
      <w:shd w:fill="E1DFDD" w:val="clear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945de0"/>
    <w:rPr>
      <w:rFonts w:ascii="Calibri" w:hAnsi="Calibri" w:eastAsia="Calibri" w:cs="Calibri"/>
      <w:sz w:val="20"/>
      <w:szCs w:val="20"/>
      <w:lang w:eastAsia="pt-BR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945de0"/>
    <w:rPr>
      <w:vertAlign w:val="superscript"/>
    </w:rPr>
  </w:style>
  <w:style w:type="character" w:styleId="FootnoteAnchor">
    <w:name w:val="Footnote Anchor"/>
    <w:qFormat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06603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6603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945de0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45de0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fa4a9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legislacao.planalto.gov.br/legisla/legislacao.nsf/Viw_Identificacao/lei 12.764-2012?OpenDocument" TargetMode="External"/><Relationship Id="rId3" Type="http://schemas.openxmlformats.org/officeDocument/2006/relationships/hyperlink" Target="http://legislacao.planalto.gov.br/legisla/legislacao.nsf/Viw_Identificacao/DEC 8.368-2014?OpenDocument" TargetMode="External"/><Relationship Id="rId4" Type="http://schemas.openxmlformats.org/officeDocument/2006/relationships/hyperlink" Target="https://as1.trt3.jus.br/bd-trt3/bitstream/handle/11103/20960/informativo_170.pdf?sequence=1" TargetMode="External"/><Relationship Id="rId5" Type="http://schemas.openxmlformats.org/officeDocument/2006/relationships/hyperlink" Target="https://iparadigma.org.br/wp-content/uploads/GP-20.pdf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7D42E086-F879-48DF-9A23-1E09FDBA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LibreOffice/7.4.7.2$Windows_X86_64 LibreOffice_project/723314e595e8007d3cf785c16538505a1c878ca5</Application>
  <AppVersion>15.0000</AppVersion>
  <Pages>3</Pages>
  <Words>1295</Words>
  <Characters>7785</Characters>
  <CharactersWithSpaces>9067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2022-07-04T12:12:00Z</dcterms:created>
  <dc:creator>Ronny Diogenes</dc:creator>
  <dc:description/>
  <dc:language>pt-BR</dc:language>
  <cp:lastModifiedBy/>
  <dcterms:modified xsi:type="dcterms:W3CDTF">2023-09-20T11:32:57Z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