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34A4E" w:rsidRPr="003D3D37" w:rsidRDefault="007832BF" w:rsidP="00B34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D37">
        <w:rPr>
          <w:rFonts w:ascii="Times New Roman" w:hAnsi="Times New Roman" w:cs="Times New Roman"/>
          <w:b/>
          <w:sz w:val="24"/>
          <w:szCs w:val="24"/>
        </w:rPr>
        <w:t xml:space="preserve">O INSTITUTO </w:t>
      </w:r>
      <w:r w:rsidR="002B747C" w:rsidRPr="003D3D37">
        <w:rPr>
          <w:rFonts w:ascii="Times New Roman" w:hAnsi="Times New Roman" w:cs="Times New Roman"/>
          <w:b/>
          <w:sz w:val="24"/>
          <w:szCs w:val="24"/>
        </w:rPr>
        <w:t xml:space="preserve">DO PREGÃO </w:t>
      </w:r>
      <w:r w:rsidRPr="003D3D37">
        <w:rPr>
          <w:rFonts w:ascii="Times New Roman" w:hAnsi="Times New Roman" w:cs="Times New Roman"/>
          <w:b/>
          <w:sz w:val="24"/>
          <w:szCs w:val="24"/>
        </w:rPr>
        <w:t>E A INVERSÃO DE</w:t>
      </w:r>
      <w:r w:rsidR="00AF1827">
        <w:rPr>
          <w:rFonts w:ascii="Times New Roman" w:hAnsi="Times New Roman" w:cs="Times New Roman"/>
          <w:b/>
          <w:sz w:val="24"/>
          <w:szCs w:val="24"/>
        </w:rPr>
        <w:t xml:space="preserve"> SUAS</w:t>
      </w:r>
      <w:r w:rsidRPr="003D3D37">
        <w:rPr>
          <w:rFonts w:ascii="Times New Roman" w:hAnsi="Times New Roman" w:cs="Times New Roman"/>
          <w:b/>
          <w:sz w:val="24"/>
          <w:szCs w:val="24"/>
        </w:rPr>
        <w:t xml:space="preserve"> FASES</w:t>
      </w:r>
      <w:r w:rsidR="00AF1827">
        <w:rPr>
          <w:rFonts w:ascii="Times New Roman" w:hAnsi="Times New Roman" w:cs="Times New Roman"/>
          <w:b/>
          <w:sz w:val="24"/>
          <w:szCs w:val="24"/>
        </w:rPr>
        <w:t>, COM VISTAS Á CELERIDADEDO PROCEDIMENTO LICITATÓRIO.</w:t>
      </w:r>
    </w:p>
    <w:p w:rsidR="00B34A4E" w:rsidRPr="003D3D37" w:rsidRDefault="00B34A4E">
      <w:pPr>
        <w:rPr>
          <w:rFonts w:ascii="Times New Roman" w:hAnsi="Times New Roman" w:cs="Times New Roman"/>
          <w:highlight w:val="white"/>
        </w:rPr>
      </w:pPr>
    </w:p>
    <w:p w:rsidR="009746C4" w:rsidRPr="003D3D37" w:rsidRDefault="009746C4">
      <w:pPr>
        <w:rPr>
          <w:rFonts w:ascii="Times New Roman" w:hAnsi="Times New Roman" w:cs="Times New Roman"/>
          <w:highlight w:val="white"/>
        </w:rPr>
      </w:pPr>
    </w:p>
    <w:p w:rsidR="00B34A4E" w:rsidRPr="003D3D37" w:rsidRDefault="00B34A4E">
      <w:pPr>
        <w:rPr>
          <w:rFonts w:ascii="Times New Roman" w:hAnsi="Times New Roman" w:cs="Times New Roman"/>
          <w:sz w:val="22"/>
          <w:szCs w:val="22"/>
          <w:highlight w:val="white"/>
        </w:rPr>
      </w:pPr>
    </w:p>
    <w:p w:rsidR="001A0CD2" w:rsidRPr="003D3D37" w:rsidRDefault="00AF1827" w:rsidP="001A0CD2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Elen</w:t>
      </w:r>
      <w:r w:rsidRPr="003D3D37">
        <w:rPr>
          <w:rFonts w:ascii="Times New Roman" w:hAnsi="Times New Roman"/>
        </w:rPr>
        <w:t>Thalia de Sá Leal</w:t>
      </w:r>
      <w:r w:rsidR="001A0CD2" w:rsidRPr="003D3D37">
        <w:rPr>
          <w:rStyle w:val="Refdenotaderodap"/>
          <w:rFonts w:ascii="Times New Roman" w:hAnsi="Times New Roman"/>
        </w:rPr>
        <w:footnoteReference w:id="1"/>
      </w:r>
      <w:r w:rsidR="001A0CD2" w:rsidRPr="003D3D37">
        <w:rPr>
          <w:rFonts w:ascii="Times New Roman" w:hAnsi="Times New Roman"/>
        </w:rPr>
        <w:t>,</w:t>
      </w:r>
    </w:p>
    <w:p w:rsidR="001A0CD2" w:rsidRPr="003D3D37" w:rsidRDefault="00AF1827" w:rsidP="001A0CD2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Kéren de Sousa Lima</w:t>
      </w:r>
      <w:r w:rsidR="001A0CD2" w:rsidRPr="003D3D37">
        <w:rPr>
          <w:rStyle w:val="Refdenotaderodap"/>
          <w:rFonts w:ascii="Times New Roman" w:hAnsi="Times New Roman"/>
        </w:rPr>
        <w:footnoteReference w:id="2"/>
      </w:r>
      <w:r w:rsidR="001A0CD2" w:rsidRPr="003D3D37">
        <w:rPr>
          <w:rFonts w:ascii="Times New Roman" w:hAnsi="Times New Roman"/>
        </w:rPr>
        <w:t>,</w:t>
      </w:r>
    </w:p>
    <w:p w:rsidR="00AC53EC" w:rsidRPr="003D3D37" w:rsidRDefault="001A0CD2" w:rsidP="001A0CD2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r w:rsidRPr="003D3D37">
        <w:rPr>
          <w:rFonts w:ascii="Times New Roman" w:hAnsi="Times New Roman"/>
        </w:rPr>
        <w:t xml:space="preserve">Samara </w:t>
      </w:r>
      <w:r w:rsidR="009B342E" w:rsidRPr="003D3D37">
        <w:rPr>
          <w:rFonts w:ascii="Times New Roman" w:hAnsi="Times New Roman"/>
        </w:rPr>
        <w:t xml:space="preserve">de </w:t>
      </w:r>
      <w:r w:rsidRPr="003D3D37">
        <w:rPr>
          <w:rFonts w:ascii="Times New Roman" w:hAnsi="Times New Roman"/>
        </w:rPr>
        <w:t>Sousa</w:t>
      </w:r>
      <w:r w:rsidR="009B342E" w:rsidRPr="003D3D37">
        <w:rPr>
          <w:rFonts w:ascii="Times New Roman" w:hAnsi="Times New Roman"/>
        </w:rPr>
        <w:t xml:space="preserve"> Carvalho</w:t>
      </w:r>
      <w:r w:rsidRPr="003D3D37">
        <w:rPr>
          <w:rStyle w:val="Refdenotaderodap"/>
          <w:rFonts w:ascii="Times New Roman" w:hAnsi="Times New Roman"/>
        </w:rPr>
        <w:footnoteReference w:id="3"/>
      </w:r>
    </w:p>
    <w:p w:rsidR="00915908" w:rsidRPr="003D3D37" w:rsidRDefault="00915908" w:rsidP="001A0CD2">
      <w:pPr>
        <w:pStyle w:val="XIEPEF-AUTORES"/>
        <w:spacing w:after="0"/>
        <w:ind w:firstLine="0"/>
        <w:jc w:val="right"/>
        <w:rPr>
          <w:rFonts w:ascii="Times New Roman" w:hAnsi="Times New Roman"/>
          <w:sz w:val="22"/>
          <w:szCs w:val="22"/>
        </w:rPr>
      </w:pPr>
    </w:p>
    <w:p w:rsidR="00CA728F" w:rsidRPr="003D3D37" w:rsidRDefault="00EC5835">
      <w:pPr>
        <w:spacing w:before="280" w:after="28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D3D37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Resumo: </w:t>
      </w:r>
      <w:r w:rsidR="00AD0947" w:rsidRPr="003D3D37">
        <w:rPr>
          <w:rFonts w:ascii="Times New Roman" w:hAnsi="Times New Roman" w:cs="Times New Roman"/>
          <w:sz w:val="24"/>
          <w:szCs w:val="24"/>
          <w:highlight w:val="white"/>
        </w:rPr>
        <w:t>Apresenta-se aqui</w:t>
      </w:r>
      <w:r w:rsidR="001356D0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AD0947" w:rsidRPr="003D3D37">
        <w:rPr>
          <w:rFonts w:ascii="Times New Roman" w:hAnsi="Times New Roman" w:cs="Times New Roman"/>
          <w:sz w:val="24"/>
          <w:szCs w:val="24"/>
          <w:highlight w:val="white"/>
        </w:rPr>
        <w:t xml:space="preserve">o então artigo científico, com vistas a </w:t>
      </w:r>
      <w:r w:rsidR="0018336B" w:rsidRPr="003D3D37">
        <w:rPr>
          <w:rFonts w:ascii="Times New Roman" w:hAnsi="Times New Roman" w:cs="Times New Roman"/>
          <w:sz w:val="24"/>
          <w:szCs w:val="24"/>
          <w:highlight w:val="white"/>
        </w:rPr>
        <w:t xml:space="preserve">abordar o tema </w:t>
      </w:r>
      <w:r w:rsidR="00C67D43" w:rsidRPr="003D3D37">
        <w:rPr>
          <w:rFonts w:ascii="Times New Roman" w:hAnsi="Times New Roman" w:cs="Times New Roman"/>
          <w:sz w:val="24"/>
          <w:szCs w:val="24"/>
          <w:highlight w:val="white"/>
        </w:rPr>
        <w:t>retrata</w:t>
      </w:r>
      <w:r w:rsidR="0018336B" w:rsidRPr="003D3D37">
        <w:rPr>
          <w:rFonts w:ascii="Times New Roman" w:hAnsi="Times New Roman" w:cs="Times New Roman"/>
          <w:sz w:val="24"/>
          <w:szCs w:val="24"/>
          <w:highlight w:val="white"/>
        </w:rPr>
        <w:t xml:space="preserve">do, isto é, a Lei do Pregão, de forma a abranger tanto legislação própria, quanto as correlatas, que irão tratar a respeito do instituto, assim como das demais modalidades de licitação. Quanto </w:t>
      </w:r>
      <w:r w:rsidR="00640D63" w:rsidRPr="003D3D37">
        <w:rPr>
          <w:rFonts w:ascii="Times New Roman" w:hAnsi="Times New Roman" w:cs="Times New Roman"/>
          <w:sz w:val="24"/>
          <w:szCs w:val="24"/>
          <w:highlight w:val="white"/>
        </w:rPr>
        <w:t>a</w:t>
      </w:r>
      <w:r w:rsidR="0018336B" w:rsidRPr="003D3D37">
        <w:rPr>
          <w:rFonts w:ascii="Times New Roman" w:hAnsi="Times New Roman" w:cs="Times New Roman"/>
          <w:sz w:val="24"/>
          <w:szCs w:val="24"/>
          <w:highlight w:val="white"/>
        </w:rPr>
        <w:t xml:space="preserve"> isso, </w:t>
      </w:r>
      <w:r w:rsidR="00640D63" w:rsidRPr="003D3D37">
        <w:rPr>
          <w:rFonts w:ascii="Times New Roman" w:hAnsi="Times New Roman" w:cs="Times New Roman"/>
          <w:sz w:val="24"/>
          <w:szCs w:val="24"/>
          <w:highlight w:val="white"/>
        </w:rPr>
        <w:t>o presente trabalho acadêmico q</w:t>
      </w:r>
      <w:r w:rsidR="0018336B" w:rsidRPr="003D3D37">
        <w:rPr>
          <w:rFonts w:ascii="Times New Roman" w:hAnsi="Times New Roman" w:cs="Times New Roman"/>
          <w:sz w:val="24"/>
          <w:szCs w:val="24"/>
          <w:highlight w:val="white"/>
        </w:rPr>
        <w:t xml:space="preserve">uer </w:t>
      </w:r>
      <w:r w:rsidR="00640D63" w:rsidRPr="003D3D37">
        <w:rPr>
          <w:rFonts w:ascii="Times New Roman" w:hAnsi="Times New Roman" w:cs="Times New Roman"/>
          <w:sz w:val="24"/>
          <w:szCs w:val="24"/>
          <w:highlight w:val="white"/>
        </w:rPr>
        <w:t xml:space="preserve">trazer, de forma sucinta, as características do tema, em sua essência e especificações, focando na distinção entre esse e os outros institutos, tal como da sua conceituação e principalmente </w:t>
      </w:r>
      <w:r w:rsidR="00C67D43" w:rsidRPr="003D3D37">
        <w:rPr>
          <w:rFonts w:ascii="Times New Roman" w:hAnsi="Times New Roman" w:cs="Times New Roman"/>
          <w:sz w:val="24"/>
          <w:szCs w:val="24"/>
          <w:highlight w:val="white"/>
        </w:rPr>
        <w:t>d</w:t>
      </w:r>
      <w:r w:rsidR="00640D63" w:rsidRPr="003D3D37">
        <w:rPr>
          <w:rFonts w:ascii="Times New Roman" w:hAnsi="Times New Roman" w:cs="Times New Roman"/>
          <w:sz w:val="24"/>
          <w:szCs w:val="24"/>
          <w:highlight w:val="white"/>
        </w:rPr>
        <w:t xml:space="preserve">o conteúdo </w:t>
      </w:r>
      <w:r w:rsidR="009B342E" w:rsidRPr="003D3D37">
        <w:rPr>
          <w:rFonts w:ascii="Times New Roman" w:hAnsi="Times New Roman" w:cs="Times New Roman"/>
          <w:sz w:val="24"/>
          <w:szCs w:val="24"/>
          <w:highlight w:val="white"/>
        </w:rPr>
        <w:t>que vem a ser dissertado na devida Lei específica</w:t>
      </w:r>
      <w:r w:rsidR="005929E8" w:rsidRPr="003D3D37">
        <w:rPr>
          <w:rFonts w:ascii="Times New Roman" w:hAnsi="Times New Roman" w:cs="Times New Roman"/>
          <w:sz w:val="24"/>
          <w:szCs w:val="24"/>
          <w:highlight w:val="white"/>
        </w:rPr>
        <w:t xml:space="preserve">. Serão expostos aqui os assuntos pertinentes ao conteúdo através de um método qualitativo de pesquisa, se utilizando </w:t>
      </w:r>
      <w:r w:rsidR="00C67D43" w:rsidRPr="003D3D37">
        <w:rPr>
          <w:rFonts w:ascii="Times New Roman" w:hAnsi="Times New Roman" w:cs="Times New Roman"/>
          <w:sz w:val="24"/>
          <w:szCs w:val="24"/>
          <w:highlight w:val="white"/>
        </w:rPr>
        <w:t xml:space="preserve">majoritariamente </w:t>
      </w:r>
      <w:r w:rsidR="005929E8" w:rsidRPr="003D3D37">
        <w:rPr>
          <w:rFonts w:ascii="Times New Roman" w:hAnsi="Times New Roman" w:cs="Times New Roman"/>
          <w:sz w:val="24"/>
          <w:szCs w:val="24"/>
          <w:highlight w:val="white"/>
        </w:rPr>
        <w:t>do pensamento dos doutrinadores a respeito do elucidado</w:t>
      </w:r>
      <w:r w:rsidR="00C67D43" w:rsidRPr="003D3D37">
        <w:rPr>
          <w:rFonts w:ascii="Times New Roman" w:hAnsi="Times New Roman" w:cs="Times New Roman"/>
          <w:sz w:val="24"/>
          <w:szCs w:val="24"/>
          <w:highlight w:val="white"/>
        </w:rPr>
        <w:t xml:space="preserve"> e das normas respectivas</w:t>
      </w:r>
      <w:r w:rsidR="00A47E30" w:rsidRPr="003D3D37">
        <w:rPr>
          <w:rFonts w:ascii="Times New Roman" w:hAnsi="Times New Roman" w:cs="Times New Roman"/>
          <w:sz w:val="24"/>
          <w:szCs w:val="24"/>
          <w:highlight w:val="white"/>
        </w:rPr>
        <w:t xml:space="preserve"> como base para a pesquisa</w:t>
      </w:r>
      <w:r w:rsidR="00C67D43" w:rsidRPr="003D3D37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="001356D0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915908" w:rsidRPr="003D3D37">
        <w:rPr>
          <w:rFonts w:ascii="Times New Roman" w:hAnsi="Times New Roman" w:cs="Times New Roman"/>
          <w:sz w:val="24"/>
          <w:szCs w:val="24"/>
          <w:highlight w:val="white"/>
        </w:rPr>
        <w:t xml:space="preserve">Isso, visando essencialmente alcançar a finalidade almejada com a elaboração desse trabalho </w:t>
      </w:r>
      <w:r w:rsidR="009B342E" w:rsidRPr="003D3D37">
        <w:rPr>
          <w:rFonts w:ascii="Times New Roman" w:hAnsi="Times New Roman" w:cs="Times New Roman"/>
          <w:sz w:val="24"/>
          <w:szCs w:val="24"/>
          <w:highlight w:val="white"/>
        </w:rPr>
        <w:t>cient</w:t>
      </w:r>
      <w:r w:rsidR="003D3D37">
        <w:rPr>
          <w:rFonts w:ascii="Times New Roman" w:hAnsi="Times New Roman" w:cs="Times New Roman"/>
          <w:sz w:val="24"/>
          <w:szCs w:val="24"/>
          <w:highlight w:val="white"/>
        </w:rPr>
        <w:t>í</w:t>
      </w:r>
      <w:r w:rsidR="009B342E" w:rsidRPr="003D3D37">
        <w:rPr>
          <w:rFonts w:ascii="Times New Roman" w:hAnsi="Times New Roman" w:cs="Times New Roman"/>
          <w:sz w:val="24"/>
          <w:szCs w:val="24"/>
          <w:highlight w:val="white"/>
        </w:rPr>
        <w:t>fico</w:t>
      </w:r>
      <w:r w:rsidR="00192C6F" w:rsidRPr="003D3D37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="009B342E" w:rsidRPr="003D3D37">
        <w:rPr>
          <w:rFonts w:ascii="Times New Roman" w:hAnsi="Times New Roman" w:cs="Times New Roman"/>
          <w:sz w:val="24"/>
          <w:szCs w:val="24"/>
          <w:highlight w:val="white"/>
        </w:rPr>
        <w:t>isto é</w:t>
      </w:r>
      <w:r w:rsidR="00915908" w:rsidRPr="003D3D37">
        <w:rPr>
          <w:rFonts w:ascii="Times New Roman" w:hAnsi="Times New Roman" w:cs="Times New Roman"/>
          <w:sz w:val="24"/>
          <w:szCs w:val="24"/>
          <w:highlight w:val="white"/>
        </w:rPr>
        <w:t>, a propagação de conhecimento</w:t>
      </w:r>
      <w:r w:rsidR="00192C6F" w:rsidRPr="003D3D37">
        <w:rPr>
          <w:rFonts w:ascii="Times New Roman" w:hAnsi="Times New Roman" w:cs="Times New Roman"/>
          <w:sz w:val="24"/>
          <w:szCs w:val="24"/>
          <w:highlight w:val="white"/>
        </w:rPr>
        <w:t xml:space="preserve"> e </w:t>
      </w:r>
      <w:r w:rsidR="00915908" w:rsidRPr="003D3D37">
        <w:rPr>
          <w:rFonts w:ascii="Times New Roman" w:hAnsi="Times New Roman" w:cs="Times New Roman"/>
          <w:sz w:val="24"/>
          <w:szCs w:val="24"/>
          <w:highlight w:val="white"/>
        </w:rPr>
        <w:t>uma análise</w:t>
      </w:r>
      <w:r w:rsidR="00196A53" w:rsidRPr="003D3D37">
        <w:rPr>
          <w:rFonts w:ascii="Times New Roman" w:hAnsi="Times New Roman" w:cs="Times New Roman"/>
          <w:sz w:val="24"/>
          <w:szCs w:val="24"/>
          <w:highlight w:val="white"/>
        </w:rPr>
        <w:t xml:space="preserve"> mais aprofundada do respectivo regramento</w:t>
      </w:r>
      <w:r w:rsidR="00192C6F" w:rsidRPr="003D3D37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827E3F" w:rsidRPr="008562A6" w:rsidRDefault="00192C6F" w:rsidP="00EE45F8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highlight w:val="white"/>
        </w:rPr>
      </w:pPr>
      <w:r w:rsidRPr="003D3D37">
        <w:rPr>
          <w:rFonts w:ascii="Times New Roman" w:hAnsi="Times New Roman" w:cs="Times New Roman"/>
          <w:b/>
          <w:sz w:val="22"/>
          <w:szCs w:val="22"/>
          <w:highlight w:val="white"/>
        </w:rPr>
        <w:t>Palavras-chave:</w:t>
      </w:r>
      <w:r w:rsidR="001356D0">
        <w:rPr>
          <w:rFonts w:ascii="Times New Roman" w:hAnsi="Times New Roman" w:cs="Times New Roman"/>
          <w:b/>
          <w:sz w:val="22"/>
          <w:szCs w:val="22"/>
          <w:highlight w:val="white"/>
        </w:rPr>
        <w:t xml:space="preserve"> </w:t>
      </w:r>
      <w:r w:rsidR="00196A53" w:rsidRPr="003D3D37">
        <w:rPr>
          <w:rFonts w:ascii="Times New Roman" w:hAnsi="Times New Roman" w:cs="Times New Roman"/>
          <w:sz w:val="22"/>
          <w:szCs w:val="22"/>
          <w:highlight w:val="white"/>
        </w:rPr>
        <w:t xml:space="preserve">Legislação. Pregão. </w:t>
      </w:r>
      <w:r w:rsidR="0011689D" w:rsidRPr="00EE45F8">
        <w:rPr>
          <w:rFonts w:ascii="Times New Roman" w:hAnsi="Times New Roman" w:cs="Times New Roman"/>
          <w:sz w:val="22"/>
          <w:szCs w:val="22"/>
          <w:highlight w:val="white"/>
        </w:rPr>
        <w:t>Estado</w:t>
      </w:r>
      <w:r w:rsidRPr="00EE45F8">
        <w:rPr>
          <w:rFonts w:ascii="Times New Roman" w:hAnsi="Times New Roman" w:cs="Times New Roman"/>
          <w:sz w:val="22"/>
          <w:szCs w:val="22"/>
          <w:highlight w:val="white"/>
        </w:rPr>
        <w:t>.</w:t>
      </w:r>
      <w:r w:rsidR="001356D0"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 w:rsidR="00196A53" w:rsidRPr="008562A6">
        <w:rPr>
          <w:rFonts w:ascii="Times New Roman" w:hAnsi="Times New Roman" w:cs="Times New Roman"/>
          <w:sz w:val="22"/>
          <w:szCs w:val="22"/>
          <w:highlight w:val="white"/>
        </w:rPr>
        <w:t>Licitação.</w:t>
      </w:r>
    </w:p>
    <w:p w:rsidR="00AF1827" w:rsidRPr="008562A6" w:rsidRDefault="00AF1827" w:rsidP="003D3D37">
      <w:pPr>
        <w:spacing w:line="360" w:lineRule="auto"/>
        <w:ind w:right="40"/>
        <w:contextualSpacing/>
        <w:jc w:val="left"/>
        <w:rPr>
          <w:rFonts w:ascii="Times New Roman" w:hAnsi="Times New Roman" w:cs="Times New Roman"/>
          <w:color w:val="222222"/>
          <w:sz w:val="22"/>
          <w:szCs w:val="22"/>
        </w:rPr>
      </w:pPr>
    </w:p>
    <w:p w:rsidR="00AF1827" w:rsidRPr="00334846" w:rsidRDefault="001521B3" w:rsidP="003D3D37">
      <w:pPr>
        <w:spacing w:line="360" w:lineRule="auto"/>
        <w:ind w:right="4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334846">
        <w:rPr>
          <w:rFonts w:ascii="Times New Roman" w:hAnsi="Times New Roman" w:cs="Times New Roman"/>
          <w:b/>
          <w:sz w:val="24"/>
          <w:szCs w:val="24"/>
        </w:rPr>
        <w:t>I</w:t>
      </w:r>
      <w:r w:rsidR="00192C6F" w:rsidRPr="00334846">
        <w:rPr>
          <w:rFonts w:ascii="Times New Roman" w:hAnsi="Times New Roman" w:cs="Times New Roman"/>
          <w:b/>
          <w:sz w:val="24"/>
          <w:szCs w:val="24"/>
        </w:rPr>
        <w:t>NTRODUÇÃO</w:t>
      </w:r>
    </w:p>
    <w:p w:rsidR="00CA728F" w:rsidRPr="00334846" w:rsidRDefault="00CA728F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1371FA" w:rsidRDefault="00BB60C7" w:rsidP="008C6687">
      <w:pPr>
        <w:spacing w:line="360" w:lineRule="auto"/>
        <w:ind w:firstLine="85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34846">
        <w:rPr>
          <w:rFonts w:ascii="Times New Roman" w:hAnsi="Times New Roman" w:cs="Times New Roman"/>
          <w:sz w:val="24"/>
          <w:szCs w:val="24"/>
          <w:highlight w:val="white"/>
        </w:rPr>
        <w:t>Antes de qualquer coisa</w:t>
      </w:r>
      <w:r w:rsidR="008B1E9C" w:rsidRPr="00334846">
        <w:rPr>
          <w:rFonts w:ascii="Times New Roman" w:hAnsi="Times New Roman" w:cs="Times New Roman"/>
          <w:sz w:val="24"/>
          <w:szCs w:val="24"/>
          <w:highlight w:val="white"/>
        </w:rPr>
        <w:t xml:space="preserve"> faz-se</w:t>
      </w:r>
      <w:r w:rsidR="00192C6F" w:rsidRPr="00334846">
        <w:rPr>
          <w:rFonts w:ascii="Times New Roman" w:hAnsi="Times New Roman" w:cs="Times New Roman"/>
          <w:sz w:val="24"/>
          <w:szCs w:val="24"/>
          <w:highlight w:val="white"/>
        </w:rPr>
        <w:t xml:space="preserve"> necessário </w:t>
      </w:r>
      <w:r w:rsidR="008B1E9C" w:rsidRPr="00334846">
        <w:rPr>
          <w:rFonts w:ascii="Times New Roman" w:hAnsi="Times New Roman" w:cs="Times New Roman"/>
          <w:sz w:val="24"/>
          <w:szCs w:val="24"/>
          <w:highlight w:val="white"/>
        </w:rPr>
        <w:t xml:space="preserve">traçar a origem do referido tema, e para que isso ocorra </w:t>
      </w:r>
      <w:r w:rsidRPr="00334846">
        <w:rPr>
          <w:rFonts w:ascii="Times New Roman" w:hAnsi="Times New Roman" w:cs="Times New Roman"/>
          <w:sz w:val="24"/>
          <w:szCs w:val="24"/>
          <w:highlight w:val="white"/>
        </w:rPr>
        <w:t>é crucial iniciar o estudo</w:t>
      </w:r>
      <w:r w:rsidR="008B1E9C" w:rsidRPr="00334846">
        <w:rPr>
          <w:rFonts w:ascii="Times New Roman" w:hAnsi="Times New Roman" w:cs="Times New Roman"/>
          <w:sz w:val="24"/>
          <w:szCs w:val="24"/>
          <w:highlight w:val="white"/>
        </w:rPr>
        <w:t xml:space="preserve"> abordando a Lei de licitações, a saber, Lei 8.666, de 21 de junho de 1993, que vai tratar do poder público no que concerne à sua atuação nos negócios jurídicos realizados com particular</w:t>
      </w:r>
      <w:r w:rsidRPr="00334846">
        <w:rPr>
          <w:rFonts w:ascii="Times New Roman" w:hAnsi="Times New Roman" w:cs="Times New Roman"/>
          <w:sz w:val="24"/>
          <w:szCs w:val="24"/>
          <w:highlight w:val="white"/>
        </w:rPr>
        <w:t>es para a contratação de determinadas demandas</w:t>
      </w:r>
      <w:r w:rsidR="008B1E9C" w:rsidRPr="00334846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1521B3" w:rsidRPr="00334846" w:rsidRDefault="00BB60C7" w:rsidP="00B7386D">
      <w:pPr>
        <w:spacing w:line="36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334846">
        <w:rPr>
          <w:rFonts w:ascii="Times New Roman" w:hAnsi="Times New Roman" w:cs="Times New Roman"/>
          <w:sz w:val="24"/>
          <w:szCs w:val="24"/>
          <w:highlight w:val="white"/>
        </w:rPr>
        <w:t xml:space="preserve">No artigo 1º da norma acima mencionada, encontra-se a seguinte explanação: </w:t>
      </w:r>
      <w:r w:rsidRPr="00334846">
        <w:rPr>
          <w:rFonts w:ascii="Times New Roman" w:hAnsi="Times New Roman" w:cs="Times New Roman"/>
          <w:sz w:val="24"/>
          <w:szCs w:val="24"/>
        </w:rPr>
        <w:t>“esta Lei estabelece normas gerais sobre licitações e contratos administrativos pertinentes a obras, serviços, inclusive de publicidade, compras, alienações e locações no âmbito dos Poderes da União, dos Estados, do Distrito Federal e dos Municípios”.</w:t>
      </w:r>
    </w:p>
    <w:p w:rsidR="00BB60C7" w:rsidRPr="00334846" w:rsidRDefault="00BB60C7" w:rsidP="00334846">
      <w:pPr>
        <w:spacing w:after="240" w:line="36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334846">
        <w:rPr>
          <w:rFonts w:ascii="Times New Roman" w:hAnsi="Times New Roman" w:cs="Times New Roman"/>
          <w:sz w:val="24"/>
          <w:szCs w:val="24"/>
        </w:rPr>
        <w:t xml:space="preserve">Como </w:t>
      </w:r>
      <w:r w:rsidR="001371FA">
        <w:rPr>
          <w:rFonts w:ascii="Times New Roman" w:hAnsi="Times New Roman" w:cs="Times New Roman"/>
          <w:sz w:val="24"/>
          <w:szCs w:val="24"/>
        </w:rPr>
        <w:t>se pode pressupor</w:t>
      </w:r>
      <w:r w:rsidRPr="00334846">
        <w:rPr>
          <w:rFonts w:ascii="Times New Roman" w:hAnsi="Times New Roman" w:cs="Times New Roman"/>
          <w:sz w:val="24"/>
          <w:szCs w:val="24"/>
        </w:rPr>
        <w:t>, a Lei de licitações objetiva a regulamentação de determinadas contratações públicas, para que, de maneira geral, torne-se justa essa “competição” para o exercício da função ou à satisfação da demanda.</w:t>
      </w:r>
      <w:r w:rsidR="00334846" w:rsidRPr="00334846">
        <w:rPr>
          <w:rFonts w:ascii="Times New Roman" w:hAnsi="Times New Roman" w:cs="Times New Roman"/>
          <w:sz w:val="24"/>
          <w:szCs w:val="24"/>
        </w:rPr>
        <w:t xml:space="preserve"> A esse respeito, traz o </w:t>
      </w:r>
      <w:r w:rsidR="00334846" w:rsidRPr="00334846">
        <w:rPr>
          <w:rFonts w:ascii="Times New Roman" w:hAnsi="Times New Roman" w:cs="Times New Roman"/>
          <w:sz w:val="24"/>
          <w:szCs w:val="24"/>
        </w:rPr>
        <w:lastRenderedPageBreak/>
        <w:t xml:space="preserve">inciso XXI do artigo 37 da CF: </w:t>
      </w:r>
    </w:p>
    <w:p w:rsidR="001B7D2E" w:rsidRPr="00325013" w:rsidRDefault="00EC5835" w:rsidP="001B7D2E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1C71C3">
        <w:rPr>
          <w:rFonts w:ascii="Times New Roman" w:hAnsi="Times New Roman" w:cs="Times New Roman"/>
          <w:sz w:val="24"/>
          <w:szCs w:val="24"/>
        </w:rPr>
        <w:t>Ressalvados</w:t>
      </w:r>
      <w:r>
        <w:rPr>
          <w:rFonts w:ascii="Times New Roman" w:hAnsi="Times New Roman" w:cs="Times New Roman"/>
          <w:sz w:val="24"/>
          <w:szCs w:val="24"/>
        </w:rPr>
        <w:t xml:space="preserve"> os casos especificados na legislação, as obras, serviços, compras e alienações serão contratadas mediante processo de licitação pública que assegure igualdade de condições a todos os concorrentes, com cláusulas que estabeleçam obrigações de pagamento, mantidas as condições efetivas da proposta, nos termos da lei, o qual somente permitirá as exigências</w:t>
      </w:r>
      <w:r w:rsidR="008347FF">
        <w:rPr>
          <w:rFonts w:ascii="Times New Roman" w:hAnsi="Times New Roman" w:cs="Times New Roman"/>
          <w:sz w:val="24"/>
          <w:szCs w:val="24"/>
        </w:rPr>
        <w:t xml:space="preserve"> de qualificação técnica e econômica, indispensável à garantia do cumprimento das obrigações.”</w:t>
      </w:r>
    </w:p>
    <w:p w:rsidR="001B7D2E" w:rsidRPr="00325013" w:rsidRDefault="001B7D2E" w:rsidP="001B7D2E">
      <w:pPr>
        <w:tabs>
          <w:tab w:val="left" w:pos="503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25013">
        <w:rPr>
          <w:rFonts w:ascii="Times New Roman" w:hAnsi="Times New Roman" w:cs="Times New Roman"/>
          <w:sz w:val="24"/>
          <w:szCs w:val="24"/>
        </w:rPr>
        <w:tab/>
      </w:r>
    </w:p>
    <w:p w:rsidR="001B7D2E" w:rsidRPr="006F5825" w:rsidRDefault="001B7D2E" w:rsidP="001B7D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13">
        <w:rPr>
          <w:rFonts w:ascii="Times New Roman" w:hAnsi="Times New Roman" w:cs="Times New Roman"/>
          <w:sz w:val="24"/>
          <w:szCs w:val="24"/>
        </w:rPr>
        <w:t xml:space="preserve">     A essa lei estão subordinados to</w:t>
      </w:r>
      <w:r w:rsidR="00FF7126" w:rsidRPr="00325013">
        <w:rPr>
          <w:rFonts w:ascii="Times New Roman" w:hAnsi="Times New Roman" w:cs="Times New Roman"/>
          <w:sz w:val="24"/>
          <w:szCs w:val="24"/>
        </w:rPr>
        <w:t>dos os entes federados (União, E</w:t>
      </w:r>
      <w:r w:rsidRPr="00325013">
        <w:rPr>
          <w:rFonts w:ascii="Times New Roman" w:hAnsi="Times New Roman" w:cs="Times New Roman"/>
          <w:sz w:val="24"/>
          <w:szCs w:val="24"/>
        </w:rPr>
        <w:t>stados, Distrito Federal e municípios) assim como, segundo o parágrafo único do Art.1°, os fundos especiais, as autarquias e as funções públicas, as empresas públicas, as sociedades de economia mista e demais entidades controladas direta ou indiretamente pela União, Estados, DF, e municípios.</w:t>
      </w:r>
    </w:p>
    <w:p w:rsidR="001C17D5" w:rsidRDefault="00507AF8" w:rsidP="00B7386D">
      <w:pPr>
        <w:spacing w:line="360" w:lineRule="auto"/>
        <w:ind w:firstLine="85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7AF8">
        <w:rPr>
          <w:rFonts w:ascii="Times New Roman" w:hAnsi="Times New Roman" w:cs="Times New Roman"/>
          <w:sz w:val="24"/>
          <w:szCs w:val="24"/>
          <w:highlight w:val="white"/>
        </w:rPr>
        <w:t xml:space="preserve">Ainda, no </w:t>
      </w:r>
      <w:r w:rsidR="00E810E8" w:rsidRPr="00507AF8">
        <w:rPr>
          <w:rFonts w:ascii="Times New Roman" w:hAnsi="Times New Roman" w:cs="Times New Roman"/>
          <w:sz w:val="24"/>
          <w:szCs w:val="24"/>
          <w:highlight w:val="white"/>
        </w:rPr>
        <w:t>parágrafo</w:t>
      </w:r>
      <w:r w:rsidRPr="00507AF8">
        <w:rPr>
          <w:rFonts w:ascii="Times New Roman" w:hAnsi="Times New Roman" w:cs="Times New Roman"/>
          <w:sz w:val="24"/>
          <w:szCs w:val="24"/>
          <w:highlight w:val="white"/>
        </w:rPr>
        <w:t xml:space="preserve"> único do art. 2º, é possível encontrar uma conceituação breve sobre</w:t>
      </w:r>
      <w:r w:rsidR="001371FA">
        <w:rPr>
          <w:rFonts w:ascii="Times New Roman" w:hAnsi="Times New Roman" w:cs="Times New Roman"/>
          <w:sz w:val="24"/>
          <w:szCs w:val="24"/>
          <w:highlight w:val="white"/>
        </w:rPr>
        <w:t xml:space="preserve"> esse acordo:</w:t>
      </w:r>
      <w:r w:rsidRPr="00507AF8">
        <w:rPr>
          <w:rFonts w:ascii="Times New Roman" w:hAnsi="Times New Roman" w:cs="Times New Roman"/>
          <w:sz w:val="24"/>
          <w:szCs w:val="24"/>
          <w:highlight w:val="white"/>
        </w:rPr>
        <w:t xml:space="preserve"> “considera-se contrato todo e qualquer ajuste entre órgãos ou entidades </w:t>
      </w:r>
      <w:r w:rsidRPr="00507AF8">
        <w:rPr>
          <w:rFonts w:ascii="Times New Roman" w:hAnsi="Times New Roman" w:cs="Times New Roman"/>
          <w:sz w:val="24"/>
          <w:szCs w:val="24"/>
          <w:shd w:val="clear" w:color="auto" w:fill="FFFFFF"/>
        </w:rPr>
        <w:t>da Administração Pública e particulares, em que haja um acordo de vontades para a formação de vínculo e a estipulação de obrig</w:t>
      </w:r>
      <w:r w:rsidR="001C17D5">
        <w:rPr>
          <w:rFonts w:ascii="Times New Roman" w:hAnsi="Times New Roman" w:cs="Times New Roman"/>
          <w:sz w:val="24"/>
          <w:szCs w:val="24"/>
          <w:shd w:val="clear" w:color="auto" w:fill="FFFFFF"/>
        </w:rPr>
        <w:t>ações recíprocas, seja qual for a</w:t>
      </w:r>
      <w:r w:rsidRPr="00507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denominação utilizada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Pr="00507A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356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1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Nesse sentido, Marcelo Alexandrino e Vicente Paulo conceituam o termo licitação como sendo: </w:t>
      </w:r>
    </w:p>
    <w:p w:rsidR="001C17D5" w:rsidRPr="00DC3AF0" w:rsidRDefault="001C17D5" w:rsidP="001C17D5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C3AF0">
        <w:rPr>
          <w:rFonts w:ascii="Times New Roman" w:hAnsi="Times New Roman" w:cs="Times New Roman"/>
          <w:sz w:val="22"/>
          <w:szCs w:val="22"/>
          <w:shd w:val="clear" w:color="auto" w:fill="FFFFFF"/>
        </w:rPr>
        <w:t>“Um procedimento administrativo, de observância obrigatória pelas entidades governamentais, em que, observada a igualdade entre os participantes, deve ser selecionada a melhor proposta dentre as apresentadas pelos interessados em com elas travar determinadas relações de conteúdo patrimonial, uma vez preenchidos os requisitos mínimos necessários ao bom cumprimento das obrigações a que eles se propõem”</w:t>
      </w:r>
      <w:r w:rsidR="001371FA" w:rsidRPr="00DC3AF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(M. ALEXANDRINO &amp; VICENTE, 2009</w:t>
      </w:r>
      <w:r w:rsidR="00A56304">
        <w:rPr>
          <w:rFonts w:ascii="Times New Roman" w:hAnsi="Times New Roman" w:cs="Times New Roman"/>
          <w:sz w:val="22"/>
          <w:szCs w:val="22"/>
          <w:shd w:val="clear" w:color="auto" w:fill="FFFFFF"/>
        </w:rPr>
        <w:t>. P.537</w:t>
      </w:r>
      <w:r w:rsidR="00E810E8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  <w:r w:rsidR="001371FA" w:rsidRPr="00DC3AF0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:rsidR="00640209" w:rsidRDefault="00DC3AF0" w:rsidP="00640209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3AF0">
        <w:rPr>
          <w:rFonts w:ascii="Times New Roman" w:hAnsi="Times New Roman" w:cs="Times New Roman"/>
          <w:sz w:val="24"/>
          <w:szCs w:val="24"/>
          <w:shd w:val="clear" w:color="auto" w:fill="FFFFFF"/>
        </w:rPr>
        <w:t>Portanto, como já se pode deduzir, essa Lei visa beneficiar a administração pública no que tange à suas contratações, para que o estado alcance o melhor custo benefício nos seus negócios, isso porque a administração age no intuito de satisfazer o interesse público e assim acaba por gozar de certas prerrogativas para que esse bem comum possa ser alcançado com maior eficácia e rapidez.</w:t>
      </w:r>
    </w:p>
    <w:p w:rsidR="00CA728F" w:rsidRPr="00DC3AF0" w:rsidRDefault="00AF1827" w:rsidP="008B1E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lastRenderedPageBreak/>
        <w:t>O INSTITUTO DO PREGÃO E A INVERSÃO DE FASES</w:t>
      </w:r>
    </w:p>
    <w:p w:rsidR="005847D4" w:rsidRPr="00DC3AF0" w:rsidRDefault="005847D4" w:rsidP="005847D4">
      <w:pPr>
        <w:pStyle w:val="PargrafodaLista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1F79BB" w:rsidRDefault="00DC3AF0" w:rsidP="00B7386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3AF0">
        <w:rPr>
          <w:rFonts w:ascii="Times New Roman" w:hAnsi="Times New Roman" w:cs="Times New Roman"/>
          <w:sz w:val="24"/>
          <w:szCs w:val="24"/>
        </w:rPr>
        <w:t>Traçadas as linhas gerais sobre a lei de licitações, coloca-se aqui então as respectivas modalidades que a administração p</w:t>
      </w:r>
      <w:r w:rsidR="00705563">
        <w:rPr>
          <w:rFonts w:ascii="Times New Roman" w:hAnsi="Times New Roman" w:cs="Times New Roman"/>
          <w:sz w:val="24"/>
          <w:szCs w:val="24"/>
        </w:rPr>
        <w:t xml:space="preserve">ública pode </w:t>
      </w:r>
      <w:r w:rsidR="00E810E8">
        <w:rPr>
          <w:rFonts w:ascii="Times New Roman" w:hAnsi="Times New Roman" w:cs="Times New Roman"/>
          <w:sz w:val="24"/>
          <w:szCs w:val="24"/>
        </w:rPr>
        <w:t xml:space="preserve">adotar. </w:t>
      </w:r>
      <w:r w:rsidR="001419BB">
        <w:rPr>
          <w:rFonts w:ascii="Times New Roman" w:hAnsi="Times New Roman" w:cs="Times New Roman"/>
          <w:sz w:val="24"/>
          <w:szCs w:val="24"/>
        </w:rPr>
        <w:t>Portanto, em se trat</w:t>
      </w:r>
      <w:r w:rsidR="00AF1827">
        <w:rPr>
          <w:rFonts w:ascii="Times New Roman" w:hAnsi="Times New Roman" w:cs="Times New Roman"/>
          <w:sz w:val="24"/>
          <w:szCs w:val="24"/>
        </w:rPr>
        <w:t>ando de licitações públicas, o E</w:t>
      </w:r>
      <w:r w:rsidR="001419BB">
        <w:rPr>
          <w:rFonts w:ascii="Times New Roman" w:hAnsi="Times New Roman" w:cs="Times New Roman"/>
          <w:sz w:val="24"/>
          <w:szCs w:val="24"/>
        </w:rPr>
        <w:t>stado pode se utilizar da concorrência</w:t>
      </w:r>
      <w:r w:rsidR="00A54E87">
        <w:rPr>
          <w:rFonts w:ascii="Times New Roman" w:hAnsi="Times New Roman" w:cs="Times New Roman"/>
          <w:sz w:val="24"/>
          <w:szCs w:val="24"/>
        </w:rPr>
        <w:t>, da tomada de preços e</w:t>
      </w:r>
      <w:r w:rsidR="001419BB">
        <w:rPr>
          <w:rFonts w:ascii="Times New Roman" w:hAnsi="Times New Roman" w:cs="Times New Roman"/>
          <w:sz w:val="24"/>
          <w:szCs w:val="24"/>
        </w:rPr>
        <w:t xml:space="preserve"> do convite,</w:t>
      </w:r>
      <w:r w:rsidR="00A54E87">
        <w:rPr>
          <w:rFonts w:ascii="Times New Roman" w:hAnsi="Times New Roman" w:cs="Times New Roman"/>
          <w:sz w:val="24"/>
          <w:szCs w:val="24"/>
        </w:rPr>
        <w:t xml:space="preserve"> que são definid</w:t>
      </w:r>
      <w:r w:rsidR="00931B1C">
        <w:rPr>
          <w:rFonts w:ascii="Times New Roman" w:hAnsi="Times New Roman" w:cs="Times New Roman"/>
          <w:sz w:val="24"/>
          <w:szCs w:val="24"/>
        </w:rPr>
        <w:t>o</w:t>
      </w:r>
      <w:r w:rsidR="00A54E87">
        <w:rPr>
          <w:rFonts w:ascii="Times New Roman" w:hAnsi="Times New Roman" w:cs="Times New Roman"/>
          <w:sz w:val="24"/>
          <w:szCs w:val="24"/>
        </w:rPr>
        <w:t>s em razão do valor do contrato, assim como, pode adotar o</w:t>
      </w:r>
      <w:r w:rsidR="001419BB">
        <w:rPr>
          <w:rFonts w:ascii="Times New Roman" w:hAnsi="Times New Roman" w:cs="Times New Roman"/>
          <w:sz w:val="24"/>
          <w:szCs w:val="24"/>
        </w:rPr>
        <w:t xml:space="preserve"> concurso,</w:t>
      </w:r>
      <w:r w:rsidR="00A54E87">
        <w:rPr>
          <w:rFonts w:ascii="Times New Roman" w:hAnsi="Times New Roman" w:cs="Times New Roman"/>
          <w:sz w:val="24"/>
          <w:szCs w:val="24"/>
        </w:rPr>
        <w:t xml:space="preserve"> o</w:t>
      </w:r>
      <w:r w:rsidR="001419BB">
        <w:rPr>
          <w:rFonts w:ascii="Times New Roman" w:hAnsi="Times New Roman" w:cs="Times New Roman"/>
          <w:sz w:val="24"/>
          <w:szCs w:val="24"/>
        </w:rPr>
        <w:t xml:space="preserve"> leilão </w:t>
      </w:r>
      <w:r w:rsidR="00A54E87">
        <w:rPr>
          <w:rFonts w:ascii="Times New Roman" w:hAnsi="Times New Roman" w:cs="Times New Roman"/>
          <w:sz w:val="24"/>
          <w:szCs w:val="24"/>
        </w:rPr>
        <w:t xml:space="preserve">ou </w:t>
      </w:r>
      <w:r w:rsidR="001419BB">
        <w:rPr>
          <w:rFonts w:ascii="Times New Roman" w:hAnsi="Times New Roman" w:cs="Times New Roman"/>
          <w:sz w:val="24"/>
          <w:szCs w:val="24"/>
        </w:rPr>
        <w:t>o pregão</w:t>
      </w:r>
      <w:r w:rsidR="00A54E87">
        <w:rPr>
          <w:rFonts w:ascii="Times New Roman" w:hAnsi="Times New Roman" w:cs="Times New Roman"/>
          <w:sz w:val="24"/>
          <w:szCs w:val="24"/>
        </w:rPr>
        <w:t>, os quais se definem em razão do seu objeto</w:t>
      </w:r>
      <w:r w:rsidR="001419BB">
        <w:rPr>
          <w:rFonts w:ascii="Times New Roman" w:hAnsi="Times New Roman" w:cs="Times New Roman"/>
          <w:sz w:val="24"/>
          <w:szCs w:val="24"/>
        </w:rPr>
        <w:t xml:space="preserve">. Sabendo disso, </w:t>
      </w:r>
      <w:r w:rsidR="00622DBA">
        <w:rPr>
          <w:rFonts w:ascii="Times New Roman" w:hAnsi="Times New Roman" w:cs="Times New Roman"/>
          <w:sz w:val="24"/>
          <w:szCs w:val="24"/>
        </w:rPr>
        <w:t xml:space="preserve">agora </w:t>
      </w:r>
      <w:r w:rsidR="00E810E8">
        <w:rPr>
          <w:rFonts w:ascii="Times New Roman" w:hAnsi="Times New Roman" w:cs="Times New Roman"/>
          <w:sz w:val="24"/>
          <w:szCs w:val="24"/>
        </w:rPr>
        <w:t>se busca</w:t>
      </w:r>
      <w:r w:rsidR="00622DBA">
        <w:rPr>
          <w:rFonts w:ascii="Times New Roman" w:hAnsi="Times New Roman" w:cs="Times New Roman"/>
          <w:sz w:val="24"/>
          <w:szCs w:val="24"/>
        </w:rPr>
        <w:t xml:space="preserve"> entender o que significa cada uma dessas modalidades e </w:t>
      </w:r>
      <w:r w:rsidR="00A54E87">
        <w:rPr>
          <w:rFonts w:ascii="Times New Roman" w:hAnsi="Times New Roman" w:cs="Times New Roman"/>
          <w:sz w:val="24"/>
          <w:szCs w:val="24"/>
        </w:rPr>
        <w:t xml:space="preserve">quais são </w:t>
      </w:r>
      <w:r w:rsidR="00622DBA">
        <w:rPr>
          <w:rFonts w:ascii="Times New Roman" w:hAnsi="Times New Roman" w:cs="Times New Roman"/>
          <w:sz w:val="24"/>
          <w:szCs w:val="24"/>
        </w:rPr>
        <w:t>os procedimentos adotados.</w:t>
      </w:r>
    </w:p>
    <w:p w:rsidR="00622DBA" w:rsidRDefault="00622DBA" w:rsidP="00B7386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Primeiramente, a concorrência, que vem definida no § 1º do art. 22 da Lei 8.666/93 como “a modalidade de licitação entre quaisquer interessados que, na fase inicial de habilitação preliminar, comprovem possuir os requisitos mínimos de qualificação exigidos no edital para execução de seu objeto”. </w:t>
      </w:r>
    </w:p>
    <w:p w:rsidR="00622DBA" w:rsidRDefault="00622DBA" w:rsidP="00B7386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Ainda tomando por base Marcelo Alexandrino e Vicente</w:t>
      </w:r>
      <w:r w:rsidR="00931B1C">
        <w:rPr>
          <w:rFonts w:ascii="Times New Roman" w:hAnsi="Times New Roman" w:cs="Times New Roman"/>
          <w:sz w:val="24"/>
          <w:szCs w:val="24"/>
        </w:rPr>
        <w:t xml:space="preserve"> Paulo</w:t>
      </w:r>
      <w:r>
        <w:rPr>
          <w:rFonts w:ascii="Times New Roman" w:hAnsi="Times New Roman" w:cs="Times New Roman"/>
          <w:sz w:val="24"/>
          <w:szCs w:val="24"/>
        </w:rPr>
        <w:t>, afirmam estes que “a concorrência é a mais complexa das modalidades de licitação”.</w:t>
      </w:r>
    </w:p>
    <w:p w:rsidR="00F66636" w:rsidRDefault="00A54E87" w:rsidP="00B7386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concorrência, apesar de ser utilizada em razão do valor, em algumas situações, as quais estejam definidas por lei previamente, pode ser feita em razão do objeto, mas aqui </w:t>
      </w:r>
      <w:r w:rsidR="000F320F">
        <w:rPr>
          <w:rFonts w:ascii="Times New Roman" w:hAnsi="Times New Roman" w:cs="Times New Roman"/>
          <w:sz w:val="24"/>
          <w:szCs w:val="24"/>
        </w:rPr>
        <w:t>se fala</w:t>
      </w:r>
      <w:r>
        <w:rPr>
          <w:rFonts w:ascii="Times New Roman" w:hAnsi="Times New Roman" w:cs="Times New Roman"/>
          <w:sz w:val="24"/>
          <w:szCs w:val="24"/>
        </w:rPr>
        <w:t xml:space="preserve"> em uma exceção, a regra inicial é que ela será aplicada dependendo do valor empregado, e este</w:t>
      </w:r>
      <w:r w:rsidR="00DE1A51">
        <w:rPr>
          <w:rFonts w:ascii="Times New Roman" w:hAnsi="Times New Roman" w:cs="Times New Roman"/>
          <w:sz w:val="24"/>
          <w:szCs w:val="24"/>
        </w:rPr>
        <w:t xml:space="preserve"> valor deve ser de grande vulto, ou seja, uma quantia elevada de </w:t>
      </w:r>
      <w:r w:rsidR="00DE1A51" w:rsidRPr="00DE1A51">
        <w:rPr>
          <w:rFonts w:ascii="Times New Roman" w:hAnsi="Times New Roman" w:cs="Times New Roman"/>
          <w:sz w:val="24"/>
          <w:szCs w:val="24"/>
        </w:rPr>
        <w:t>dinheiro</w:t>
      </w:r>
      <w:r w:rsidR="00DE1A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4E87" w:rsidRDefault="00DE1A51" w:rsidP="00B7386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 s</w:t>
      </w:r>
      <w:r w:rsidRPr="00DE1A51">
        <w:rPr>
          <w:rFonts w:ascii="Times New Roman" w:hAnsi="Times New Roman" w:cs="Times New Roman"/>
          <w:sz w:val="24"/>
          <w:szCs w:val="24"/>
        </w:rPr>
        <w:t>endo</w:t>
      </w:r>
      <w:r w:rsidR="00F66636">
        <w:rPr>
          <w:rFonts w:ascii="Times New Roman" w:hAnsi="Times New Roman" w:cs="Times New Roman"/>
          <w:sz w:val="24"/>
          <w:szCs w:val="24"/>
        </w:rPr>
        <w:t>,</w:t>
      </w:r>
      <w:r w:rsidRPr="00DE1A51">
        <w:rPr>
          <w:rFonts w:ascii="Times New Roman" w:hAnsi="Times New Roman" w:cs="Times New Roman"/>
          <w:sz w:val="24"/>
          <w:szCs w:val="24"/>
        </w:rPr>
        <w:t xml:space="preserve"> a modalidade </w:t>
      </w:r>
      <w:r>
        <w:rPr>
          <w:rFonts w:ascii="Times New Roman" w:hAnsi="Times New Roman" w:cs="Times New Roman"/>
          <w:sz w:val="24"/>
          <w:szCs w:val="24"/>
        </w:rPr>
        <w:t>será</w:t>
      </w:r>
      <w:r w:rsidRPr="00DE1A51">
        <w:rPr>
          <w:rFonts w:ascii="Times New Roman" w:hAnsi="Times New Roman" w:cs="Times New Roman"/>
          <w:sz w:val="24"/>
          <w:szCs w:val="24"/>
        </w:rPr>
        <w:t xml:space="preserve"> obrigatória</w:t>
      </w:r>
      <w:r>
        <w:rPr>
          <w:rFonts w:ascii="Times New Roman" w:hAnsi="Times New Roman" w:cs="Times New Roman"/>
          <w:sz w:val="24"/>
          <w:szCs w:val="24"/>
        </w:rPr>
        <w:t xml:space="preserve"> em</w:t>
      </w:r>
      <w:r w:rsidRPr="00DE1A51">
        <w:rPr>
          <w:rFonts w:ascii="Times New Roman" w:hAnsi="Times New Roman" w:cs="Times New Roman"/>
          <w:sz w:val="24"/>
          <w:szCs w:val="24"/>
        </w:rPr>
        <w:t xml:space="preserve"> contratações de obras e serviços de engenharia acima de um milhão e meio de reais (R$ 1.500.000,00) e</w:t>
      </w:r>
      <w:r>
        <w:rPr>
          <w:rFonts w:ascii="Times New Roman" w:hAnsi="Times New Roman" w:cs="Times New Roman"/>
          <w:sz w:val="24"/>
          <w:szCs w:val="24"/>
        </w:rPr>
        <w:t xml:space="preserve"> também</w:t>
      </w:r>
      <w:r w:rsidRPr="00DE1A51">
        <w:rPr>
          <w:rFonts w:ascii="Times New Roman" w:hAnsi="Times New Roman" w:cs="Times New Roman"/>
          <w:sz w:val="24"/>
          <w:szCs w:val="24"/>
        </w:rPr>
        <w:t xml:space="preserve"> para a aquisição de bens e serviços, que não </w:t>
      </w:r>
      <w:r>
        <w:rPr>
          <w:rFonts w:ascii="Times New Roman" w:hAnsi="Times New Roman" w:cs="Times New Roman"/>
          <w:sz w:val="24"/>
          <w:szCs w:val="24"/>
        </w:rPr>
        <w:t xml:space="preserve">sejam </w:t>
      </w:r>
      <w:r w:rsidRPr="00DE1A51">
        <w:rPr>
          <w:rFonts w:ascii="Times New Roman" w:hAnsi="Times New Roman" w:cs="Times New Roman"/>
          <w:sz w:val="24"/>
          <w:szCs w:val="24"/>
        </w:rPr>
        <w:t xml:space="preserve">de engenharia, </w:t>
      </w:r>
      <w:r>
        <w:rPr>
          <w:rFonts w:ascii="Times New Roman" w:hAnsi="Times New Roman" w:cs="Times New Roman"/>
          <w:sz w:val="24"/>
          <w:szCs w:val="24"/>
        </w:rPr>
        <w:t xml:space="preserve">com valor acima </w:t>
      </w:r>
      <w:r w:rsidRPr="00DE1A51">
        <w:rPr>
          <w:rFonts w:ascii="Times New Roman" w:hAnsi="Times New Roman" w:cs="Times New Roman"/>
          <w:sz w:val="24"/>
          <w:szCs w:val="24"/>
        </w:rPr>
        <w:t>de seiscentos e cinquenta mil reais (R$ 650.000,00</w:t>
      </w:r>
      <w:r w:rsidR="00E810E8" w:rsidRPr="00DE1A51">
        <w:rPr>
          <w:rFonts w:ascii="Times New Roman" w:hAnsi="Times New Roman" w:cs="Times New Roman"/>
          <w:sz w:val="24"/>
          <w:szCs w:val="24"/>
        </w:rPr>
        <w:t xml:space="preserve">). </w:t>
      </w:r>
      <w:r w:rsidRPr="00DE1A51">
        <w:rPr>
          <w:rFonts w:ascii="Times New Roman" w:hAnsi="Times New Roman" w:cs="Times New Roman"/>
          <w:sz w:val="24"/>
          <w:szCs w:val="24"/>
        </w:rPr>
        <w:t>Outra</w:t>
      </w:r>
      <w:r>
        <w:rPr>
          <w:rFonts w:ascii="Times New Roman" w:hAnsi="Times New Roman" w:cs="Times New Roman"/>
          <w:sz w:val="24"/>
          <w:szCs w:val="24"/>
        </w:rPr>
        <w:t xml:space="preserve"> característica importante do instituto é uma maior abertura aos interessados, o que quer dizer que essa modalidade pode ser usada por qualquer particular, sem restrições nesse quesito. </w:t>
      </w:r>
    </w:p>
    <w:p w:rsidR="00F66636" w:rsidRDefault="00F66636" w:rsidP="00B7386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Quanto à tomada de preços, essa será empregada nas licitações de valores medianos, assim ficará abaixo dos valores adotados pela modalidade concorrência e acima do limite do convite. Portanto, pode-se adotar a tomada de preços em contratações de obras e serviços de engenharia até 1.500.000,00 (um milhão e meio de reais) e para aquisição de bens e serviços com exceção de engenharia, até de 650.000,00 (seiscentos e cinquenta mil reais). </w:t>
      </w:r>
    </w:p>
    <w:p w:rsidR="00DF4D11" w:rsidRDefault="00DF4D11" w:rsidP="00F66636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do esclarecimento de </w:t>
      </w:r>
      <w:r w:rsidR="00E84B5D">
        <w:rPr>
          <w:rFonts w:ascii="Times New Roman" w:hAnsi="Times New Roman" w:cs="Times New Roman"/>
          <w:sz w:val="24"/>
          <w:szCs w:val="24"/>
        </w:rPr>
        <w:t xml:space="preserve">Marcelo Alexandrino e Vicente Paulo </w:t>
      </w:r>
      <w:r>
        <w:rPr>
          <w:rFonts w:ascii="Times New Roman" w:hAnsi="Times New Roman" w:cs="Times New Roman"/>
          <w:sz w:val="24"/>
          <w:szCs w:val="24"/>
        </w:rPr>
        <w:t xml:space="preserve">a respeito da parte licitada na tomada de preços, esse afirma: </w:t>
      </w:r>
    </w:p>
    <w:p w:rsidR="00F66636" w:rsidRPr="00DF4D11" w:rsidRDefault="00DF4D11" w:rsidP="00DF4D11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2"/>
          <w:szCs w:val="22"/>
        </w:rPr>
      </w:pPr>
      <w:r w:rsidRPr="00DF4D11">
        <w:rPr>
          <w:rFonts w:ascii="Times New Roman" w:hAnsi="Times New Roman" w:cs="Times New Roman"/>
          <w:sz w:val="22"/>
          <w:szCs w:val="22"/>
        </w:rPr>
        <w:lastRenderedPageBreak/>
        <w:t xml:space="preserve">“Como </w:t>
      </w:r>
      <w:r w:rsidR="00E810E8" w:rsidRPr="00DF4D11">
        <w:rPr>
          <w:rFonts w:ascii="Times New Roman" w:hAnsi="Times New Roman" w:cs="Times New Roman"/>
          <w:sz w:val="22"/>
          <w:szCs w:val="22"/>
        </w:rPr>
        <w:t xml:space="preserve">regra, </w:t>
      </w:r>
      <w:r w:rsidR="00E84B5D">
        <w:rPr>
          <w:rFonts w:ascii="Times New Roman" w:hAnsi="Times New Roman" w:cs="Times New Roman"/>
          <w:sz w:val="22"/>
          <w:szCs w:val="22"/>
        </w:rPr>
        <w:t xml:space="preserve">define a tomada de preços como a “modalidade de licitação entre interessados </w:t>
      </w:r>
      <w:r w:rsidR="00E810E8">
        <w:rPr>
          <w:rFonts w:ascii="Times New Roman" w:hAnsi="Times New Roman" w:cs="Times New Roman"/>
          <w:sz w:val="22"/>
          <w:szCs w:val="22"/>
        </w:rPr>
        <w:t>devidamente cadastrados ou que a</w:t>
      </w:r>
      <w:r w:rsidR="00E84B5D">
        <w:rPr>
          <w:rFonts w:ascii="Times New Roman" w:hAnsi="Times New Roman" w:cs="Times New Roman"/>
          <w:sz w:val="22"/>
          <w:szCs w:val="22"/>
        </w:rPr>
        <w:t xml:space="preserve">tenderem a todas as condições </w:t>
      </w:r>
      <w:r w:rsidR="00E810E8">
        <w:rPr>
          <w:rFonts w:ascii="Times New Roman" w:hAnsi="Times New Roman" w:cs="Times New Roman"/>
          <w:sz w:val="22"/>
          <w:szCs w:val="22"/>
        </w:rPr>
        <w:t>exigidas para cadastramento até o terceiro dia anterior à data do recebimento das propostas, observada a necessária qualificação”</w:t>
      </w:r>
      <w:r w:rsidRPr="00DF4D11">
        <w:rPr>
          <w:rFonts w:ascii="Times New Roman" w:hAnsi="Times New Roman" w:cs="Times New Roman"/>
          <w:sz w:val="22"/>
          <w:szCs w:val="22"/>
        </w:rPr>
        <w:t xml:space="preserve">. O cadastramento é importante, pois torna a licitação mais rápida e sumária. Desta forma, participam da competição apenas os licitantes que forem cadastrados no órgão ou aqueles que se cadastrarem até </w:t>
      </w:r>
      <w:r w:rsidR="00E810E8">
        <w:rPr>
          <w:rFonts w:ascii="Times New Roman" w:hAnsi="Times New Roman" w:cs="Times New Roman"/>
          <w:sz w:val="22"/>
          <w:szCs w:val="22"/>
        </w:rPr>
        <w:t>3</w:t>
      </w:r>
      <w:r w:rsidRPr="00DF4D11">
        <w:rPr>
          <w:rFonts w:ascii="Times New Roman" w:hAnsi="Times New Roman" w:cs="Times New Roman"/>
          <w:sz w:val="22"/>
          <w:szCs w:val="22"/>
        </w:rPr>
        <w:t xml:space="preserve"> (</w:t>
      </w:r>
      <w:r w:rsidR="00E810E8">
        <w:rPr>
          <w:rFonts w:ascii="Times New Roman" w:hAnsi="Times New Roman" w:cs="Times New Roman"/>
          <w:sz w:val="22"/>
          <w:szCs w:val="22"/>
        </w:rPr>
        <w:t xml:space="preserve">três) dias anterior à data do recebimento das </w:t>
      </w:r>
      <w:r w:rsidR="001C71C3">
        <w:rPr>
          <w:rFonts w:ascii="Times New Roman" w:hAnsi="Times New Roman" w:cs="Times New Roman"/>
          <w:sz w:val="22"/>
          <w:szCs w:val="22"/>
        </w:rPr>
        <w:t xml:space="preserve">propostas </w:t>
      </w:r>
      <w:r w:rsidR="001C71C3" w:rsidRPr="00DF4D11">
        <w:rPr>
          <w:rFonts w:ascii="Times New Roman" w:hAnsi="Times New Roman" w:cs="Times New Roman"/>
          <w:sz w:val="22"/>
          <w:szCs w:val="22"/>
        </w:rPr>
        <w:t>para</w:t>
      </w:r>
      <w:r w:rsidRPr="00DF4D11">
        <w:rPr>
          <w:rFonts w:ascii="Times New Roman" w:hAnsi="Times New Roman" w:cs="Times New Roman"/>
          <w:sz w:val="22"/>
          <w:szCs w:val="22"/>
        </w:rPr>
        <w:t xml:space="preserve"> a abertura dos envelopes</w:t>
      </w:r>
      <w:r w:rsidR="00E810E8">
        <w:rPr>
          <w:rFonts w:ascii="Times New Roman" w:hAnsi="Times New Roman" w:cs="Times New Roman"/>
          <w:sz w:val="22"/>
          <w:szCs w:val="22"/>
        </w:rPr>
        <w:t>,</w:t>
      </w:r>
      <w:r w:rsidRPr="00DF4D11">
        <w:rPr>
          <w:rFonts w:ascii="Times New Roman" w:hAnsi="Times New Roman" w:cs="Times New Roman"/>
          <w:sz w:val="22"/>
          <w:szCs w:val="22"/>
        </w:rPr>
        <w:t xml:space="preserve"> contendo as propostas dos licitantes”. (</w:t>
      </w:r>
      <w:r w:rsidR="00E810E8">
        <w:rPr>
          <w:rFonts w:ascii="Times New Roman" w:hAnsi="Times New Roman" w:cs="Times New Roman"/>
          <w:sz w:val="22"/>
          <w:szCs w:val="22"/>
        </w:rPr>
        <w:t xml:space="preserve">M. ALEXANDRINO &amp; VICENTE PAULO, </w:t>
      </w:r>
      <w:r w:rsidR="00EC5835">
        <w:rPr>
          <w:rFonts w:ascii="Times New Roman" w:hAnsi="Times New Roman" w:cs="Times New Roman"/>
          <w:sz w:val="22"/>
          <w:szCs w:val="22"/>
        </w:rPr>
        <w:t>2009.</w:t>
      </w:r>
      <w:r w:rsidR="00E810E8">
        <w:rPr>
          <w:rFonts w:ascii="Times New Roman" w:hAnsi="Times New Roman" w:cs="Times New Roman"/>
          <w:sz w:val="22"/>
          <w:szCs w:val="22"/>
        </w:rPr>
        <w:t>596</w:t>
      </w:r>
      <w:r w:rsidR="00366098">
        <w:rPr>
          <w:rFonts w:ascii="Times New Roman" w:hAnsi="Times New Roman" w:cs="Times New Roman"/>
          <w:sz w:val="22"/>
          <w:szCs w:val="22"/>
        </w:rPr>
        <w:t xml:space="preserve"> P</w:t>
      </w:r>
      <w:r w:rsidRPr="00DF4D11">
        <w:rPr>
          <w:rFonts w:ascii="Times New Roman" w:hAnsi="Times New Roman" w:cs="Times New Roman"/>
          <w:sz w:val="22"/>
          <w:szCs w:val="22"/>
        </w:rPr>
        <w:t>)</w:t>
      </w:r>
    </w:p>
    <w:p w:rsidR="00FF01A2" w:rsidRDefault="00DF4D11" w:rsidP="00FF01A2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Logo, a modalidade tomada de preços fica situada </w:t>
      </w:r>
      <w:r w:rsidR="001C71C3">
        <w:rPr>
          <w:rFonts w:ascii="Times New Roman" w:hAnsi="Times New Roman" w:cs="Times New Roman"/>
          <w:sz w:val="24"/>
          <w:szCs w:val="24"/>
        </w:rPr>
        <w:t>intermediaria mente</w:t>
      </w:r>
      <w:r>
        <w:rPr>
          <w:rFonts w:ascii="Times New Roman" w:hAnsi="Times New Roman" w:cs="Times New Roman"/>
          <w:sz w:val="24"/>
          <w:szCs w:val="24"/>
        </w:rPr>
        <w:t xml:space="preserve"> entre a concorrência e o convite, este último, que seria a modalidade de licitação empregue nas contratações de menor valor.</w:t>
      </w:r>
      <w:r w:rsidR="00FF01A2">
        <w:rPr>
          <w:rFonts w:ascii="Times New Roman" w:hAnsi="Times New Roman" w:cs="Times New Roman"/>
          <w:sz w:val="24"/>
          <w:szCs w:val="24"/>
        </w:rPr>
        <w:t xml:space="preserve"> É colocado pela lei 8.666/1993, em seu art. 22, § 3º, como:</w:t>
      </w:r>
    </w:p>
    <w:p w:rsidR="00FF01A2" w:rsidRDefault="00FF01A2" w:rsidP="00FF01A2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2"/>
          <w:szCs w:val="22"/>
        </w:rPr>
      </w:pPr>
      <w:r w:rsidRPr="00FF01A2">
        <w:rPr>
          <w:rFonts w:ascii="Times New Roman" w:hAnsi="Times New Roman" w:cs="Times New Roman"/>
          <w:sz w:val="22"/>
          <w:szCs w:val="22"/>
        </w:rPr>
        <w:t xml:space="preserve"> “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FF01A2">
        <w:rPr>
          <w:rFonts w:ascii="Times New Roman" w:hAnsi="Times New Roman" w:cs="Times New Roman"/>
          <w:sz w:val="22"/>
          <w:szCs w:val="22"/>
        </w:rPr>
        <w:t>odalidade de licitação entre interessados do ramo pertinente ao seu objeto, cadastrados ou não, escolhidos e convidados em número mínimo de 3 (três) pela unidade administrativa, a qual afixará, em local apropriado, cópia do instrumento convocatório e o estenderá aos demais cadastrados na correspondente especialidade que manifestarem seu interesse com antecedência de até 24 (vinte e quatro) horas da apresentação das propostas</w:t>
      </w:r>
      <w:r>
        <w:rPr>
          <w:rFonts w:ascii="Times New Roman" w:hAnsi="Times New Roman" w:cs="Times New Roman"/>
          <w:sz w:val="22"/>
          <w:szCs w:val="22"/>
        </w:rPr>
        <w:t>”.</w:t>
      </w:r>
    </w:p>
    <w:p w:rsidR="00FF01A2" w:rsidRPr="00931B1C" w:rsidRDefault="00FF01A2" w:rsidP="00B7386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B1C">
        <w:rPr>
          <w:rFonts w:ascii="Times New Roman" w:hAnsi="Times New Roman" w:cs="Times New Roman"/>
          <w:sz w:val="24"/>
          <w:szCs w:val="24"/>
        </w:rPr>
        <w:t>Nessa modalidade não há edital, o instrumento convocatório é denominado carta-convite. A Lei estipula que a administração deverá enviar a carta-convite aos convidados e afixá-la no átrio da repartição, em local visível ao público, isso em decorrência do princípio da publicidade.</w:t>
      </w:r>
    </w:p>
    <w:p w:rsidR="00137972" w:rsidRDefault="00FF22E7" w:rsidP="00FF01A2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Passando agora então para os meios licitatórios utilizados em razão do objeto, e para iniciar</w:t>
      </w:r>
      <w:r w:rsidR="00137972">
        <w:rPr>
          <w:rFonts w:ascii="Times New Roman" w:hAnsi="Times New Roman" w:cs="Times New Roman"/>
          <w:sz w:val="24"/>
          <w:szCs w:val="24"/>
        </w:rPr>
        <w:t xml:space="preserve"> o assunto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37972">
        <w:rPr>
          <w:rFonts w:ascii="Times New Roman" w:hAnsi="Times New Roman" w:cs="Times New Roman"/>
          <w:sz w:val="24"/>
          <w:szCs w:val="24"/>
        </w:rPr>
        <w:t>segundo as palavras de</w:t>
      </w:r>
      <w:r w:rsidR="000F320F">
        <w:rPr>
          <w:rFonts w:ascii="Times New Roman" w:hAnsi="Times New Roman" w:cs="Times New Roman"/>
          <w:sz w:val="24"/>
          <w:szCs w:val="24"/>
        </w:rPr>
        <w:t xml:space="preserve"> Marcelo Alexandr</w:t>
      </w:r>
      <w:r w:rsidR="00366098">
        <w:rPr>
          <w:rFonts w:ascii="Times New Roman" w:hAnsi="Times New Roman" w:cs="Times New Roman"/>
          <w:sz w:val="24"/>
          <w:szCs w:val="24"/>
        </w:rPr>
        <w:t>ino e Vicente Paulo</w:t>
      </w:r>
      <w:r w:rsidR="001379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01A2" w:rsidRPr="00137972" w:rsidRDefault="00137972" w:rsidP="00137972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2"/>
          <w:szCs w:val="22"/>
        </w:rPr>
      </w:pPr>
      <w:r w:rsidRPr="00137972">
        <w:rPr>
          <w:rFonts w:ascii="Times New Roman" w:hAnsi="Times New Roman" w:cs="Times New Roman"/>
          <w:sz w:val="22"/>
          <w:szCs w:val="22"/>
        </w:rPr>
        <w:t>“O concurso demonstra o interesse da Administração Pública em selecionar trabalhos técnicos, científicos ou artísticos com certas capacidades personalíssimas para incentivar o desenvolvimento cultural. Nesta modalidade, há instituição de prêmios ou remuneração aos vencedores. É também utilizada para contratação de serviços técnicos profissionais especializados”. (</w:t>
      </w:r>
      <w:r w:rsidR="000F320F">
        <w:rPr>
          <w:rFonts w:ascii="Times New Roman" w:hAnsi="Times New Roman" w:cs="Times New Roman"/>
          <w:sz w:val="22"/>
          <w:szCs w:val="22"/>
        </w:rPr>
        <w:t>MARCELO ALEX</w:t>
      </w:r>
      <w:r w:rsidR="00366098">
        <w:rPr>
          <w:rFonts w:ascii="Times New Roman" w:hAnsi="Times New Roman" w:cs="Times New Roman"/>
          <w:sz w:val="22"/>
          <w:szCs w:val="22"/>
        </w:rPr>
        <w:t>ANDRINE &amp; VICENTE PAULO, 2009.</w:t>
      </w:r>
      <w:r w:rsidR="000F320F">
        <w:rPr>
          <w:rFonts w:ascii="Times New Roman" w:hAnsi="Times New Roman" w:cs="Times New Roman"/>
          <w:sz w:val="22"/>
          <w:szCs w:val="22"/>
        </w:rPr>
        <w:t>598</w:t>
      </w:r>
      <w:r w:rsidR="00366098">
        <w:rPr>
          <w:rFonts w:ascii="Times New Roman" w:hAnsi="Times New Roman" w:cs="Times New Roman"/>
          <w:sz w:val="22"/>
          <w:szCs w:val="22"/>
        </w:rPr>
        <w:t xml:space="preserve"> P</w:t>
      </w:r>
      <w:r w:rsidRPr="00137972">
        <w:rPr>
          <w:rFonts w:ascii="Times New Roman" w:hAnsi="Times New Roman" w:cs="Times New Roman"/>
          <w:sz w:val="22"/>
          <w:szCs w:val="22"/>
        </w:rPr>
        <w:t>)</w:t>
      </w:r>
    </w:p>
    <w:p w:rsidR="009A18B7" w:rsidRDefault="00137972" w:rsidP="00B7386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Esse concurso difere daquele normalmente feito pela administração pública para a contratação de servidores, o chamado concurso público, o presente instituto é utilizado apenas nessa categoria de licitação. </w:t>
      </w:r>
      <w:r w:rsidR="009A18B7">
        <w:rPr>
          <w:rFonts w:ascii="Times New Roman" w:hAnsi="Times New Roman" w:cs="Times New Roman"/>
          <w:sz w:val="24"/>
          <w:szCs w:val="24"/>
        </w:rPr>
        <w:t xml:space="preserve">Ele vem com a finalidade de se selecionar o candidato mais apto à realização daquele serviço, por se tratar de trabalhos específicos e muitas vezes até personalíssimos. </w:t>
      </w:r>
    </w:p>
    <w:p w:rsidR="00137972" w:rsidRDefault="00137972" w:rsidP="00137972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972">
        <w:rPr>
          <w:rFonts w:ascii="Times New Roman" w:hAnsi="Times New Roman" w:cs="Times New Roman"/>
          <w:sz w:val="24"/>
          <w:szCs w:val="24"/>
        </w:rPr>
        <w:t>O Leilão é mais uma espécie licitatória</w:t>
      </w:r>
      <w:r w:rsidR="00640209">
        <w:rPr>
          <w:rFonts w:ascii="Times New Roman" w:hAnsi="Times New Roman" w:cs="Times New Roman"/>
          <w:sz w:val="24"/>
          <w:szCs w:val="24"/>
        </w:rPr>
        <w:t>,</w:t>
      </w:r>
      <w:r w:rsidRPr="00137972">
        <w:rPr>
          <w:rFonts w:ascii="Times New Roman" w:hAnsi="Times New Roman" w:cs="Times New Roman"/>
          <w:sz w:val="24"/>
          <w:szCs w:val="24"/>
        </w:rPr>
        <w:t xml:space="preserve"> e de acordo com o autor </w:t>
      </w:r>
      <w:r>
        <w:rPr>
          <w:rFonts w:ascii="Times New Roman" w:hAnsi="Times New Roman" w:cs="Times New Roman"/>
          <w:sz w:val="24"/>
          <w:szCs w:val="24"/>
        </w:rPr>
        <w:t>Marçal Justen Filho</w:t>
      </w:r>
      <w:r w:rsidR="00640209">
        <w:rPr>
          <w:rFonts w:ascii="Times New Roman" w:hAnsi="Times New Roman" w:cs="Times New Roman"/>
          <w:sz w:val="24"/>
          <w:szCs w:val="24"/>
        </w:rPr>
        <w:t>,</w:t>
      </w:r>
      <w:r w:rsidRPr="00137972">
        <w:rPr>
          <w:rFonts w:ascii="Times New Roman" w:hAnsi="Times New Roman" w:cs="Times New Roman"/>
          <w:sz w:val="24"/>
          <w:szCs w:val="24"/>
        </w:rPr>
        <w:t xml:space="preserve"> "se peculiariza pela concentração, em uma única oportunidade, de diversos atos destinados à sele</w:t>
      </w:r>
      <w:r w:rsidR="00640209">
        <w:rPr>
          <w:rFonts w:ascii="Times New Roman" w:hAnsi="Times New Roman" w:cs="Times New Roman"/>
          <w:sz w:val="24"/>
          <w:szCs w:val="24"/>
        </w:rPr>
        <w:t xml:space="preserve">ção da proposta mais vantajosa". Ainda, usando o pensamento do doutrinador Matheus Carvalho para complementar esse conceito, tem-se que: </w:t>
      </w:r>
    </w:p>
    <w:p w:rsidR="00640209" w:rsidRDefault="00640209" w:rsidP="00640209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2"/>
          <w:szCs w:val="22"/>
        </w:rPr>
      </w:pPr>
      <w:r w:rsidRPr="00640209">
        <w:rPr>
          <w:rFonts w:ascii="Times New Roman" w:hAnsi="Times New Roman" w:cs="Times New Roman"/>
          <w:sz w:val="22"/>
          <w:szCs w:val="22"/>
        </w:rPr>
        <w:t>“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640209">
        <w:rPr>
          <w:rFonts w:ascii="Times New Roman" w:hAnsi="Times New Roman" w:cs="Times New Roman"/>
          <w:sz w:val="22"/>
          <w:szCs w:val="22"/>
        </w:rPr>
        <w:t xml:space="preserve"> leilão tem seu diferencial no fato de haver possibilidade de multiplicação de propostas por parte de um mesmo interessado. É um procedimento apropriado para a alienação de bens pelo maior preço. Por esse motivo se torna desnecessária uma fase de habilitação destinada à investigação de peculiaridades do interessado. Esta modalidade licitatória serve para alienação de bens pelo poder público àquele que ofertar o maior preço, seja ele igual ou superior ao valor da avaliação”. (MATHEUS CARVALHO,2017</w:t>
      </w:r>
      <w:r w:rsidR="00366098">
        <w:rPr>
          <w:rFonts w:ascii="Times New Roman" w:hAnsi="Times New Roman" w:cs="Times New Roman"/>
          <w:sz w:val="22"/>
          <w:szCs w:val="22"/>
        </w:rPr>
        <w:t>.462 P</w:t>
      </w:r>
      <w:r w:rsidRPr="00640209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CD653B" w:rsidRDefault="00640209" w:rsidP="00B7386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a modalidade pregão, que aqui vai tomar um rumo mais específico. Inicialmente, cabe mencionar que o pregão é regulamentado por lei própria, a Lei nº 10.520 de 17 de julho de 2002, </w:t>
      </w:r>
      <w:r w:rsidR="006C4971">
        <w:rPr>
          <w:rFonts w:ascii="Times New Roman" w:hAnsi="Times New Roman" w:cs="Times New Roman"/>
          <w:sz w:val="24"/>
          <w:szCs w:val="24"/>
        </w:rPr>
        <w:t xml:space="preserve">a mesma </w:t>
      </w:r>
      <w:r>
        <w:rPr>
          <w:rFonts w:ascii="Times New Roman" w:hAnsi="Times New Roman" w:cs="Times New Roman"/>
          <w:sz w:val="24"/>
          <w:szCs w:val="24"/>
        </w:rPr>
        <w:t>surgiu a partir de uma medida provisória que buscou regulamentar essa especificidade</w:t>
      </w:r>
      <w:r w:rsidR="006C4971">
        <w:rPr>
          <w:rFonts w:ascii="Times New Roman" w:hAnsi="Times New Roman" w:cs="Times New Roman"/>
          <w:sz w:val="24"/>
          <w:szCs w:val="24"/>
        </w:rPr>
        <w:t xml:space="preserve">, a saber, MP 2.026/2000, durante o período vigente dessa MP, a mesma foi reeditada dezoito vezes e somente era aplicável no âmbito da União Federal, o que mudou após a publicação da lei específica que trata a respeito do tema. </w:t>
      </w:r>
      <w:r w:rsidR="00CD653B">
        <w:rPr>
          <w:rFonts w:ascii="Times New Roman" w:hAnsi="Times New Roman" w:cs="Times New Roman"/>
          <w:sz w:val="24"/>
          <w:szCs w:val="24"/>
        </w:rPr>
        <w:t xml:space="preserve">Além do mais, em âmbito federal, o pregão já foi normatizado pelo Decreto nº 3.555/2000, alterado posteriormente pelos Decretos 3.693/2000 e 3.784/2001. </w:t>
      </w:r>
    </w:p>
    <w:p w:rsidR="006C4971" w:rsidRDefault="006C4971" w:rsidP="006C4971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se tratando da sua conceituação, conforme explana</w:t>
      </w:r>
      <w:r w:rsidR="00366098">
        <w:rPr>
          <w:rFonts w:ascii="Times New Roman" w:hAnsi="Times New Roman" w:cs="Times New Roman"/>
          <w:sz w:val="24"/>
          <w:szCs w:val="24"/>
        </w:rPr>
        <w:t xml:space="preserve"> </w:t>
      </w:r>
      <w:r w:rsidR="004558A6" w:rsidRPr="00931B1C">
        <w:rPr>
          <w:rFonts w:ascii="Times New Roman" w:hAnsi="Times New Roman" w:cs="Times New Roman"/>
          <w:sz w:val="24"/>
          <w:szCs w:val="24"/>
        </w:rPr>
        <w:t>Marcelo Alexandrino e Vicente Paul</w:t>
      </w:r>
      <w:r w:rsidR="004558A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4971" w:rsidRDefault="00931B1C" w:rsidP="00931B1C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</w:rPr>
        <w:t xml:space="preserve">“O pregão é a modalidade de licitação passível de utilização, por todos os entes federados (União, estados, DF e municípios), para aquisição de bens e serviços comuns, qualquer que seja o valor estimado da contratação. A disputa entre os licitantes é feita por meio de propostas e lances em sessão pública. O fator que define a possibilidade de utilização da modalidade pregão é a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natureza do objeto da contratação – aquisição de bens e serviços comuns -, não o valor do contrato”. </w:t>
      </w:r>
      <w:r w:rsidR="009A18B7" w:rsidRPr="00DC3AF0">
        <w:rPr>
          <w:rFonts w:ascii="Times New Roman" w:hAnsi="Times New Roman" w:cs="Times New Roman"/>
          <w:sz w:val="22"/>
          <w:szCs w:val="22"/>
          <w:shd w:val="clear" w:color="auto" w:fill="FFFFFF"/>
        </w:rPr>
        <w:t>(M. ALEXANDRINO &amp; VICENTE</w:t>
      </w:r>
      <w:r w:rsidR="009A18B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P.</w:t>
      </w:r>
      <w:r w:rsidR="009A18B7" w:rsidRPr="00DC3AF0">
        <w:rPr>
          <w:rFonts w:ascii="Times New Roman" w:hAnsi="Times New Roman" w:cs="Times New Roman"/>
          <w:sz w:val="22"/>
          <w:szCs w:val="22"/>
          <w:shd w:val="clear" w:color="auto" w:fill="FFFFFF"/>
        </w:rPr>
        <w:t>, 2009</w:t>
      </w:r>
      <w:r w:rsidR="004558A6">
        <w:rPr>
          <w:rFonts w:ascii="Times New Roman" w:hAnsi="Times New Roman" w:cs="Times New Roman"/>
          <w:sz w:val="22"/>
          <w:szCs w:val="22"/>
          <w:shd w:val="clear" w:color="auto" w:fill="FFFFFF"/>
        </w:rPr>
        <w:t>.587 P</w:t>
      </w:r>
      <w:r w:rsidR="009A18B7" w:rsidRPr="00DC3AF0">
        <w:rPr>
          <w:rFonts w:ascii="Times New Roman" w:hAnsi="Times New Roman" w:cs="Times New Roman"/>
          <w:sz w:val="22"/>
          <w:szCs w:val="22"/>
          <w:shd w:val="clear" w:color="auto" w:fill="FFFFFF"/>
        </w:rPr>
        <w:t>).</w:t>
      </w:r>
    </w:p>
    <w:p w:rsidR="009A18B7" w:rsidRDefault="009A18B7" w:rsidP="00B7386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18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acordo com o elucidado no </w:t>
      </w:r>
      <w:r w:rsidR="00366098" w:rsidRPr="009A18B7">
        <w:rPr>
          <w:rFonts w:ascii="Times New Roman" w:hAnsi="Times New Roman" w:cs="Times New Roman"/>
          <w:sz w:val="24"/>
          <w:szCs w:val="24"/>
          <w:shd w:val="clear" w:color="auto" w:fill="FFFFFF"/>
        </w:rPr>
        <w:t>parágrafo</w:t>
      </w:r>
      <w:r w:rsidRPr="009A18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único do artigo 1º da Lei 10.520/2002</w:t>
      </w:r>
      <w:r w:rsidRPr="009A18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“c</w:t>
      </w:r>
      <w:r w:rsidRPr="009A18B7">
        <w:rPr>
          <w:rFonts w:ascii="Times New Roman" w:hAnsi="Times New Roman" w:cs="Times New Roman"/>
          <w:sz w:val="24"/>
          <w:szCs w:val="24"/>
          <w:shd w:val="clear" w:color="auto" w:fill="FFFFFF"/>
        </w:rPr>
        <w:t>onsideram-se bens e serviços comuns, para os fins e efeitos deste artigo, aqueles cujos padrões de desempenho e qualidade possam ser objetivamente definidos pelo edital, por meio de especificações usuais no mercado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Pr="009A18B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A18B7" w:rsidRDefault="009A18B7" w:rsidP="009A18B7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18B7">
        <w:rPr>
          <w:rFonts w:ascii="Times New Roman" w:hAnsi="Times New Roman" w:cs="Times New Roman"/>
          <w:sz w:val="24"/>
          <w:szCs w:val="24"/>
        </w:rPr>
        <w:t xml:space="preserve">O Pregão </w:t>
      </w:r>
      <w:r>
        <w:rPr>
          <w:rFonts w:ascii="Times New Roman" w:hAnsi="Times New Roman" w:cs="Times New Roman"/>
          <w:sz w:val="24"/>
          <w:szCs w:val="24"/>
        </w:rPr>
        <w:t>vem com o intuito de</w:t>
      </w:r>
      <w:r w:rsidRPr="009A18B7">
        <w:rPr>
          <w:rFonts w:ascii="Times New Roman" w:hAnsi="Times New Roman" w:cs="Times New Roman"/>
          <w:sz w:val="24"/>
          <w:szCs w:val="24"/>
        </w:rPr>
        <w:t xml:space="preserve"> aperfeiçoar o regime de licitações</w:t>
      </w:r>
      <w:r>
        <w:rPr>
          <w:rFonts w:ascii="Times New Roman" w:hAnsi="Times New Roman" w:cs="Times New Roman"/>
          <w:sz w:val="24"/>
          <w:szCs w:val="24"/>
        </w:rPr>
        <w:t>, no que tange à c</w:t>
      </w:r>
      <w:r w:rsidRPr="009A18B7">
        <w:rPr>
          <w:rFonts w:ascii="Times New Roman" w:hAnsi="Times New Roman" w:cs="Times New Roman"/>
          <w:sz w:val="24"/>
          <w:szCs w:val="24"/>
        </w:rPr>
        <w:t>ompetitividade e a</w:t>
      </w:r>
      <w:r w:rsidR="00057E9C">
        <w:rPr>
          <w:rFonts w:ascii="Times New Roman" w:hAnsi="Times New Roman" w:cs="Times New Roman"/>
          <w:sz w:val="24"/>
          <w:szCs w:val="24"/>
        </w:rPr>
        <w:t xml:space="preserve"> chance de participar do procedimento, diminuindo a burocratização do processo, acelerando e buscando o melhor valor para o estado</w:t>
      </w:r>
      <w:r w:rsidRPr="009A18B7">
        <w:rPr>
          <w:rFonts w:ascii="Times New Roman" w:hAnsi="Times New Roman" w:cs="Times New Roman"/>
          <w:sz w:val="24"/>
          <w:szCs w:val="24"/>
        </w:rPr>
        <w:t xml:space="preserve">. Desta forma, </w:t>
      </w:r>
      <w:r w:rsidR="00057E9C">
        <w:rPr>
          <w:rFonts w:ascii="Times New Roman" w:hAnsi="Times New Roman" w:cs="Times New Roman"/>
          <w:sz w:val="24"/>
          <w:szCs w:val="24"/>
        </w:rPr>
        <w:t>conforme Matheus Carvalho, “</w:t>
      </w:r>
      <w:r w:rsidRPr="009A18B7">
        <w:rPr>
          <w:rFonts w:ascii="Times New Roman" w:hAnsi="Times New Roman" w:cs="Times New Roman"/>
          <w:sz w:val="24"/>
          <w:szCs w:val="24"/>
        </w:rPr>
        <w:t>o pregão, ao mesmo tempo, garante maior agilidade nas contratações públicas e contribui para a redução de gastos</w:t>
      </w:r>
      <w:r w:rsidR="00057E9C">
        <w:rPr>
          <w:rFonts w:ascii="Times New Roman" w:hAnsi="Times New Roman" w:cs="Times New Roman"/>
          <w:sz w:val="24"/>
          <w:szCs w:val="24"/>
        </w:rPr>
        <w:t>”</w:t>
      </w:r>
      <w:r w:rsidRPr="009A18B7">
        <w:rPr>
          <w:rFonts w:ascii="Times New Roman" w:hAnsi="Times New Roman" w:cs="Times New Roman"/>
          <w:sz w:val="24"/>
          <w:szCs w:val="24"/>
        </w:rPr>
        <w:t>.</w:t>
      </w:r>
      <w:r w:rsidR="00057E9C">
        <w:rPr>
          <w:rFonts w:ascii="Times New Roman" w:hAnsi="Times New Roman" w:cs="Times New Roman"/>
          <w:sz w:val="24"/>
          <w:szCs w:val="24"/>
        </w:rPr>
        <w:t xml:space="preserve"> Quanto ao critério do menor preço, que é o tipo adotado nessa modalidade, Marçal Justen Filho coloca:</w:t>
      </w:r>
    </w:p>
    <w:p w:rsidR="00057E9C" w:rsidRDefault="00057E9C" w:rsidP="00057E9C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“A</w:t>
      </w:r>
      <w:r w:rsidRPr="00057E9C">
        <w:rPr>
          <w:rFonts w:ascii="Times New Roman" w:hAnsi="Times New Roman" w:cs="Times New Roman"/>
          <w:sz w:val="22"/>
          <w:szCs w:val="22"/>
        </w:rPr>
        <w:t xml:space="preserve"> adoção do critério do menor preço não significa a irrelevância das características técnicas das propostas. Aplicam-se, nesse ponto, todas as ponderações classicamente desenvolvidas a propósito das licitações de menor preço, no âmbito da lei nº 8.666. 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057E9C">
        <w:rPr>
          <w:rFonts w:ascii="Times New Roman" w:hAnsi="Times New Roman" w:cs="Times New Roman"/>
          <w:sz w:val="22"/>
          <w:szCs w:val="22"/>
        </w:rPr>
        <w:t>sso significa que o pregão é necessariamente orientado a selecionar a melhor proposta, o que envolve uma avaliação da qualidade mínima do objeto. As licitações de menor preço não excluem exigências de qualidade mínima</w:t>
      </w:r>
      <w:r>
        <w:rPr>
          <w:rFonts w:ascii="Times New Roman" w:hAnsi="Times New Roman" w:cs="Times New Roman"/>
          <w:sz w:val="22"/>
          <w:szCs w:val="22"/>
        </w:rPr>
        <w:t>” (JUSTEN FILHO, M. 2013).</w:t>
      </w:r>
    </w:p>
    <w:p w:rsidR="00057E9C" w:rsidRPr="006E199C" w:rsidRDefault="00057E9C" w:rsidP="00B7386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99C">
        <w:rPr>
          <w:rFonts w:ascii="Times New Roman" w:hAnsi="Times New Roman" w:cs="Times New Roman"/>
          <w:sz w:val="24"/>
          <w:szCs w:val="24"/>
        </w:rPr>
        <w:t>Nesse instituto, não é previsto a possibilidade do tipo melhor técnica</w:t>
      </w:r>
      <w:r w:rsidR="00366098" w:rsidRPr="006E199C">
        <w:rPr>
          <w:rFonts w:ascii="Times New Roman" w:hAnsi="Times New Roman" w:cs="Times New Roman"/>
          <w:sz w:val="24"/>
          <w:szCs w:val="24"/>
        </w:rPr>
        <w:t>, ou melhor,</w:t>
      </w:r>
      <w:r w:rsidRPr="006E199C">
        <w:rPr>
          <w:rFonts w:ascii="Times New Roman" w:hAnsi="Times New Roman" w:cs="Times New Roman"/>
          <w:sz w:val="24"/>
          <w:szCs w:val="24"/>
        </w:rPr>
        <w:t xml:space="preserve"> técnica e preço, devido ao seu caráter essencialmente célere,</w:t>
      </w:r>
      <w:r w:rsidR="006E199C" w:rsidRPr="006E199C">
        <w:rPr>
          <w:rFonts w:ascii="Times New Roman" w:hAnsi="Times New Roman" w:cs="Times New Roman"/>
          <w:sz w:val="24"/>
          <w:szCs w:val="24"/>
        </w:rPr>
        <w:t xml:space="preserve"> e justamente por isso não haveria tempo necessário para a avaliação de certos </w:t>
      </w:r>
      <w:r w:rsidR="001C71C3" w:rsidRPr="006E199C">
        <w:rPr>
          <w:rFonts w:ascii="Times New Roman" w:hAnsi="Times New Roman" w:cs="Times New Roman"/>
          <w:sz w:val="24"/>
          <w:szCs w:val="24"/>
        </w:rPr>
        <w:t>critérios, o</w:t>
      </w:r>
      <w:r w:rsidRPr="006E199C">
        <w:rPr>
          <w:rFonts w:ascii="Times New Roman" w:hAnsi="Times New Roman" w:cs="Times New Roman"/>
          <w:sz w:val="24"/>
          <w:szCs w:val="24"/>
        </w:rPr>
        <w:t xml:space="preserve"> que não significa uma escolha aleatória, pois </w:t>
      </w:r>
      <w:r w:rsidR="006E199C" w:rsidRPr="006E199C">
        <w:rPr>
          <w:rFonts w:ascii="Times New Roman" w:hAnsi="Times New Roman" w:cs="Times New Roman"/>
          <w:sz w:val="24"/>
          <w:szCs w:val="24"/>
        </w:rPr>
        <w:t>é sempre crucial que o E</w:t>
      </w:r>
      <w:r w:rsidRPr="006E199C">
        <w:rPr>
          <w:rFonts w:ascii="Times New Roman" w:hAnsi="Times New Roman" w:cs="Times New Roman"/>
          <w:sz w:val="24"/>
          <w:szCs w:val="24"/>
        </w:rPr>
        <w:t xml:space="preserve">stado vise a realização do serviço de maneira eficaz </w:t>
      </w:r>
      <w:r w:rsidR="006E199C" w:rsidRPr="006E199C">
        <w:rPr>
          <w:rFonts w:ascii="Times New Roman" w:hAnsi="Times New Roman" w:cs="Times New Roman"/>
          <w:sz w:val="24"/>
          <w:szCs w:val="24"/>
        </w:rPr>
        <w:t>e benéfica para a sociedade.</w:t>
      </w:r>
    </w:p>
    <w:p w:rsidR="006E199C" w:rsidRDefault="006E199C" w:rsidP="00B7386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99C">
        <w:rPr>
          <w:rFonts w:ascii="Times New Roman" w:hAnsi="Times New Roman" w:cs="Times New Roman"/>
          <w:sz w:val="24"/>
          <w:szCs w:val="24"/>
        </w:rPr>
        <w:t xml:space="preserve">Logicamente, por se tratar de método do tipo menor preço, o pregão não é utilizado para execução de obras públicas, </w:t>
      </w:r>
      <w:r>
        <w:rPr>
          <w:rFonts w:ascii="Times New Roman" w:hAnsi="Times New Roman" w:cs="Times New Roman"/>
          <w:sz w:val="24"/>
          <w:szCs w:val="24"/>
        </w:rPr>
        <w:t xml:space="preserve">porém, cada vez mais é possível observar uma evolução nessa modalidade, a doutrina vem adotando nesse sentido, quaisquer bens e serviços como comuns, sendo possível inclusive </w:t>
      </w:r>
      <w:r w:rsidR="00CD653B">
        <w:rPr>
          <w:rFonts w:ascii="Times New Roman" w:hAnsi="Times New Roman" w:cs="Times New Roman"/>
          <w:sz w:val="24"/>
          <w:szCs w:val="24"/>
        </w:rPr>
        <w:t>a aceitação de serviços de engenharia</w:t>
      </w:r>
      <w:r w:rsidR="00E76BBB">
        <w:rPr>
          <w:rFonts w:ascii="Times New Roman" w:hAnsi="Times New Roman" w:cs="Times New Roman"/>
          <w:sz w:val="24"/>
          <w:szCs w:val="24"/>
        </w:rPr>
        <w:t>.</w:t>
      </w:r>
    </w:p>
    <w:p w:rsidR="00291B90" w:rsidRDefault="00E76BBB" w:rsidP="00B7386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possível também o pregão por meio eletrônico. Com o advento da globalização e as várias facilidades propiciadas pela internet, é sabido que por favorecer o procedimento, o pregão </w:t>
      </w:r>
      <w:r>
        <w:rPr>
          <w:rFonts w:ascii="Times New Roman" w:hAnsi="Times New Roman" w:cs="Times New Roman"/>
          <w:sz w:val="24"/>
          <w:szCs w:val="24"/>
        </w:rPr>
        <w:lastRenderedPageBreak/>
        <w:t>pode ser empregado via web, inclusive beneficiando os participantes, por abrir espaço para um maior número de inscritos, assim como melhorando no ace</w:t>
      </w:r>
      <w:r w:rsidRPr="00291B90">
        <w:rPr>
          <w:rFonts w:ascii="Times New Roman" w:hAnsi="Times New Roman" w:cs="Times New Roman"/>
          <w:sz w:val="24"/>
          <w:szCs w:val="24"/>
        </w:rPr>
        <w:t>sso à informação. É regulamentado pelo Decreto 5.450/2005</w:t>
      </w:r>
      <w:r w:rsidR="00291B90" w:rsidRPr="00291B90">
        <w:rPr>
          <w:rFonts w:ascii="Times New Roman" w:hAnsi="Times New Roman" w:cs="Times New Roman"/>
          <w:sz w:val="24"/>
          <w:szCs w:val="24"/>
        </w:rPr>
        <w:t xml:space="preserve"> e em seu artigo 2º traz que: “O pregão, na forma eletrônica, como modalidade de licitação do tipo menor preço, realizar-se-á quando a disputa pelo fornecimento de bens ou serviços comuns for feita à distância em sessão pública, por meio de sistema que promova a comunicação pela internet</w:t>
      </w:r>
      <w:r w:rsidR="00291B90">
        <w:rPr>
          <w:rFonts w:ascii="Times New Roman" w:hAnsi="Times New Roman" w:cs="Times New Roman"/>
          <w:sz w:val="24"/>
          <w:szCs w:val="24"/>
        </w:rPr>
        <w:t>”</w:t>
      </w:r>
      <w:r w:rsidR="00291B90" w:rsidRPr="00291B90">
        <w:rPr>
          <w:rFonts w:ascii="Times New Roman" w:hAnsi="Times New Roman" w:cs="Times New Roman"/>
          <w:sz w:val="24"/>
          <w:szCs w:val="24"/>
        </w:rPr>
        <w:t>.</w:t>
      </w:r>
    </w:p>
    <w:p w:rsidR="00E76BBB" w:rsidRDefault="00291B90" w:rsidP="00B7386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Marçal Justen Filho diferencia as duas formas de utilização do pregão, segundo ele, o pregão </w:t>
      </w:r>
      <w:r w:rsidRPr="00291B90">
        <w:rPr>
          <w:rFonts w:ascii="Times New Roman" w:hAnsi="Times New Roman" w:cs="Times New Roman"/>
          <w:sz w:val="24"/>
          <w:szCs w:val="24"/>
        </w:rPr>
        <w:t xml:space="preserve">comum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291B90">
        <w:rPr>
          <w:rFonts w:ascii="Times New Roman" w:hAnsi="Times New Roman" w:cs="Times New Roman"/>
          <w:sz w:val="24"/>
          <w:szCs w:val="24"/>
        </w:rPr>
        <w:t>se desenvolve segundo a tradição básica das licitações, no sentido de que os licitantes interessados devem comparecer pessoalmente ou por representante no local e hora designados e apresentar ao pregoeiro envelopes lacrados com as suas propostas e os documentos necessários para habilitação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91B90">
        <w:rPr>
          <w:rFonts w:ascii="Times New Roman" w:hAnsi="Times New Roman" w:cs="Times New Roman"/>
          <w:sz w:val="24"/>
          <w:szCs w:val="24"/>
        </w:rPr>
        <w:t>.</w:t>
      </w:r>
    </w:p>
    <w:p w:rsidR="00291B90" w:rsidRDefault="00291B90" w:rsidP="00B7386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1B90">
        <w:rPr>
          <w:rFonts w:ascii="Times New Roman" w:hAnsi="Times New Roman" w:cs="Times New Roman"/>
          <w:sz w:val="24"/>
          <w:szCs w:val="24"/>
        </w:rPr>
        <w:t xml:space="preserve">Enquanto que </w:t>
      </w:r>
      <w:r>
        <w:rPr>
          <w:rFonts w:ascii="Times New Roman" w:hAnsi="Times New Roman" w:cs="Times New Roman"/>
          <w:sz w:val="24"/>
          <w:szCs w:val="24"/>
        </w:rPr>
        <w:t>“n</w:t>
      </w:r>
      <w:r w:rsidRPr="00291B90">
        <w:rPr>
          <w:rFonts w:ascii="Times New Roman" w:hAnsi="Times New Roman" w:cs="Times New Roman"/>
          <w:sz w:val="24"/>
          <w:szCs w:val="24"/>
        </w:rPr>
        <w:t>o pregão eletrônico não existe comparecimento físico do interessado à repartição que promove a licitação, nem há encaminhamento de documentos, tudo se passa virtualmente. A participação do interessado depende de credenciamento, exigindo apenas o cadastramento perante algum órgão público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967DF7" w:rsidRDefault="00967DF7" w:rsidP="00057E9C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</w:t>
      </w:r>
      <w:r w:rsidR="008C083F">
        <w:rPr>
          <w:rFonts w:ascii="Times New Roman" w:hAnsi="Times New Roman" w:cs="Times New Roman"/>
          <w:sz w:val="24"/>
          <w:szCs w:val="24"/>
        </w:rPr>
        <w:t xml:space="preserve">Sylvia </w:t>
      </w:r>
      <w:r>
        <w:rPr>
          <w:rFonts w:ascii="Times New Roman" w:hAnsi="Times New Roman" w:cs="Times New Roman"/>
          <w:sz w:val="24"/>
          <w:szCs w:val="24"/>
        </w:rPr>
        <w:t>Zanella Di Pietro aborda essa diferenciação dentro do instituto,</w:t>
      </w:r>
      <w:r w:rsidR="008C083F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segundo ela: </w:t>
      </w:r>
    </w:p>
    <w:p w:rsidR="00967DF7" w:rsidRPr="00967DF7" w:rsidRDefault="00967DF7" w:rsidP="00967DF7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2"/>
          <w:szCs w:val="22"/>
        </w:rPr>
      </w:pPr>
      <w:r w:rsidRPr="00967DF7">
        <w:rPr>
          <w:rFonts w:ascii="Times New Roman" w:hAnsi="Times New Roman" w:cs="Times New Roman"/>
          <w:sz w:val="22"/>
          <w:szCs w:val="22"/>
        </w:rPr>
        <w:t>“A principal diferença existente em relação à sistemática do pregão presencial se refere à participação dos</w:t>
      </w:r>
      <w:r>
        <w:rPr>
          <w:rFonts w:ascii="Times New Roman" w:hAnsi="Times New Roman" w:cs="Times New Roman"/>
          <w:sz w:val="22"/>
          <w:szCs w:val="22"/>
        </w:rPr>
        <w:t xml:space="preserve"> licitantes na fase de lances. N</w:t>
      </w:r>
      <w:r w:rsidRPr="00967DF7">
        <w:rPr>
          <w:rFonts w:ascii="Times New Roman" w:hAnsi="Times New Roman" w:cs="Times New Roman"/>
          <w:sz w:val="22"/>
          <w:szCs w:val="22"/>
        </w:rPr>
        <w:t>o pregão eletrônico, todos os licitantes cujas propostas forem reputadas regulares poderão participar dos lances, não somente o melhor e os três com propostas até 10% superiores. Só não poderão participar da fase de lances as propostas que forem desclassificadas por não atenderem às exigências do edital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967DF7">
        <w:rPr>
          <w:rFonts w:ascii="Times New Roman" w:hAnsi="Times New Roman" w:cs="Times New Roman"/>
          <w:sz w:val="22"/>
          <w:szCs w:val="22"/>
        </w:rPr>
        <w:t xml:space="preserve"> (Di Pietro, 201</w:t>
      </w:r>
      <w:r w:rsidR="008C083F">
        <w:rPr>
          <w:rFonts w:ascii="Times New Roman" w:hAnsi="Times New Roman" w:cs="Times New Roman"/>
          <w:sz w:val="22"/>
          <w:szCs w:val="22"/>
        </w:rPr>
        <w:t>1</w:t>
      </w:r>
      <w:r w:rsidRPr="00967DF7">
        <w:rPr>
          <w:rFonts w:ascii="Times New Roman" w:hAnsi="Times New Roman" w:cs="Times New Roman"/>
          <w:sz w:val="22"/>
          <w:szCs w:val="22"/>
        </w:rPr>
        <w:t>).</w:t>
      </w:r>
    </w:p>
    <w:p w:rsidR="00D236A7" w:rsidRDefault="00E76BBB" w:rsidP="00057E9C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disso, trata-se de uma característica relevante da modalidade pregão a inversão das fases de competição e habilitação.</w:t>
      </w:r>
    </w:p>
    <w:p w:rsidR="00291B90" w:rsidRDefault="00D236A7" w:rsidP="00057E9C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modalidade concorrência, na fase externa do procedimento de licitação ocorre primeiramente a publicação do edital, após isso passa-se a fase de habilitação, logo após a classificação, assim, vai ocorrer a homologação e </w:t>
      </w:r>
      <w:r w:rsidR="001C71C3">
        <w:rPr>
          <w:rFonts w:ascii="Times New Roman" w:hAnsi="Times New Roman" w:cs="Times New Roman"/>
          <w:sz w:val="24"/>
          <w:szCs w:val="24"/>
        </w:rPr>
        <w:t>pôr</w:t>
      </w:r>
      <w:r>
        <w:rPr>
          <w:rFonts w:ascii="Times New Roman" w:hAnsi="Times New Roman" w:cs="Times New Roman"/>
          <w:sz w:val="24"/>
          <w:szCs w:val="24"/>
        </w:rPr>
        <w:t xml:space="preserve"> fim a adjudicação. No pregão existe uma pequena diferença, que existe para facilitar o processo de seleção nessa modalidade. </w:t>
      </w:r>
      <w:r w:rsidR="00291B90">
        <w:rPr>
          <w:rFonts w:ascii="Times New Roman" w:hAnsi="Times New Roman" w:cs="Times New Roman"/>
          <w:sz w:val="24"/>
          <w:szCs w:val="24"/>
        </w:rPr>
        <w:t>Sobre isso, Matheus Carvalho elucida:</w:t>
      </w:r>
    </w:p>
    <w:p w:rsidR="00E76BBB" w:rsidRPr="00291B90" w:rsidRDefault="00291B90" w:rsidP="00291B90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“</w:t>
      </w:r>
      <w:r w:rsidRPr="00291B90">
        <w:rPr>
          <w:rFonts w:ascii="Times New Roman" w:hAnsi="Times New Roman" w:cs="Times New Roman"/>
          <w:sz w:val="22"/>
          <w:szCs w:val="22"/>
        </w:rPr>
        <w:t xml:space="preserve">Assim como na concorrência, o pregão se inicia com a realização de uma fase interna, que segue os mesmos parâmetros utilizados na fase interna do procedimento da concorrência, ou seja, a definição do objeto a ser </w:t>
      </w:r>
      <w:r w:rsidR="00EC5835" w:rsidRPr="00291B90">
        <w:rPr>
          <w:rFonts w:ascii="Times New Roman" w:hAnsi="Times New Roman" w:cs="Times New Roman"/>
          <w:sz w:val="22"/>
          <w:szCs w:val="22"/>
        </w:rPr>
        <w:t>licitada, a justificativa da necessidade de realização da compra</w:t>
      </w:r>
      <w:r w:rsidRPr="00291B90">
        <w:rPr>
          <w:rFonts w:ascii="Times New Roman" w:hAnsi="Times New Roman" w:cs="Times New Roman"/>
          <w:sz w:val="22"/>
          <w:szCs w:val="22"/>
        </w:rPr>
        <w:t>, os critérios de aceitação das propostas e para habilitação dos licitantes, o orçamento detalhado do bem ou serviço a ser executado e a declaração de disponibilidade orçamentária para a contratação, a elaboração da minuta do edital e do contrato, bem como a autorização, mediante parecer, do órgão consultivo para o início da licitação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291B90">
        <w:rPr>
          <w:rFonts w:ascii="Times New Roman" w:hAnsi="Times New Roman" w:cs="Times New Roman"/>
          <w:sz w:val="22"/>
          <w:szCs w:val="22"/>
        </w:rPr>
        <w:t>.</w:t>
      </w:r>
      <w:r w:rsidR="008C6687">
        <w:rPr>
          <w:rFonts w:ascii="Times New Roman" w:hAnsi="Times New Roman" w:cs="Times New Roman"/>
          <w:sz w:val="22"/>
          <w:szCs w:val="22"/>
        </w:rPr>
        <w:t xml:space="preserve"> (CARVALHO, Matheus, 2017)</w:t>
      </w:r>
    </w:p>
    <w:p w:rsidR="006E199C" w:rsidRPr="00D55C68" w:rsidRDefault="00291B90" w:rsidP="00B7386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C68">
        <w:rPr>
          <w:rFonts w:ascii="Times New Roman" w:hAnsi="Times New Roman" w:cs="Times New Roman"/>
          <w:sz w:val="24"/>
          <w:szCs w:val="24"/>
        </w:rPr>
        <w:t xml:space="preserve">Após esse procedimento, </w:t>
      </w:r>
      <w:r w:rsidR="00967DF7" w:rsidRPr="00D55C68">
        <w:rPr>
          <w:rFonts w:ascii="Times New Roman" w:hAnsi="Times New Roman" w:cs="Times New Roman"/>
          <w:sz w:val="24"/>
          <w:szCs w:val="24"/>
        </w:rPr>
        <w:t>será publicado o instrumento convocatório e a fase externa se dará de forma invertida em comparação ao método utilizado na modalidade concorrência.</w:t>
      </w:r>
    </w:p>
    <w:p w:rsidR="00967DF7" w:rsidRPr="00D55C68" w:rsidRDefault="00967DF7" w:rsidP="00B7386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C68">
        <w:rPr>
          <w:rFonts w:ascii="Times New Roman" w:hAnsi="Times New Roman" w:cs="Times New Roman"/>
          <w:sz w:val="24"/>
          <w:szCs w:val="24"/>
        </w:rPr>
        <w:t xml:space="preserve">O processo se inicia a partir da publicação do edital, que será realizado em diário oficial e em jornal de grande circulação, aqui deve ser considerado o intervalo mínimo de 8 (oito) dias úteis entre a publicação do edital e o início da licitação. </w:t>
      </w:r>
    </w:p>
    <w:p w:rsidR="008C083F" w:rsidRPr="00D55C68" w:rsidRDefault="008C083F" w:rsidP="00B7386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C68">
        <w:rPr>
          <w:rFonts w:ascii="Times New Roman" w:hAnsi="Times New Roman" w:cs="Times New Roman"/>
          <w:sz w:val="24"/>
          <w:szCs w:val="24"/>
        </w:rPr>
        <w:t>Após a publicação do edital, segue a fase de classificação, onde são apresentadas as propostas e são selecionadas as melhores, que serão disputadas em sessão pública. Essa disputa se dará a partir de lances verbais pelos licitantes, e aqui, conforme as palavras de Matheus Carvalho, “o licitante que apresentou a melhor proposta (menor preço) e todas as outras propostas que não ultrapassarem 10% do valor da primeira. Independentemente disso, deve passar para os lances verbais a melhor proposta e mais 2 (duas), para completar o mínimo de 3 (três) licitantes”.</w:t>
      </w:r>
    </w:p>
    <w:p w:rsidR="00B7386D" w:rsidRPr="00D55C68" w:rsidRDefault="00B7386D" w:rsidP="002F692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C68">
        <w:rPr>
          <w:rFonts w:ascii="Times New Roman" w:hAnsi="Times New Roman" w:cs="Times New Roman"/>
          <w:sz w:val="24"/>
          <w:szCs w:val="24"/>
        </w:rPr>
        <w:t>Selecionadas as propostas, o pregoeiro vai analisar se a escolha atende aos requisitos do edital e decidirá em ato motivado se será aceitável ou nã</w:t>
      </w:r>
      <w:r w:rsidR="002F6927" w:rsidRPr="00D55C68">
        <w:rPr>
          <w:rFonts w:ascii="Times New Roman" w:hAnsi="Times New Roman" w:cs="Times New Roman"/>
          <w:sz w:val="24"/>
          <w:szCs w:val="24"/>
        </w:rPr>
        <w:t xml:space="preserve">o, caso a escolha seja procedente o licitante será o vencedor daquela licitação, não havendo procedência, serão convocados os demais licitantes para negociação do valor. </w:t>
      </w:r>
    </w:p>
    <w:p w:rsidR="00125991" w:rsidRPr="00D55C68" w:rsidRDefault="002F6927" w:rsidP="0012599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C68">
        <w:rPr>
          <w:rFonts w:ascii="Times New Roman" w:hAnsi="Times New Roman" w:cs="Times New Roman"/>
          <w:sz w:val="24"/>
          <w:szCs w:val="24"/>
        </w:rPr>
        <w:t xml:space="preserve">Após isso </w:t>
      </w:r>
      <w:r w:rsidR="00EC5835" w:rsidRPr="00D55C68">
        <w:rPr>
          <w:rFonts w:ascii="Times New Roman" w:hAnsi="Times New Roman" w:cs="Times New Roman"/>
          <w:sz w:val="24"/>
          <w:szCs w:val="24"/>
        </w:rPr>
        <w:t>se abrirá</w:t>
      </w:r>
      <w:r w:rsidRPr="00D55C68">
        <w:rPr>
          <w:rFonts w:ascii="Times New Roman" w:hAnsi="Times New Roman" w:cs="Times New Roman"/>
          <w:sz w:val="24"/>
          <w:szCs w:val="24"/>
        </w:rPr>
        <w:t xml:space="preserve"> os envelopes para análise dos documentos dos licitantes e requisitos expostos em lei. Observando a colocação de Matheus Carvalho: “ocorrendo a inabilitação do licitante que apresentou a melhor proposta, o pregoeiro passa a examinar a proposta do segundo colocado e assim sucessivamente, sempre sendo admitida a negociação do preço ofertado. Após a declaração oficial do vencedor da licitação, os licitantes podem manifestar o interesse em recorrer da decisão”</w:t>
      </w:r>
      <w:r w:rsidR="00125991" w:rsidRPr="00D55C68">
        <w:rPr>
          <w:rFonts w:ascii="Times New Roman" w:hAnsi="Times New Roman" w:cs="Times New Roman"/>
          <w:sz w:val="24"/>
          <w:szCs w:val="24"/>
        </w:rPr>
        <w:t xml:space="preserve">. </w:t>
      </w:r>
      <w:r w:rsidRPr="00D55C68">
        <w:rPr>
          <w:rFonts w:ascii="Times New Roman" w:hAnsi="Times New Roman" w:cs="Times New Roman"/>
          <w:sz w:val="24"/>
          <w:szCs w:val="24"/>
        </w:rPr>
        <w:t xml:space="preserve">Caso o licitante recorra, o prazo é de 03 (três) dias para a elaboração das suas razões. </w:t>
      </w:r>
    </w:p>
    <w:p w:rsidR="00DC3AF0" w:rsidRPr="00D55C68" w:rsidRDefault="002F6927" w:rsidP="0012599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C68">
        <w:rPr>
          <w:rFonts w:ascii="Times New Roman" w:hAnsi="Times New Roman" w:cs="Times New Roman"/>
          <w:sz w:val="24"/>
          <w:szCs w:val="24"/>
        </w:rPr>
        <w:lastRenderedPageBreak/>
        <w:t>Logo depois de decididos os recursos, se houver</w:t>
      </w:r>
      <w:r w:rsidR="00125991" w:rsidRPr="00D55C68">
        <w:rPr>
          <w:rFonts w:ascii="Times New Roman" w:hAnsi="Times New Roman" w:cs="Times New Roman"/>
          <w:sz w:val="24"/>
          <w:szCs w:val="24"/>
        </w:rPr>
        <w:t>em</w:t>
      </w:r>
      <w:r w:rsidRPr="00D55C68">
        <w:rPr>
          <w:rFonts w:ascii="Times New Roman" w:hAnsi="Times New Roman" w:cs="Times New Roman"/>
          <w:sz w:val="24"/>
          <w:szCs w:val="24"/>
        </w:rPr>
        <w:t xml:space="preserve">, </w:t>
      </w:r>
      <w:r w:rsidR="00183B9B" w:rsidRPr="00D55C68">
        <w:rPr>
          <w:rFonts w:ascii="Times New Roman" w:hAnsi="Times New Roman" w:cs="Times New Roman"/>
          <w:sz w:val="24"/>
          <w:szCs w:val="24"/>
        </w:rPr>
        <w:t>a autoridade competente realizará a adjudicação do objeto da licitação ao licitante vencedor</w:t>
      </w:r>
      <w:r w:rsidR="00125991" w:rsidRPr="00D55C68">
        <w:rPr>
          <w:rFonts w:ascii="Times New Roman" w:hAnsi="Times New Roman" w:cs="Times New Roman"/>
          <w:sz w:val="24"/>
          <w:szCs w:val="24"/>
        </w:rPr>
        <w:t xml:space="preserve">, aqui normalmente cabe ao pregoeiro efetuar a designação. </w:t>
      </w:r>
    </w:p>
    <w:p w:rsidR="00125991" w:rsidRPr="00D55C68" w:rsidRDefault="00125991" w:rsidP="00125991">
      <w:pPr>
        <w:spacing w:line="360" w:lineRule="auto"/>
        <w:ind w:firstLine="851"/>
        <w:jc w:val="both"/>
        <w:rPr>
          <w:sz w:val="24"/>
          <w:szCs w:val="24"/>
        </w:rPr>
      </w:pPr>
    </w:p>
    <w:p w:rsidR="00125991" w:rsidRPr="00D55C68" w:rsidRDefault="00192C6F" w:rsidP="00125991">
      <w:pPr>
        <w:spacing w:line="360" w:lineRule="auto"/>
        <w:ind w:left="1425" w:hanging="1425"/>
        <w:jc w:val="both"/>
        <w:rPr>
          <w:b/>
          <w:sz w:val="24"/>
          <w:szCs w:val="24"/>
          <w:highlight w:val="white"/>
        </w:rPr>
      </w:pPr>
      <w:r w:rsidRPr="00D55C68">
        <w:rPr>
          <w:b/>
          <w:sz w:val="24"/>
          <w:szCs w:val="24"/>
          <w:highlight w:val="white"/>
        </w:rPr>
        <w:t xml:space="preserve">CONSIDERAÇÕES FINAIS </w:t>
      </w:r>
    </w:p>
    <w:p w:rsidR="00125991" w:rsidRPr="00D55C68" w:rsidRDefault="00125991" w:rsidP="00125991">
      <w:pPr>
        <w:spacing w:line="360" w:lineRule="auto"/>
        <w:ind w:left="1425" w:hanging="1425"/>
        <w:jc w:val="both"/>
        <w:rPr>
          <w:b/>
          <w:sz w:val="24"/>
          <w:szCs w:val="24"/>
          <w:highlight w:val="white"/>
        </w:rPr>
      </w:pPr>
    </w:p>
    <w:p w:rsidR="00125991" w:rsidRPr="00D55C68" w:rsidRDefault="00125991" w:rsidP="0012599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C68">
        <w:rPr>
          <w:rFonts w:ascii="Times New Roman" w:hAnsi="Times New Roman" w:cs="Times New Roman"/>
          <w:sz w:val="24"/>
          <w:szCs w:val="24"/>
        </w:rPr>
        <w:t>O procedimento do pregão é tido como um dos mais utilizados no meio licitatório, se não o mais utilizado, principalmente pela sua caraterística célere.</w:t>
      </w:r>
    </w:p>
    <w:p w:rsidR="00125991" w:rsidRDefault="00125991" w:rsidP="0012599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C68">
        <w:rPr>
          <w:rFonts w:ascii="Times New Roman" w:hAnsi="Times New Roman" w:cs="Times New Roman"/>
          <w:sz w:val="24"/>
          <w:szCs w:val="24"/>
        </w:rPr>
        <w:t>A inversão das fases facilita o processo devido à sua economicidade. Aqui se procura realmente poupar o poder público de se demorar em uma situação, postergando-a</w:t>
      </w:r>
      <w:r w:rsidR="00D55C68">
        <w:rPr>
          <w:rFonts w:ascii="Times New Roman" w:hAnsi="Times New Roman" w:cs="Times New Roman"/>
          <w:sz w:val="24"/>
          <w:szCs w:val="24"/>
        </w:rPr>
        <w:t>, e assim, n</w:t>
      </w:r>
      <w:r w:rsidRPr="00D55C68">
        <w:rPr>
          <w:rFonts w:ascii="Times New Roman" w:hAnsi="Times New Roman" w:cs="Times New Roman"/>
          <w:sz w:val="24"/>
          <w:szCs w:val="24"/>
        </w:rPr>
        <w:t xml:space="preserve">o momento de abertura dos envelopes contendo a documentação do licitante, esse já estará no rol dos que podem ser </w:t>
      </w:r>
      <w:r w:rsidR="00D55C68" w:rsidRPr="00D55C68">
        <w:rPr>
          <w:rFonts w:ascii="Times New Roman" w:hAnsi="Times New Roman" w:cs="Times New Roman"/>
          <w:sz w:val="24"/>
          <w:szCs w:val="24"/>
        </w:rPr>
        <w:t>classificados</w:t>
      </w:r>
      <w:r w:rsidRPr="00D55C68">
        <w:rPr>
          <w:rFonts w:ascii="Times New Roman" w:hAnsi="Times New Roman" w:cs="Times New Roman"/>
          <w:sz w:val="24"/>
          <w:szCs w:val="24"/>
        </w:rPr>
        <w:t xml:space="preserve"> para </w:t>
      </w:r>
      <w:r w:rsidR="00D55C68" w:rsidRPr="00D55C68">
        <w:rPr>
          <w:rFonts w:ascii="Times New Roman" w:hAnsi="Times New Roman" w:cs="Times New Roman"/>
          <w:sz w:val="24"/>
          <w:szCs w:val="24"/>
        </w:rPr>
        <w:t>a execução da tarefa, o que diminui substancialmente no número de candidatos, que serão agora julgados pelas normas técnicas e requisitos postos no edital, para a correta avaliação da sua candidatura.</w:t>
      </w:r>
    </w:p>
    <w:p w:rsidR="00D55C68" w:rsidRDefault="00D55C68" w:rsidP="00D55C6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fim, se espera que as dúvidas em relação à Lei de licitações e suas modalidades tenham sido sanadas, principalmente no que tange ao pregão, de forma mais específica, isso por que o ponto crucial desse trabalho acadêmico estava justamente no esclarecimento a respeito do conteúdo explanado com vistas a auxiliar o acadêmico nos seus estudos e dúvidas pertinentes ao tema.</w:t>
      </w:r>
    </w:p>
    <w:p w:rsidR="00AF1827" w:rsidRDefault="00AF1827" w:rsidP="00D55C6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AF1827" w:rsidRDefault="00AF1827" w:rsidP="00D55C6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AF1827" w:rsidRDefault="00AF1827" w:rsidP="00D55C6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AF1827" w:rsidRDefault="00AF1827" w:rsidP="00D55C6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AF1827" w:rsidRDefault="00AF1827" w:rsidP="00D55C6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AF1827" w:rsidRDefault="00AF1827" w:rsidP="00D55C6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AF1827" w:rsidRDefault="00AF1827" w:rsidP="00D55C6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AF1827" w:rsidRDefault="00AF1827" w:rsidP="00D55C6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AF1827" w:rsidRDefault="00AF1827" w:rsidP="00D55C6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AF1827" w:rsidRDefault="00AF1827" w:rsidP="00D55C6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AF1827" w:rsidRDefault="00AF1827" w:rsidP="00D55C6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AF1827" w:rsidRDefault="00AF1827" w:rsidP="00D55C6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AC62C9" w:rsidRDefault="00AC62C9" w:rsidP="00664DF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CA728F" w:rsidRDefault="00192C6F" w:rsidP="00D55C6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D55C68">
        <w:rPr>
          <w:rFonts w:ascii="Times New Roman" w:hAnsi="Times New Roman" w:cs="Times New Roman"/>
          <w:b/>
          <w:sz w:val="24"/>
          <w:szCs w:val="24"/>
          <w:highlight w:val="white"/>
        </w:rPr>
        <w:lastRenderedPageBreak/>
        <w:t>REFERÊNCIAS BIBLIOGRÁFICAS</w:t>
      </w:r>
    </w:p>
    <w:p w:rsidR="008C6687" w:rsidRDefault="008C6687" w:rsidP="00D55C6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9746C4" w:rsidRDefault="008C6687" w:rsidP="008C6687">
      <w:pPr>
        <w:spacing w:after="240" w:line="360" w:lineRule="auto"/>
        <w:jc w:val="left"/>
        <w:rPr>
          <w:rFonts w:ascii="Times New Roman" w:hAnsi="Times New Roman" w:cs="Times New Roman"/>
          <w:sz w:val="24"/>
          <w:szCs w:val="24"/>
          <w:highlight w:val="white"/>
        </w:rPr>
      </w:pPr>
      <w:r w:rsidRPr="008C6687">
        <w:rPr>
          <w:rFonts w:ascii="Times New Roman" w:hAnsi="Times New Roman" w:cs="Times New Roman"/>
          <w:sz w:val="24"/>
          <w:szCs w:val="24"/>
          <w:highlight w:val="white"/>
        </w:rPr>
        <w:t xml:space="preserve">ALEXANDRINO, Marcelo &amp; PAULO, Vicente. </w:t>
      </w:r>
      <w:r w:rsidRPr="008C6687">
        <w:rPr>
          <w:rFonts w:ascii="Times New Roman" w:hAnsi="Times New Roman" w:cs="Times New Roman"/>
          <w:b/>
          <w:sz w:val="24"/>
          <w:szCs w:val="24"/>
          <w:highlight w:val="white"/>
        </w:rPr>
        <w:t>Direito Administrativo Descomplicado</w:t>
      </w:r>
      <w:r w:rsidRPr="008C6687">
        <w:rPr>
          <w:rFonts w:ascii="Times New Roman" w:hAnsi="Times New Roman" w:cs="Times New Roman"/>
          <w:sz w:val="24"/>
          <w:szCs w:val="24"/>
          <w:highlight w:val="white"/>
        </w:rPr>
        <w:t>. 17 ed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Pr="008C6687">
        <w:rPr>
          <w:rFonts w:ascii="Times New Roman" w:hAnsi="Times New Roman" w:cs="Times New Roman"/>
          <w:sz w:val="24"/>
          <w:szCs w:val="24"/>
          <w:highlight w:val="white"/>
        </w:rPr>
        <w:t xml:space="preserve">rev., atual. </w:t>
      </w:r>
      <w:r>
        <w:rPr>
          <w:rFonts w:ascii="Times New Roman" w:hAnsi="Times New Roman" w:cs="Times New Roman"/>
          <w:sz w:val="24"/>
          <w:szCs w:val="24"/>
          <w:highlight w:val="white"/>
        </w:rPr>
        <w:t>e</w:t>
      </w:r>
      <w:r w:rsidRPr="008C6687">
        <w:rPr>
          <w:rFonts w:ascii="Times New Roman" w:hAnsi="Times New Roman" w:cs="Times New Roman"/>
          <w:sz w:val="24"/>
          <w:szCs w:val="24"/>
          <w:highlight w:val="white"/>
        </w:rPr>
        <w:t>ampl. – Rio de Janeiro : Forense ; São Paulo : MÉTODO, 2009</w:t>
      </w:r>
    </w:p>
    <w:p w:rsidR="008C6687" w:rsidRPr="008C6687" w:rsidRDefault="008C6687" w:rsidP="008C6687">
      <w:pPr>
        <w:spacing w:after="240" w:line="360" w:lineRule="auto"/>
        <w:jc w:val="left"/>
        <w:rPr>
          <w:rFonts w:ascii="Times New Roman" w:hAnsi="Times New Roman" w:cs="Times New Roman"/>
          <w:sz w:val="24"/>
          <w:szCs w:val="24"/>
          <w:highlight w:val="white"/>
        </w:rPr>
      </w:pPr>
      <w:r w:rsidRPr="008C6687">
        <w:rPr>
          <w:rFonts w:ascii="Times New Roman" w:hAnsi="Times New Roman" w:cs="Times New Roman"/>
          <w:sz w:val="24"/>
          <w:szCs w:val="24"/>
        </w:rPr>
        <w:t xml:space="preserve">BRASIL. </w:t>
      </w:r>
      <w:r w:rsidRPr="000133C6">
        <w:rPr>
          <w:rFonts w:ascii="Times New Roman" w:hAnsi="Times New Roman" w:cs="Times New Roman"/>
          <w:b/>
          <w:sz w:val="24"/>
          <w:szCs w:val="24"/>
        </w:rPr>
        <w:t xml:space="preserve">Decreto </w:t>
      </w:r>
      <w:r w:rsidRPr="008C6687">
        <w:rPr>
          <w:rFonts w:ascii="Times New Roman" w:hAnsi="Times New Roman" w:cs="Times New Roman"/>
          <w:b/>
          <w:sz w:val="24"/>
          <w:szCs w:val="24"/>
        </w:rPr>
        <w:t xml:space="preserve">nº </w:t>
      </w:r>
      <w:r>
        <w:rPr>
          <w:rFonts w:ascii="Times New Roman" w:hAnsi="Times New Roman" w:cs="Times New Roman"/>
          <w:b/>
          <w:sz w:val="24"/>
          <w:szCs w:val="24"/>
        </w:rPr>
        <w:t>3.555</w:t>
      </w:r>
      <w:r w:rsidRPr="008C6687">
        <w:rPr>
          <w:rFonts w:ascii="Times New Roman" w:hAnsi="Times New Roman" w:cs="Times New Roman"/>
          <w:b/>
          <w:sz w:val="24"/>
          <w:szCs w:val="24"/>
        </w:rPr>
        <w:t xml:space="preserve">, de </w:t>
      </w:r>
      <w:r>
        <w:rPr>
          <w:rFonts w:ascii="Times New Roman" w:hAnsi="Times New Roman" w:cs="Times New Roman"/>
          <w:b/>
          <w:sz w:val="24"/>
          <w:szCs w:val="24"/>
        </w:rPr>
        <w:t xml:space="preserve">08 </w:t>
      </w:r>
      <w:r w:rsidRPr="008C6687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</w:rPr>
        <w:t>agosto de 2000</w:t>
      </w:r>
      <w:r w:rsidRPr="008C6687">
        <w:rPr>
          <w:rFonts w:ascii="Times New Roman" w:hAnsi="Times New Roman" w:cs="Times New Roman"/>
          <w:sz w:val="24"/>
          <w:szCs w:val="24"/>
        </w:rPr>
        <w:t>.</w:t>
      </w:r>
      <w:r w:rsidR="000133C6">
        <w:rPr>
          <w:rFonts w:ascii="Times New Roman" w:hAnsi="Times New Roman" w:cs="Times New Roman"/>
          <w:sz w:val="24"/>
          <w:szCs w:val="24"/>
        </w:rPr>
        <w:t xml:space="preserve"> Brasília. Senado. 2000.</w:t>
      </w:r>
    </w:p>
    <w:p w:rsidR="008C6687" w:rsidRPr="008C6687" w:rsidRDefault="008C6687" w:rsidP="008C6687">
      <w:pPr>
        <w:spacing w:after="24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C6687">
        <w:rPr>
          <w:rFonts w:ascii="Times New Roman" w:hAnsi="Times New Roman" w:cs="Times New Roman"/>
          <w:sz w:val="24"/>
          <w:szCs w:val="24"/>
        </w:rPr>
        <w:t xml:space="preserve">BRASIL. </w:t>
      </w:r>
      <w:r w:rsidRPr="008C6687">
        <w:rPr>
          <w:rFonts w:ascii="Times New Roman" w:hAnsi="Times New Roman" w:cs="Times New Roman"/>
          <w:b/>
          <w:sz w:val="24"/>
          <w:szCs w:val="24"/>
        </w:rPr>
        <w:t>Lei nº 8.666, de 21 de junho de 1993</w:t>
      </w:r>
      <w:r w:rsidRPr="008C6687">
        <w:rPr>
          <w:rFonts w:ascii="Times New Roman" w:hAnsi="Times New Roman" w:cs="Times New Roman"/>
          <w:sz w:val="24"/>
          <w:szCs w:val="24"/>
        </w:rPr>
        <w:t>. Legislação Complementar. Brasília. Senado. 1993.</w:t>
      </w:r>
    </w:p>
    <w:p w:rsidR="008C6687" w:rsidRPr="008C6687" w:rsidRDefault="008C6687" w:rsidP="008C6687">
      <w:pPr>
        <w:spacing w:after="24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C6687">
        <w:rPr>
          <w:rFonts w:ascii="Times New Roman" w:hAnsi="Times New Roman" w:cs="Times New Roman"/>
          <w:sz w:val="24"/>
          <w:szCs w:val="24"/>
        </w:rPr>
        <w:t>BRASIL</w:t>
      </w:r>
      <w:r w:rsidRPr="008C6687">
        <w:rPr>
          <w:rFonts w:ascii="Times New Roman" w:hAnsi="Times New Roman" w:cs="Times New Roman"/>
          <w:b/>
          <w:sz w:val="24"/>
          <w:szCs w:val="24"/>
        </w:rPr>
        <w:t>. Lei nº 10.520, de 17 de julho de 2002</w:t>
      </w:r>
      <w:r w:rsidRPr="008C6687">
        <w:rPr>
          <w:rFonts w:ascii="Times New Roman" w:hAnsi="Times New Roman" w:cs="Times New Roman"/>
          <w:sz w:val="24"/>
          <w:szCs w:val="24"/>
        </w:rPr>
        <w:t>. Legislação Compl</w:t>
      </w:r>
      <w:r>
        <w:rPr>
          <w:rFonts w:ascii="Times New Roman" w:hAnsi="Times New Roman" w:cs="Times New Roman"/>
          <w:sz w:val="24"/>
          <w:szCs w:val="24"/>
        </w:rPr>
        <w:t>ementar. Brasília. Senado. 2002.</w:t>
      </w:r>
    </w:p>
    <w:p w:rsidR="008C6687" w:rsidRDefault="008C6687" w:rsidP="008C6687">
      <w:pPr>
        <w:spacing w:after="24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C6687">
        <w:rPr>
          <w:rFonts w:ascii="Times New Roman" w:hAnsi="Times New Roman" w:cs="Times New Roman"/>
          <w:sz w:val="24"/>
          <w:szCs w:val="24"/>
        </w:rPr>
        <w:t xml:space="preserve">BRASIL. </w:t>
      </w:r>
      <w:r w:rsidRPr="008C6687">
        <w:rPr>
          <w:rFonts w:ascii="Times New Roman" w:hAnsi="Times New Roman" w:cs="Times New Roman"/>
          <w:b/>
          <w:sz w:val="24"/>
          <w:szCs w:val="24"/>
        </w:rPr>
        <w:t>Medida Provisória nº 2.026, de 04 de maio de 2000</w:t>
      </w:r>
      <w:r w:rsidRPr="008C6687">
        <w:rPr>
          <w:rFonts w:ascii="Times New Roman" w:hAnsi="Times New Roman" w:cs="Times New Roman"/>
          <w:sz w:val="24"/>
          <w:szCs w:val="24"/>
        </w:rPr>
        <w:t>. Brasília. Senado. 2000.</w:t>
      </w:r>
    </w:p>
    <w:p w:rsidR="005847E1" w:rsidRDefault="005847E1" w:rsidP="008C6687">
      <w:pPr>
        <w:spacing w:after="24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CARVALHO, Matheus. </w:t>
      </w:r>
      <w:r w:rsidRPr="008C6687">
        <w:rPr>
          <w:rFonts w:ascii="Times New Roman" w:hAnsi="Times New Roman" w:cs="Times New Roman"/>
          <w:b/>
          <w:sz w:val="24"/>
          <w:szCs w:val="24"/>
        </w:rPr>
        <w:t>Manuel de Direito Administrativo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t xml:space="preserve"> 4. ed</w:t>
      </w:r>
      <w:r w:rsidR="008C6687">
        <w:t xml:space="preserve">. Salvador: Rev. ampl. e atual. </w:t>
      </w:r>
      <w:r>
        <w:t xml:space="preserve">2017. </w:t>
      </w:r>
    </w:p>
    <w:p w:rsidR="00D55C68" w:rsidRPr="00D55C68" w:rsidRDefault="00D55C68" w:rsidP="00D55C6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DI PIETRO</w:t>
      </w:r>
      <w:r w:rsidRPr="00D55C68">
        <w:rPr>
          <w:rFonts w:ascii="Times New Roman" w:hAnsi="Times New Roman" w:cs="Times New Roman"/>
          <w:sz w:val="24"/>
          <w:szCs w:val="24"/>
        </w:rPr>
        <w:t xml:space="preserve">, Maria Sylvia Zanella. </w:t>
      </w:r>
      <w:r w:rsidRPr="00D55C68">
        <w:rPr>
          <w:rFonts w:ascii="Times New Roman" w:hAnsi="Times New Roman" w:cs="Times New Roman"/>
          <w:b/>
          <w:sz w:val="24"/>
          <w:szCs w:val="24"/>
        </w:rPr>
        <w:t>Direito Administrativo</w:t>
      </w:r>
      <w:r w:rsidRPr="00D55C68">
        <w:rPr>
          <w:rFonts w:ascii="Times New Roman" w:hAnsi="Times New Roman" w:cs="Times New Roman"/>
          <w:sz w:val="24"/>
          <w:szCs w:val="24"/>
        </w:rPr>
        <w:t>. 24. ed. São Paulo: Atlas, 2011.</w:t>
      </w:r>
    </w:p>
    <w:p w:rsidR="00D55C68" w:rsidRPr="00D55C68" w:rsidRDefault="00D55C68" w:rsidP="00D55C6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86EDB" w:rsidRPr="006B216F" w:rsidRDefault="00137972" w:rsidP="00D55C6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55C68">
        <w:rPr>
          <w:rFonts w:ascii="Times New Roman" w:hAnsi="Times New Roman" w:cs="Times New Roman"/>
          <w:sz w:val="24"/>
          <w:szCs w:val="24"/>
        </w:rPr>
        <w:t xml:space="preserve">JUSTEN FILHO, Marçal. </w:t>
      </w:r>
      <w:r w:rsidRPr="00D55C68">
        <w:rPr>
          <w:rFonts w:ascii="Times New Roman" w:hAnsi="Times New Roman" w:cs="Times New Roman"/>
          <w:b/>
          <w:sz w:val="24"/>
          <w:szCs w:val="24"/>
        </w:rPr>
        <w:t>Comentários à Lei de Licitações e Contratos Administrativos</w:t>
      </w:r>
      <w:r w:rsidRPr="00D55C68">
        <w:rPr>
          <w:rFonts w:ascii="Times New Roman" w:hAnsi="Times New Roman" w:cs="Times New Roman"/>
          <w:sz w:val="24"/>
          <w:szCs w:val="24"/>
        </w:rPr>
        <w:t xml:space="preserve">. </w:t>
      </w:r>
      <w:r w:rsidR="006B216F">
        <w:rPr>
          <w:rFonts w:ascii="Times New Roman" w:hAnsi="Times New Roman" w:cs="Times New Roman"/>
          <w:sz w:val="24"/>
          <w:szCs w:val="24"/>
        </w:rPr>
        <w:t>15</w:t>
      </w:r>
      <w:r w:rsidRPr="00D55C68">
        <w:rPr>
          <w:rFonts w:ascii="Times New Roman" w:hAnsi="Times New Roman" w:cs="Times New Roman"/>
          <w:sz w:val="24"/>
          <w:szCs w:val="24"/>
        </w:rPr>
        <w:t>. ed. São Paulo: Dialética, 2</w:t>
      </w:r>
      <w:r w:rsidR="006B216F">
        <w:rPr>
          <w:rFonts w:ascii="Times New Roman" w:hAnsi="Times New Roman" w:cs="Times New Roman"/>
          <w:sz w:val="24"/>
          <w:szCs w:val="24"/>
        </w:rPr>
        <w:t>013</w:t>
      </w:r>
      <w:r w:rsidRPr="00D55C6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386EDB" w:rsidRPr="006B216F" w:rsidSect="00821550">
      <w:headerReference w:type="default" r:id="rId7"/>
      <w:headerReference w:type="first" r:id="rId8"/>
      <w:pgSz w:w="11907" w:h="16840"/>
      <w:pgMar w:top="1418" w:right="1134" w:bottom="1418" w:left="1695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F3B" w:rsidRDefault="008E0F3B">
      <w:r>
        <w:separator/>
      </w:r>
    </w:p>
  </w:endnote>
  <w:endnote w:type="continuationSeparator" w:id="0">
    <w:p w:rsidR="008E0F3B" w:rsidRDefault="008E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F3B" w:rsidRDefault="008E0F3B">
      <w:r>
        <w:separator/>
      </w:r>
    </w:p>
  </w:footnote>
  <w:footnote w:type="continuationSeparator" w:id="0">
    <w:p w:rsidR="008E0F3B" w:rsidRDefault="008E0F3B">
      <w:r>
        <w:continuationSeparator/>
      </w:r>
    </w:p>
  </w:footnote>
  <w:footnote w:id="1">
    <w:p w:rsidR="00967DF7" w:rsidRDefault="00967DF7" w:rsidP="001A0CD2">
      <w:pPr>
        <w:pStyle w:val="XIEPEF-instituiodepartamentoescola"/>
        <w:spacing w:after="0"/>
        <w:ind w:firstLine="0"/>
        <w:jc w:val="left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Graduanda do V Período do Curso de Direito da Faculdade </w:t>
      </w:r>
      <w:proofErr w:type="spellStart"/>
      <w:r>
        <w:rPr>
          <w:rFonts w:ascii="Times New Roman" w:hAnsi="Times New Roman" w:cs="Times New Roman"/>
        </w:rPr>
        <w:t>R.Sá</w:t>
      </w:r>
      <w:proofErr w:type="spellEnd"/>
      <w:r>
        <w:rPr>
          <w:rFonts w:ascii="Times New Roman" w:hAnsi="Times New Roman" w:cs="Times New Roman"/>
        </w:rPr>
        <w:t>, E-ma</w:t>
      </w:r>
      <w:r w:rsidR="001C71C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l: </w:t>
      </w:r>
      <w:r w:rsidR="00AF1827">
        <w:rPr>
          <w:rFonts w:ascii="Times New Roman" w:hAnsi="Times New Roman" w:cs="Times New Roman"/>
        </w:rPr>
        <w:t>elenthalia@gmail.com</w:t>
      </w:r>
    </w:p>
  </w:footnote>
  <w:footnote w:id="2">
    <w:p w:rsidR="00967DF7" w:rsidRDefault="00967DF7" w:rsidP="001A0CD2">
      <w:pPr>
        <w:pStyle w:val="XIEPEF-instituiodepartamentoescola"/>
        <w:spacing w:after="0"/>
        <w:ind w:firstLine="0"/>
        <w:jc w:val="left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Graduanda do V Período do Curso de Direito da Faculdade R.Sá, </w:t>
      </w:r>
      <w:r w:rsidR="001C71C3"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 xml:space="preserve">: </w:t>
      </w:r>
      <w:r w:rsidR="00AF1827">
        <w:rPr>
          <w:rFonts w:ascii="Times New Roman" w:hAnsi="Times New Roman" w:cs="Times New Roman"/>
        </w:rPr>
        <w:t>keren.sousa@hotmail.com</w:t>
      </w:r>
    </w:p>
  </w:footnote>
  <w:footnote w:id="3">
    <w:p w:rsidR="00967DF7" w:rsidRDefault="00967DF7" w:rsidP="001A0CD2">
      <w:pPr>
        <w:pStyle w:val="XIEPEF-instituiodepartamentoescola"/>
        <w:spacing w:after="0"/>
        <w:ind w:firstLine="0"/>
        <w:jc w:val="left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Graduanda do V Período do Curso de Direito da Faculdade R.Sá, </w:t>
      </w:r>
      <w:r w:rsidR="001C71C3"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>: samara.16t@outlook.com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DF7" w:rsidRPr="00664DFC" w:rsidRDefault="008562A6" w:rsidP="00664DFC">
    <w:pPr>
      <w:pStyle w:val="Cabealho"/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05DAEA4" wp14:editId="25016BBF">
          <wp:simplePos x="0" y="0"/>
          <wp:positionH relativeFrom="column">
            <wp:posOffset>280035</wp:posOffset>
          </wp:positionH>
          <wp:positionV relativeFrom="paragraph">
            <wp:posOffset>5080</wp:posOffset>
          </wp:positionV>
          <wp:extent cx="5305425" cy="981075"/>
          <wp:effectExtent l="0" t="0" r="9525" b="9525"/>
          <wp:wrapTopAndBottom/>
          <wp:docPr id="2" name="Imagem 2" descr="BANNER_TRABALHOS_XIISIC_2481_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_TRABALHOS_XIISIC_2481_4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4DFC">
      <w:rPr>
        <w:rFonts w:ascii="Times New Roman" w:eastAsia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</w:t>
    </w:r>
    <w:r w:rsidR="0021426E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967DF7">
      <w:rPr>
        <w:rFonts w:ascii="Times New Roman" w:eastAsia="Times New Roman" w:hAnsi="Times New Roman" w:cs="Times New Roman"/>
        <w:sz w:val="24"/>
        <w:szCs w:val="24"/>
      </w:rPr>
      <w:instrText>PAGE</w:instrText>
    </w:r>
    <w:r w:rsidR="0021426E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664DFC">
      <w:rPr>
        <w:rFonts w:ascii="Times New Roman" w:eastAsia="Times New Roman" w:hAnsi="Times New Roman" w:cs="Times New Roman"/>
        <w:noProof/>
        <w:sz w:val="24"/>
        <w:szCs w:val="24"/>
      </w:rPr>
      <w:t>10</w:t>
    </w:r>
    <w:r w:rsidR="0021426E">
      <w:rPr>
        <w:rFonts w:ascii="Times New Roman" w:eastAsia="Times New Roman" w:hAnsi="Times New Roman" w:cs="Times New Roman"/>
        <w:sz w:val="24"/>
        <w:szCs w:val="24"/>
      </w:rPr>
      <w:fldChar w:fldCharType="end"/>
    </w:r>
  </w:p>
  <w:p w:rsidR="00967DF7" w:rsidRDefault="00967DF7">
    <w:pPr>
      <w:tabs>
        <w:tab w:val="center" w:pos="4419"/>
        <w:tab w:val="right" w:pos="8838"/>
      </w:tabs>
      <w:ind w:right="360"/>
      <w:jc w:val="left"/>
      <w:rPr>
        <w:rFonts w:ascii="Times New Roman" w:eastAsia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2A6" w:rsidRDefault="008562A6" w:rsidP="008562A6">
    <w:pPr>
      <w:pStyle w:val="Cabealho"/>
      <w:ind w:left="567" w:hanging="567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5080</wp:posOffset>
          </wp:positionV>
          <wp:extent cx="5305425" cy="981075"/>
          <wp:effectExtent l="0" t="0" r="9525" b="9525"/>
          <wp:wrapTopAndBottom/>
          <wp:docPr id="1" name="Imagem 1" descr="BANNER_TRABALHOS_XIISIC_2481_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TRABALHOS_XIISIC_2481_4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562A6" w:rsidRDefault="008562A6" w:rsidP="008562A6"/>
  <w:p w:rsidR="008562A6" w:rsidRDefault="008562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4032"/>
    <w:multiLevelType w:val="hybridMultilevel"/>
    <w:tmpl w:val="0E5A0E2A"/>
    <w:lvl w:ilvl="0" w:tplc="CD3E71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25817"/>
    <w:multiLevelType w:val="multilevel"/>
    <w:tmpl w:val="943643E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36F81991"/>
    <w:multiLevelType w:val="multilevel"/>
    <w:tmpl w:val="423A1320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4" w:hanging="1800"/>
      </w:pPr>
      <w:rPr>
        <w:rFonts w:hint="default"/>
      </w:rPr>
    </w:lvl>
  </w:abstractNum>
  <w:abstractNum w:abstractNumId="3">
    <w:nsid w:val="3EB42D48"/>
    <w:multiLevelType w:val="multilevel"/>
    <w:tmpl w:val="D2F0BF7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72446894"/>
    <w:multiLevelType w:val="hybridMultilevel"/>
    <w:tmpl w:val="7AFEF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91148"/>
    <w:multiLevelType w:val="hybridMultilevel"/>
    <w:tmpl w:val="354E55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8F"/>
    <w:rsid w:val="000133C6"/>
    <w:rsid w:val="00046629"/>
    <w:rsid w:val="00057E9C"/>
    <w:rsid w:val="00073098"/>
    <w:rsid w:val="000832EC"/>
    <w:rsid w:val="000F320F"/>
    <w:rsid w:val="0011689D"/>
    <w:rsid w:val="00125991"/>
    <w:rsid w:val="001356D0"/>
    <w:rsid w:val="001361B4"/>
    <w:rsid w:val="001371FA"/>
    <w:rsid w:val="00137972"/>
    <w:rsid w:val="001419BB"/>
    <w:rsid w:val="001521B3"/>
    <w:rsid w:val="0018336B"/>
    <w:rsid w:val="00183B9B"/>
    <w:rsid w:val="00187EC0"/>
    <w:rsid w:val="00192C6F"/>
    <w:rsid w:val="00196A53"/>
    <w:rsid w:val="001A0CD2"/>
    <w:rsid w:val="001B7D2E"/>
    <w:rsid w:val="001C17D5"/>
    <w:rsid w:val="001C71C3"/>
    <w:rsid w:val="001F6C21"/>
    <w:rsid w:val="001F79BB"/>
    <w:rsid w:val="00202B1F"/>
    <w:rsid w:val="0021426E"/>
    <w:rsid w:val="00237566"/>
    <w:rsid w:val="0027265E"/>
    <w:rsid w:val="00291B90"/>
    <w:rsid w:val="002B747C"/>
    <w:rsid w:val="002C7CC7"/>
    <w:rsid w:val="002F6927"/>
    <w:rsid w:val="00325013"/>
    <w:rsid w:val="00334846"/>
    <w:rsid w:val="00360E83"/>
    <w:rsid w:val="00366098"/>
    <w:rsid w:val="003746FE"/>
    <w:rsid w:val="00382D0E"/>
    <w:rsid w:val="00386EDB"/>
    <w:rsid w:val="003D3484"/>
    <w:rsid w:val="003D3D37"/>
    <w:rsid w:val="003F6234"/>
    <w:rsid w:val="004558A6"/>
    <w:rsid w:val="004A72DC"/>
    <w:rsid w:val="004F77D3"/>
    <w:rsid w:val="00507AF8"/>
    <w:rsid w:val="005847D4"/>
    <w:rsid w:val="005847E1"/>
    <w:rsid w:val="005870E1"/>
    <w:rsid w:val="00590639"/>
    <w:rsid w:val="005929E8"/>
    <w:rsid w:val="00622DBA"/>
    <w:rsid w:val="00640209"/>
    <w:rsid w:val="00640D63"/>
    <w:rsid w:val="00664DFC"/>
    <w:rsid w:val="00681A27"/>
    <w:rsid w:val="00683147"/>
    <w:rsid w:val="006B216F"/>
    <w:rsid w:val="006C4971"/>
    <w:rsid w:val="006E199C"/>
    <w:rsid w:val="006E4009"/>
    <w:rsid w:val="00705563"/>
    <w:rsid w:val="00720136"/>
    <w:rsid w:val="00720AB6"/>
    <w:rsid w:val="00731EEB"/>
    <w:rsid w:val="007477D5"/>
    <w:rsid w:val="007832BF"/>
    <w:rsid w:val="007E7B57"/>
    <w:rsid w:val="00821550"/>
    <w:rsid w:val="00827E3F"/>
    <w:rsid w:val="008347FF"/>
    <w:rsid w:val="00841DAA"/>
    <w:rsid w:val="008562A6"/>
    <w:rsid w:val="00895A36"/>
    <w:rsid w:val="008B1E9C"/>
    <w:rsid w:val="008C083F"/>
    <w:rsid w:val="008C6687"/>
    <w:rsid w:val="008E0F3B"/>
    <w:rsid w:val="008E588E"/>
    <w:rsid w:val="00915908"/>
    <w:rsid w:val="00931B1C"/>
    <w:rsid w:val="00934C06"/>
    <w:rsid w:val="0094255C"/>
    <w:rsid w:val="009630B6"/>
    <w:rsid w:val="00967DF7"/>
    <w:rsid w:val="009746C4"/>
    <w:rsid w:val="00995932"/>
    <w:rsid w:val="009A18B7"/>
    <w:rsid w:val="009B342E"/>
    <w:rsid w:val="009D59F5"/>
    <w:rsid w:val="009F2C59"/>
    <w:rsid w:val="00A273EE"/>
    <w:rsid w:val="00A314EE"/>
    <w:rsid w:val="00A47E30"/>
    <w:rsid w:val="00A54E87"/>
    <w:rsid w:val="00A56304"/>
    <w:rsid w:val="00AB0F93"/>
    <w:rsid w:val="00AC53EC"/>
    <w:rsid w:val="00AC62C9"/>
    <w:rsid w:val="00AD0947"/>
    <w:rsid w:val="00AE12DD"/>
    <w:rsid w:val="00AF1827"/>
    <w:rsid w:val="00B0686D"/>
    <w:rsid w:val="00B34A4E"/>
    <w:rsid w:val="00B55ED8"/>
    <w:rsid w:val="00B7386D"/>
    <w:rsid w:val="00BB60C7"/>
    <w:rsid w:val="00BC66C6"/>
    <w:rsid w:val="00BE3DDD"/>
    <w:rsid w:val="00C10775"/>
    <w:rsid w:val="00C1230C"/>
    <w:rsid w:val="00C603B2"/>
    <w:rsid w:val="00C67D43"/>
    <w:rsid w:val="00C80AA7"/>
    <w:rsid w:val="00C827FB"/>
    <w:rsid w:val="00CA728F"/>
    <w:rsid w:val="00CD653B"/>
    <w:rsid w:val="00CD6774"/>
    <w:rsid w:val="00D236A7"/>
    <w:rsid w:val="00D258AE"/>
    <w:rsid w:val="00D46525"/>
    <w:rsid w:val="00D55C68"/>
    <w:rsid w:val="00D65DCE"/>
    <w:rsid w:val="00D91917"/>
    <w:rsid w:val="00DC3AF0"/>
    <w:rsid w:val="00DC3BB2"/>
    <w:rsid w:val="00DE1A51"/>
    <w:rsid w:val="00DF4D11"/>
    <w:rsid w:val="00E325D9"/>
    <w:rsid w:val="00E42C0D"/>
    <w:rsid w:val="00E76BBB"/>
    <w:rsid w:val="00E810E8"/>
    <w:rsid w:val="00E84B5D"/>
    <w:rsid w:val="00EB35E3"/>
    <w:rsid w:val="00EC40FE"/>
    <w:rsid w:val="00EC5835"/>
    <w:rsid w:val="00EE45F8"/>
    <w:rsid w:val="00F66636"/>
    <w:rsid w:val="00F70685"/>
    <w:rsid w:val="00FA37E7"/>
    <w:rsid w:val="00FF01A2"/>
    <w:rsid w:val="00FF22E7"/>
    <w:rsid w:val="00FF7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DF9754-289E-44F9-8893-A1B8C55B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lang w:val="pt-BR" w:eastAsia="pt-BR" w:bidi="ar-SA"/>
      </w:rPr>
    </w:rPrDefault>
    <w:pPrDefault>
      <w:pPr>
        <w:widowControl w:val="0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21550"/>
  </w:style>
  <w:style w:type="paragraph" w:styleId="Ttulo1">
    <w:name w:val="heading 1"/>
    <w:basedOn w:val="Normal"/>
    <w:next w:val="Normal"/>
    <w:rsid w:val="00821550"/>
    <w:pPr>
      <w:keepNext/>
      <w:keepLines/>
      <w:spacing w:before="480" w:after="120"/>
      <w:jc w:val="left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rsid w:val="00821550"/>
    <w:pPr>
      <w:keepNext/>
      <w:keepLines/>
      <w:spacing w:before="360" w:after="80"/>
      <w:jc w:val="left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rsid w:val="00821550"/>
    <w:pPr>
      <w:keepNext/>
      <w:keepLines/>
      <w:spacing w:before="280" w:after="80"/>
      <w:jc w:val="left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tulo4">
    <w:name w:val="heading 4"/>
    <w:basedOn w:val="Normal"/>
    <w:next w:val="Normal"/>
    <w:rsid w:val="00821550"/>
    <w:pPr>
      <w:keepNext/>
      <w:keepLines/>
      <w:spacing w:before="240" w:after="40"/>
      <w:jc w:val="left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5">
    <w:name w:val="heading 5"/>
    <w:basedOn w:val="Normal"/>
    <w:next w:val="Normal"/>
    <w:rsid w:val="00821550"/>
    <w:pPr>
      <w:keepNext/>
      <w:keepLines/>
      <w:spacing w:before="220" w:after="40"/>
      <w:jc w:val="left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Ttulo6">
    <w:name w:val="heading 6"/>
    <w:basedOn w:val="Normal"/>
    <w:next w:val="Normal"/>
    <w:rsid w:val="00821550"/>
    <w:pPr>
      <w:keepNext/>
      <w:keepLines/>
      <w:spacing w:before="200" w:after="40"/>
      <w:jc w:val="left"/>
      <w:outlineLvl w:val="5"/>
    </w:pPr>
    <w:rPr>
      <w:rFonts w:ascii="Times New Roman" w:eastAsia="Times New Roman" w:hAnsi="Times New Roman" w:cs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215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21550"/>
    <w:pPr>
      <w:keepNext/>
      <w:keepLines/>
      <w:spacing w:before="480" w:after="120"/>
      <w:jc w:val="left"/>
    </w:pPr>
    <w:rPr>
      <w:rFonts w:ascii="Times New Roman" w:eastAsia="Times New Roman" w:hAnsi="Times New Roman" w:cs="Times New Roman"/>
      <w:b/>
      <w:sz w:val="72"/>
      <w:szCs w:val="72"/>
    </w:rPr>
  </w:style>
  <w:style w:type="paragraph" w:styleId="Subttulo">
    <w:name w:val="Subtitle"/>
    <w:basedOn w:val="Normal"/>
    <w:next w:val="Normal"/>
    <w:rsid w:val="00821550"/>
    <w:pPr>
      <w:keepNext/>
      <w:keepLines/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CD67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5E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ED8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A0CD2"/>
    <w:pPr>
      <w:widowControl/>
      <w:suppressAutoHyphens/>
      <w:spacing w:line="360" w:lineRule="auto"/>
      <w:jc w:val="left"/>
    </w:pPr>
    <w:rPr>
      <w:rFonts w:ascii="Calibri" w:eastAsia="Calibri" w:hAnsi="Calibri" w:cs="Times New Roman"/>
      <w:color w:val="auto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A0CD2"/>
    <w:rPr>
      <w:rFonts w:ascii="Calibri" w:eastAsia="Calibri" w:hAnsi="Calibri" w:cs="Times New Roman"/>
      <w:color w:val="auto"/>
      <w:lang w:eastAsia="ar-SA"/>
    </w:rPr>
  </w:style>
  <w:style w:type="paragraph" w:customStyle="1" w:styleId="XIEPEF-AUTORES">
    <w:name w:val="XI EPEF - AUTORES"/>
    <w:basedOn w:val="Normal"/>
    <w:rsid w:val="001A0CD2"/>
    <w:pPr>
      <w:widowControl/>
      <w:suppressAutoHyphens/>
      <w:spacing w:after="280"/>
      <w:ind w:firstLine="851"/>
      <w:jc w:val="center"/>
    </w:pPr>
    <w:rPr>
      <w:rFonts w:eastAsia="Times New Roman" w:cs="Times New Roman"/>
      <w:b/>
      <w:color w:val="auto"/>
      <w:sz w:val="24"/>
      <w:szCs w:val="24"/>
      <w:lang w:eastAsia="ar-SA"/>
    </w:rPr>
  </w:style>
  <w:style w:type="paragraph" w:customStyle="1" w:styleId="XIEPEF-instituiodepartamentoescola">
    <w:name w:val="XIEPEF - instituição/departamento/escola"/>
    <w:basedOn w:val="Normal"/>
    <w:rsid w:val="001A0CD2"/>
    <w:pPr>
      <w:widowControl/>
      <w:suppressAutoHyphens/>
      <w:spacing w:after="120"/>
      <w:ind w:firstLine="851"/>
      <w:jc w:val="center"/>
    </w:pPr>
    <w:rPr>
      <w:rFonts w:eastAsia="Times New Roman"/>
      <w:color w:val="auto"/>
      <w:lang w:eastAsia="ar-SA"/>
    </w:rPr>
  </w:style>
  <w:style w:type="character" w:styleId="Refdenotaderodap">
    <w:name w:val="footnote reference"/>
    <w:uiPriority w:val="99"/>
    <w:semiHidden/>
    <w:unhideWhenUsed/>
    <w:rsid w:val="001A0CD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562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62A6"/>
  </w:style>
  <w:style w:type="paragraph" w:styleId="Rodap">
    <w:name w:val="footer"/>
    <w:basedOn w:val="Normal"/>
    <w:link w:val="RodapChar"/>
    <w:uiPriority w:val="99"/>
    <w:unhideWhenUsed/>
    <w:rsid w:val="008562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6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3209</Words>
  <Characters>17333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 Thalia</dc:creator>
  <cp:lastModifiedBy>User</cp:lastModifiedBy>
  <cp:revision>3</cp:revision>
  <cp:lastPrinted>2017-12-05T16:15:00Z</cp:lastPrinted>
  <dcterms:created xsi:type="dcterms:W3CDTF">2018-05-15T23:50:00Z</dcterms:created>
  <dcterms:modified xsi:type="dcterms:W3CDTF">2018-05-15T23:57:00Z</dcterms:modified>
</cp:coreProperties>
</file>