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9C8BA" w14:textId="77777777" w:rsidR="00F33B4D" w:rsidRDefault="00F33B4D">
      <w:pPr>
        <w:rPr>
          <w:rFonts w:ascii="Arial" w:hAnsi="Arial" w:cs="Arial"/>
          <w:b/>
          <w:bCs/>
        </w:rPr>
      </w:pPr>
    </w:p>
    <w:p w14:paraId="6B868719" w14:textId="77777777" w:rsidR="00F33B4D" w:rsidRDefault="00000000">
      <w:pPr>
        <w:widowControl w:val="0"/>
        <w:tabs>
          <w:tab w:val="left" w:pos="720"/>
        </w:tabs>
        <w:spacing w:after="0" w:line="360" w:lineRule="auto"/>
        <w:jc w:val="center"/>
        <w:rPr>
          <w:rFonts w:ascii="Arial" w:eastAsia="Times New Roman" w:hAnsi="Arial" w:cs="Arial"/>
          <w:b/>
          <w:bCs/>
          <w:caps/>
          <w:kern w:val="0"/>
          <w14:ligatures w14:val="none"/>
        </w:rPr>
      </w:pPr>
      <w:r>
        <w:rPr>
          <w:rFonts w:ascii="Arial" w:eastAsia="Times New Roman" w:hAnsi="Arial" w:cs="Arial"/>
          <w:b/>
          <w:bCs/>
          <w:caps/>
          <w:kern w:val="0"/>
          <w14:ligatures w14:val="none"/>
        </w:rPr>
        <w:t>Perspectivas neoliberais para a escola contemporânea e os impactos na formação continuada de professores da educação básica</w:t>
      </w:r>
    </w:p>
    <w:p w14:paraId="22F9A9EB" w14:textId="77777777" w:rsidR="00F33B4D" w:rsidRDefault="00F33B4D">
      <w:pPr>
        <w:spacing w:after="0" w:line="240" w:lineRule="auto"/>
        <w:jc w:val="right"/>
        <w:rPr>
          <w:rFonts w:ascii="Arial" w:hAnsi="Arial" w:cs="Arial"/>
          <w:b/>
          <w:bCs/>
          <w:sz w:val="20"/>
          <w:szCs w:val="20"/>
        </w:rPr>
      </w:pPr>
    </w:p>
    <w:p w14:paraId="06A31BE0" w14:textId="77777777" w:rsidR="00F33B4D" w:rsidRDefault="00F33B4D">
      <w:pPr>
        <w:spacing w:after="0" w:line="240" w:lineRule="auto"/>
        <w:jc w:val="both"/>
        <w:rPr>
          <w:rFonts w:ascii="Arial" w:hAnsi="Arial" w:cs="Arial"/>
          <w:b/>
          <w:bCs/>
        </w:rPr>
      </w:pPr>
    </w:p>
    <w:p w14:paraId="3A7115BA" w14:textId="77777777" w:rsidR="00F33B4D" w:rsidRDefault="00000000">
      <w:pPr>
        <w:spacing w:after="0" w:line="360" w:lineRule="auto"/>
        <w:jc w:val="both"/>
        <w:rPr>
          <w:rFonts w:ascii="Arial" w:hAnsi="Arial" w:cs="Arial"/>
          <w:b/>
          <w:bCs/>
        </w:rPr>
      </w:pPr>
      <w:r>
        <w:rPr>
          <w:rFonts w:ascii="Arial" w:hAnsi="Arial" w:cs="Arial"/>
          <w:b/>
          <w:bCs/>
        </w:rPr>
        <w:t xml:space="preserve">INTRODUÇÃO </w:t>
      </w:r>
    </w:p>
    <w:p w14:paraId="1F5B40A3" w14:textId="77777777" w:rsidR="00F33B4D" w:rsidRDefault="00000000">
      <w:pPr>
        <w:widowControl w:val="0"/>
        <w:tabs>
          <w:tab w:val="left" w:pos="720"/>
        </w:tabs>
        <w:spacing w:after="0" w:line="360" w:lineRule="auto"/>
        <w:ind w:firstLine="720"/>
        <w:jc w:val="both"/>
        <w:rPr>
          <w:rFonts w:ascii="Arial" w:hAnsi="Arial" w:cs="Arial"/>
        </w:rPr>
      </w:pPr>
      <w:r>
        <w:rPr>
          <w:rFonts w:ascii="Arial" w:eastAsia="Times New Roman" w:hAnsi="Arial" w:cs="Arial"/>
          <w:kern w:val="0"/>
          <w14:ligatures w14:val="none"/>
        </w:rPr>
        <w:t xml:space="preserve">A formação continuada de professores, imersa em uma escola, organizada por políticas públicas orientadas pelo neoliberalismo, tem sido movida por uma concepção profissional de desenvolvimento pautada por práticas que promovem a construção de um sujeito neoliberal. O objetivo central do artigo é discutir os impactos destas influências neoliberais na escola e, consequentemente, na formação continuada do professor. No que se refere a metodologia, a pesquisa é de cunho bibliográfico. O referencial teórico está embasado nas discussões tecidas por autores como FREITAS (2014; 2018), LAVAL (2019), MANZI (2022), dentre outros que discutem o fundamento teórico do tema do artigo. A discussão ressalta que a formação continuada de professores </w:t>
      </w:r>
      <w:r>
        <w:rPr>
          <w:rFonts w:ascii="Arial" w:hAnsi="Arial" w:cs="Arial"/>
        </w:rPr>
        <w:t xml:space="preserve">precisa ser discutida e pensada do ponto de vista técnico, científico e humano. Não basta ser restrita às competências e habilidades. É preciso ser </w:t>
      </w:r>
      <w:proofErr w:type="spellStart"/>
      <w:r>
        <w:rPr>
          <w:rFonts w:ascii="Arial" w:hAnsi="Arial" w:cs="Arial"/>
        </w:rPr>
        <w:t>desalienante</w:t>
      </w:r>
      <w:proofErr w:type="spellEnd"/>
      <w:r>
        <w:rPr>
          <w:rFonts w:ascii="Arial" w:hAnsi="Arial" w:cs="Arial"/>
        </w:rPr>
        <w:t>, com fins à formação de sujeitos (professores e, consequentemente, alunos) dotados da capacidade de refletir criticamente e intervir sobre a realidade.</w:t>
      </w:r>
    </w:p>
    <w:p w14:paraId="0ACB6C4F" w14:textId="77777777" w:rsidR="00F33B4D" w:rsidRDefault="00F33B4D">
      <w:pPr>
        <w:spacing w:after="0" w:line="360" w:lineRule="auto"/>
        <w:jc w:val="both"/>
        <w:rPr>
          <w:rFonts w:ascii="Arial" w:hAnsi="Arial" w:cs="Arial"/>
        </w:rPr>
      </w:pPr>
    </w:p>
    <w:p w14:paraId="3906C3EE" w14:textId="77777777" w:rsidR="00F33B4D" w:rsidRDefault="00000000">
      <w:pPr>
        <w:spacing w:after="0" w:line="360" w:lineRule="auto"/>
        <w:jc w:val="both"/>
        <w:rPr>
          <w:rFonts w:ascii="Arial" w:hAnsi="Arial" w:cs="Arial"/>
          <w:b/>
          <w:bCs/>
        </w:rPr>
      </w:pPr>
      <w:r>
        <w:rPr>
          <w:rFonts w:ascii="Arial" w:hAnsi="Arial" w:cs="Arial"/>
          <w:b/>
          <w:bCs/>
        </w:rPr>
        <w:t>METODOLOGIA</w:t>
      </w:r>
    </w:p>
    <w:p w14:paraId="539741E6" w14:textId="2D5C4FE4" w:rsidR="00F33B4D" w:rsidRDefault="00000000">
      <w:pPr>
        <w:spacing w:after="0" w:line="360" w:lineRule="auto"/>
        <w:ind w:firstLine="708"/>
        <w:jc w:val="both"/>
        <w:rPr>
          <w:rFonts w:ascii="Arial" w:hAnsi="Arial" w:cs="Arial"/>
        </w:rPr>
      </w:pPr>
      <w:r>
        <w:rPr>
          <w:rFonts w:ascii="Arial" w:hAnsi="Arial" w:cs="Arial"/>
        </w:rPr>
        <w:t>Em sentido metodológico, tomamos como base a contribuição de Gonsalves</w:t>
      </w:r>
      <w:r w:rsidR="000761CA">
        <w:rPr>
          <w:rFonts w:ascii="Arial" w:hAnsi="Arial" w:cs="Arial"/>
        </w:rPr>
        <w:t xml:space="preserve">(2011) </w:t>
      </w:r>
      <w:r>
        <w:rPr>
          <w:rFonts w:ascii="Arial" w:hAnsi="Arial" w:cs="Arial"/>
        </w:rPr>
        <w:t>e Santos (</w:t>
      </w:r>
      <w:r w:rsidR="000761CA">
        <w:rPr>
          <w:rFonts w:ascii="Arial" w:hAnsi="Arial" w:cs="Arial"/>
        </w:rPr>
        <w:t>2008</w:t>
      </w:r>
      <w:r w:rsidR="002301CB">
        <w:rPr>
          <w:rFonts w:ascii="Arial" w:hAnsi="Arial" w:cs="Arial"/>
        </w:rPr>
        <w:t>),</w:t>
      </w:r>
      <w:r>
        <w:rPr>
          <w:rFonts w:ascii="Arial" w:hAnsi="Arial" w:cs="Arial"/>
        </w:rPr>
        <w:t xml:space="preserve"> que caracterizam a pesquisa como bibliográfica. </w:t>
      </w:r>
    </w:p>
    <w:p w14:paraId="6CC7F67C" w14:textId="77777777" w:rsidR="00F33B4D" w:rsidRDefault="00F33B4D">
      <w:pPr>
        <w:spacing w:after="0" w:line="360" w:lineRule="auto"/>
        <w:ind w:firstLine="708"/>
        <w:jc w:val="both"/>
        <w:rPr>
          <w:rFonts w:ascii="Arial" w:hAnsi="Arial" w:cs="Arial"/>
        </w:rPr>
      </w:pPr>
    </w:p>
    <w:p w14:paraId="4E47DC65" w14:textId="77777777" w:rsidR="00F33B4D" w:rsidRDefault="00000000">
      <w:pPr>
        <w:spacing w:after="0" w:line="360" w:lineRule="auto"/>
        <w:jc w:val="both"/>
        <w:rPr>
          <w:rFonts w:ascii="Arial" w:hAnsi="Arial" w:cs="Arial"/>
          <w:b/>
          <w:bCs/>
        </w:rPr>
      </w:pPr>
      <w:r>
        <w:rPr>
          <w:rFonts w:ascii="Arial" w:hAnsi="Arial" w:cs="Arial"/>
          <w:b/>
          <w:bCs/>
        </w:rPr>
        <w:t>RESULTADOS</w:t>
      </w:r>
    </w:p>
    <w:p w14:paraId="35DEF784" w14:textId="77777777" w:rsidR="00F33B4D" w:rsidRDefault="00000000">
      <w:pPr>
        <w:widowControl w:val="0"/>
        <w:tabs>
          <w:tab w:val="left" w:pos="720"/>
        </w:tabs>
        <w:spacing w:after="0" w:line="360" w:lineRule="auto"/>
        <w:ind w:firstLine="720"/>
        <w:jc w:val="both"/>
        <w:rPr>
          <w:rFonts w:ascii="Arial" w:hAnsi="Arial" w:cs="Arial"/>
        </w:rPr>
      </w:pPr>
      <w:r>
        <w:rPr>
          <w:rFonts w:ascii="Arial" w:eastAsia="Times New Roman" w:hAnsi="Arial" w:cs="Arial"/>
          <w:kern w:val="0"/>
          <w14:ligatures w14:val="none"/>
        </w:rPr>
        <w:t xml:space="preserve">Como resultado do processo de globalização da economia, da reestruturação produtiva e do neoliberalismo, mudanças significativas ocorreram na sociedade ao longo das últimas décadas. </w:t>
      </w:r>
      <w:r>
        <w:rPr>
          <w:rFonts w:ascii="Arial" w:hAnsi="Arial" w:cs="Arial"/>
        </w:rPr>
        <w:t xml:space="preserve">A instituição escolar, inserida neste </w:t>
      </w:r>
      <w:r>
        <w:rPr>
          <w:rFonts w:ascii="Arial" w:hAnsi="Arial" w:cs="Arial"/>
        </w:rPr>
        <w:lastRenderedPageBreak/>
        <w:t>contexto é alvo do neoliberalismo. Afinal, é o lugar para a formação de um certo tipo de subjetividade, da criação de “um capital humano” que alimenta o sistema produtivo (LAVAL, 2019).</w:t>
      </w:r>
    </w:p>
    <w:p w14:paraId="45CA6136" w14:textId="77777777" w:rsidR="00F33B4D" w:rsidRDefault="00000000">
      <w:pPr>
        <w:widowControl w:val="0"/>
        <w:tabs>
          <w:tab w:val="left" w:pos="720"/>
        </w:tabs>
        <w:spacing w:after="0" w:line="360" w:lineRule="auto"/>
        <w:ind w:firstLine="720"/>
        <w:jc w:val="both"/>
        <w:rPr>
          <w:rFonts w:ascii="Arial" w:hAnsi="Arial" w:cs="Arial"/>
        </w:rPr>
      </w:pPr>
      <w:r>
        <w:rPr>
          <w:rFonts w:ascii="Arial" w:hAnsi="Arial" w:cs="Arial"/>
        </w:rPr>
        <w:t>Tais mudanças provocaram questionamentos significativos sobre o papel da escola na sociedade e, com isso, os objetivos e prioridades da educação foram se modificando (</w:t>
      </w:r>
      <w:r>
        <w:rPr>
          <w:rFonts w:ascii="Arial" w:hAnsi="Arial" w:cs="Arial"/>
          <w:caps/>
        </w:rPr>
        <w:t>Libâneo, Oliveira e Toschi</w:t>
      </w:r>
      <w:r>
        <w:rPr>
          <w:rFonts w:ascii="Arial" w:hAnsi="Arial" w:cs="Arial"/>
        </w:rPr>
        <w:t xml:space="preserve">, 2011) demarcando o que Laval chama de “fim do humanismo clássico, baseado no altruísmo e na livre atividade humana” (LAVAL, 2019, p. 36). </w:t>
      </w:r>
    </w:p>
    <w:p w14:paraId="000041CB" w14:textId="77777777" w:rsidR="00F33B4D" w:rsidRDefault="00000000">
      <w:pPr>
        <w:widowControl w:val="0"/>
        <w:tabs>
          <w:tab w:val="left" w:pos="720"/>
        </w:tabs>
        <w:spacing w:after="0" w:line="360" w:lineRule="auto"/>
        <w:ind w:firstLine="720"/>
        <w:jc w:val="both"/>
        <w:rPr>
          <w:rFonts w:ascii="Arial" w:eastAsia="Times New Roman" w:hAnsi="Arial" w:cs="Arial"/>
          <w:kern w:val="0"/>
          <w:lang w:val="pt-PT"/>
          <w14:ligatures w14:val="none"/>
        </w:rPr>
      </w:pPr>
      <w:r>
        <w:rPr>
          <w:rFonts w:ascii="Arial" w:eastAsia="Times New Roman" w:hAnsi="Arial" w:cs="Arial"/>
          <w:kern w:val="0"/>
          <w14:ligatures w14:val="none"/>
        </w:rPr>
        <w:t xml:space="preserve">O capital humano destaca-se e </w:t>
      </w:r>
      <w:r>
        <w:rPr>
          <w:rFonts w:ascii="Arial" w:eastAsia="Times New Roman" w:hAnsi="Arial" w:cs="Arial"/>
          <w:kern w:val="0"/>
          <w:lang w:val="pt-PT"/>
          <w14:ligatures w14:val="none"/>
        </w:rPr>
        <w:t xml:space="preserve">se torna uma poderosa ferramenta para implementação de políticas educacionais que priorizam a formação técnica e profissional em detrimento da educação crítica e reflexiva corroborando com as ideias neoliberais onde a “reflexão não tem mais espaço no meio de produtividade do mercado competitivo” (MANZI FILHO, 2022, p. 253). Apesar de todos os vestígios de modernizações, com um discurso desvirtuado de que se está inserindo a inovação para que a educação tenha mais qualidade, o objetivo central continua sendo o de “conformar os alunos ao mercado de trabalho tal como ele necessita”, ou seja, de acordo com critérios da produtividade das empresas (MANZI FILHO, 2022, p. 235). </w:t>
      </w:r>
    </w:p>
    <w:p w14:paraId="24E8AED0" w14:textId="77777777" w:rsidR="00F33B4D" w:rsidRDefault="00000000">
      <w:pPr>
        <w:spacing w:after="0" w:line="360" w:lineRule="auto"/>
        <w:ind w:firstLine="708"/>
        <w:jc w:val="both"/>
        <w:rPr>
          <w:rFonts w:ascii="Arial" w:hAnsi="Arial" w:cs="Arial"/>
        </w:rPr>
      </w:pPr>
      <w:r>
        <w:rPr>
          <w:rFonts w:ascii="Arial" w:hAnsi="Arial" w:cs="Arial"/>
        </w:rPr>
        <w:t xml:space="preserve">Os empresários, de olho na escola, sem querer correr o risco de que o controle “político e ideológico” fosse perdido, “consideram a si mesmos a própria solução do problema: nada melhor do que eles mesmos assumirem a direção do processo educativo. Isso exige que se desmoralize o magistério e os profissionais da educação” […] (FREITAS, p. 1091, 2014). Desta forma, disputar as agendas educacionais é estratégia para que consigam ter o perfil de trabalhadores que esperam na porta de suas empresas como, também, impedir que a escola consiga ir além da versão tecnicista e </w:t>
      </w:r>
      <w:proofErr w:type="spellStart"/>
      <w:r>
        <w:rPr>
          <w:rFonts w:ascii="Arial" w:hAnsi="Arial" w:cs="Arial"/>
        </w:rPr>
        <w:t>escolanovista</w:t>
      </w:r>
      <w:proofErr w:type="spellEnd"/>
      <w:r>
        <w:rPr>
          <w:rFonts w:ascii="Arial" w:hAnsi="Arial" w:cs="Arial"/>
        </w:rPr>
        <w:t xml:space="preserve">. </w:t>
      </w:r>
    </w:p>
    <w:p w14:paraId="0D871F88" w14:textId="77777777" w:rsidR="00F33B4D" w:rsidRDefault="00000000">
      <w:pPr>
        <w:widowControl w:val="0"/>
        <w:tabs>
          <w:tab w:val="left" w:pos="720"/>
        </w:tabs>
        <w:spacing w:after="0" w:line="360" w:lineRule="auto"/>
        <w:jc w:val="both"/>
        <w:rPr>
          <w:rFonts w:ascii="Arial" w:eastAsia="Times New Roman" w:hAnsi="Arial" w:cs="Arial"/>
          <w:kern w:val="0"/>
          <w:lang w:val="pt-PT"/>
          <w14:ligatures w14:val="none"/>
        </w:rPr>
      </w:pPr>
      <w:r>
        <w:rPr>
          <w:rFonts w:ascii="Arial" w:eastAsia="Times New Roman" w:hAnsi="Arial" w:cs="Arial"/>
          <w:kern w:val="0"/>
          <w14:ligatures w14:val="none"/>
        </w:rPr>
        <w:tab/>
      </w:r>
      <w:r>
        <w:rPr>
          <w:rFonts w:ascii="Arial" w:hAnsi="Arial" w:cs="Arial"/>
        </w:rPr>
        <w:t>A lógica de administração pública assume os pressupostos da gestão empresarial ao ponto de que “a</w:t>
      </w:r>
      <w:r>
        <w:rPr>
          <w:rFonts w:ascii="Arial" w:hAnsi="Arial" w:cs="Arial"/>
          <w:spacing w:val="-14"/>
        </w:rPr>
        <w:t xml:space="preserve"> </w:t>
      </w:r>
      <w:r>
        <w:rPr>
          <w:rFonts w:ascii="Arial" w:hAnsi="Arial" w:cs="Arial"/>
        </w:rPr>
        <w:t>atuação</w:t>
      </w:r>
      <w:r>
        <w:rPr>
          <w:rFonts w:ascii="Arial" w:hAnsi="Arial" w:cs="Arial"/>
          <w:spacing w:val="-14"/>
        </w:rPr>
        <w:t xml:space="preserve"> </w:t>
      </w:r>
      <w:r>
        <w:rPr>
          <w:rFonts w:ascii="Arial" w:hAnsi="Arial" w:cs="Arial"/>
        </w:rPr>
        <w:t xml:space="preserve">desses grupos tem-se mostrado efetiva na própria elaboração do texto da legislação” </w:t>
      </w:r>
      <w:r>
        <w:rPr>
          <w:rFonts w:ascii="Arial" w:hAnsi="Arial" w:cs="Arial"/>
          <w:spacing w:val="-4"/>
        </w:rPr>
        <w:t>(ANADON; SILVA; 2023, p. 6).</w:t>
      </w:r>
      <w:r>
        <w:rPr>
          <w:rFonts w:ascii="Arial" w:hAnsi="Arial" w:cs="Arial"/>
        </w:rPr>
        <w:t xml:space="preserve"> As políticas educacionais são horizontes para a formação continuada oferecida pelas redes de ensino, portanto, ficam imbricadas de orientações de cunho </w:t>
      </w:r>
      <w:r>
        <w:rPr>
          <w:rFonts w:ascii="Arial" w:hAnsi="Arial" w:cs="Arial"/>
        </w:rPr>
        <w:lastRenderedPageBreak/>
        <w:t xml:space="preserve">neoliberal. Esse fenômeno resulta gradativamente em uma desvalorização do “campo da organização do trabalho pedagógico da sala de aula”, a favor do foco excessivo no ensino de “conteúdos específicos do currículo escolar” (MANZI FILHO, p. 257), o que compromete não apenas a formação integral dos alunos, mas também limita a capacidade dos educadores de desenvolver práticas pedagógicas mais críticas e reflexivas, essenciais para a formação de cidadãos conscientes e engajados. Deste modo, a formação continuada passa a seguir também uma lógica utilitarista (LAVAL, </w:t>
      </w:r>
      <w:r>
        <w:rPr>
          <w:rFonts w:ascii="Arial" w:eastAsia="Times New Roman" w:hAnsi="Arial" w:cs="Arial"/>
          <w:kern w:val="0"/>
          <w:lang w:val="pt-PT"/>
          <w14:ligatures w14:val="none"/>
        </w:rPr>
        <w:t xml:space="preserve">2019). </w:t>
      </w:r>
    </w:p>
    <w:p w14:paraId="13D16DFD" w14:textId="77777777" w:rsidR="00F33B4D" w:rsidRDefault="00000000">
      <w:pPr>
        <w:widowControl w:val="0"/>
        <w:tabs>
          <w:tab w:val="left" w:pos="720"/>
        </w:tabs>
        <w:spacing w:after="0" w:line="360" w:lineRule="auto"/>
        <w:jc w:val="both"/>
        <w:rPr>
          <w:rFonts w:ascii="Arial" w:hAnsi="Arial" w:cs="Arial"/>
        </w:rPr>
      </w:pPr>
      <w:r>
        <w:rPr>
          <w:rFonts w:ascii="Arial" w:hAnsi="Arial" w:cs="Arial"/>
        </w:rPr>
        <w:tab/>
        <w:t>O professor, enquanto agente da organização do trabalho pedagógico, da intencionalidade do ato educativo, é responsável por fatores ligados diretamente à formação humana. Portanto, sua prática não pode, na perspectiva neoliberal, ser pautada na autonomia. Para tanto, estratégias de controle são implementas, entre elas, a gestão verticalizada, padronizando o trabalho pedagógico, “de forma a cercear um possível avanço progressista no interior da escola e atrelar esta instituição às necessidades da reestruturação produtiva e do crescimento empresarial” (FREITAS, 2014, p. 1092). A formação continuada, que deveria ter bases mais críticas e avançadas, tem sido atrelada ao “domínio dos conteúdos expresso no currículo oficial” (FREITAS, 2014, p. 1103), neste caso, à própria Base Nacional Comum Curricular – BNCC, com padronização dos métodos, muitas das vezes oferecidas por empresas de consultoria e pela ampliação de processos de apostilamento. Afinal, direcionar/controlar é preciso!</w:t>
      </w:r>
    </w:p>
    <w:p w14:paraId="6475449F" w14:textId="77777777" w:rsidR="00F33B4D" w:rsidRDefault="00000000">
      <w:pPr>
        <w:widowControl w:val="0"/>
        <w:tabs>
          <w:tab w:val="left" w:pos="720"/>
        </w:tabs>
        <w:spacing w:after="0" w:line="360" w:lineRule="auto"/>
        <w:jc w:val="both"/>
        <w:rPr>
          <w:rFonts w:ascii="Arial" w:hAnsi="Arial" w:cs="Arial"/>
        </w:rPr>
      </w:pPr>
      <w:r>
        <w:rPr>
          <w:rFonts w:ascii="Arial" w:hAnsi="Arial" w:cs="Arial"/>
        </w:rPr>
        <w:tab/>
      </w:r>
      <w:proofErr w:type="spellStart"/>
      <w:r>
        <w:rPr>
          <w:rFonts w:ascii="Arial" w:eastAsia="Times New Roman" w:hAnsi="Arial" w:cs="Arial"/>
          <w:kern w:val="0"/>
          <w14:ligatures w14:val="none"/>
        </w:rPr>
        <w:t>Frigotto</w:t>
      </w:r>
      <w:proofErr w:type="spellEnd"/>
      <w:r>
        <w:rPr>
          <w:rFonts w:ascii="Arial" w:eastAsia="Times New Roman" w:hAnsi="Arial" w:cs="Arial"/>
          <w:kern w:val="0"/>
          <w14:ligatures w14:val="none"/>
        </w:rPr>
        <w:t xml:space="preserve">, citado por Manzi Filho (2022, p. 242) esclarece que a educação, embora esteja subordinada ao capital, “é um campo de batalha entre classes”, </w:t>
      </w:r>
      <w:r>
        <w:rPr>
          <w:rFonts w:ascii="Arial" w:hAnsi="Arial" w:cs="Arial"/>
        </w:rPr>
        <w:t xml:space="preserve">enquanto disputa hegemônica. Se o processo educacional atuar na contramão dos princípios neoliberais, superando os conteúdos ideológicos, se posicionado enquanto prática transformadora, promoverá uma forma de resistência à dominação social, favorecendo relações políticas e sociais que sejam menos opressivas e mais humanizadoras (SEVERINO, 2001). Para tanto, é necessário que os professores exerçam o “permanente cultivo da interrogação, do pensamento, da crítica, da contestação” (SEVERINO, 2001, p. 199). Esse movimento só é possível com autonomia que, por sua vez, é “central para o </w:t>
      </w:r>
      <w:r>
        <w:rPr>
          <w:rFonts w:ascii="Arial" w:hAnsi="Arial" w:cs="Arial"/>
        </w:rPr>
        <w:lastRenderedPageBreak/>
        <w:t xml:space="preserve">exercício e para a autoformação docente, pois sem essa é impossível educar para a liberdade e emancipação humana” (ALMEIDA, MARTINS, GONÇALVES, 2022, p. 7). É necessário, que o campo de formação continuada dos professores seja fortalecido, se contrapondo à negação da ciência, a favor da formação em condições </w:t>
      </w:r>
      <w:proofErr w:type="spellStart"/>
      <w:r>
        <w:rPr>
          <w:rFonts w:ascii="Arial" w:hAnsi="Arial" w:cs="Arial"/>
        </w:rPr>
        <w:t>omnilaterais</w:t>
      </w:r>
      <w:proofErr w:type="spellEnd"/>
      <w:r>
        <w:rPr>
          <w:rFonts w:ascii="Arial" w:hAnsi="Arial" w:cs="Arial"/>
        </w:rPr>
        <w:t xml:space="preserve"> (MANZI, 2022). </w:t>
      </w:r>
    </w:p>
    <w:p w14:paraId="01D66D12" w14:textId="77777777" w:rsidR="00F33B4D" w:rsidRDefault="00F33B4D">
      <w:pPr>
        <w:spacing w:after="0" w:line="360" w:lineRule="auto"/>
        <w:jc w:val="both"/>
        <w:rPr>
          <w:rFonts w:ascii="Arial" w:hAnsi="Arial" w:cs="Arial"/>
        </w:rPr>
      </w:pPr>
    </w:p>
    <w:p w14:paraId="1A22EED5" w14:textId="77777777" w:rsidR="00F33B4D" w:rsidRDefault="00000000">
      <w:pPr>
        <w:spacing w:after="0" w:line="360" w:lineRule="auto"/>
        <w:jc w:val="both"/>
        <w:rPr>
          <w:rFonts w:ascii="Arial" w:hAnsi="Arial" w:cs="Arial"/>
          <w:b/>
          <w:bCs/>
        </w:rPr>
      </w:pPr>
      <w:r>
        <w:rPr>
          <w:rFonts w:ascii="Arial" w:hAnsi="Arial" w:cs="Arial"/>
          <w:b/>
          <w:bCs/>
        </w:rPr>
        <w:t xml:space="preserve">CONSIDERAÇÕES FINAIS </w:t>
      </w:r>
    </w:p>
    <w:p w14:paraId="49312A10" w14:textId="77777777" w:rsidR="00F33B4D" w:rsidRDefault="00000000">
      <w:pPr>
        <w:widowControl w:val="0"/>
        <w:tabs>
          <w:tab w:val="left" w:pos="720"/>
        </w:tabs>
        <w:spacing w:after="0" w:line="360" w:lineRule="auto"/>
        <w:jc w:val="both"/>
        <w:rPr>
          <w:rFonts w:ascii="Arial" w:hAnsi="Arial" w:cs="Arial"/>
        </w:rPr>
      </w:pPr>
      <w:r>
        <w:rPr>
          <w:rFonts w:ascii="Arial" w:hAnsi="Arial" w:cs="Arial"/>
        </w:rPr>
        <w:tab/>
        <w:t xml:space="preserve">Impulsionada pelo neoliberalismo, vivenciamos uma crescente naturalização da parceria entre o público e o privado. Se vende a ilusória ideia de que essa parceria melhoria </w:t>
      </w:r>
      <w:proofErr w:type="spellStart"/>
      <w:r>
        <w:rPr>
          <w:rFonts w:ascii="Arial" w:hAnsi="Arial" w:cs="Arial"/>
        </w:rPr>
        <w:t>a</w:t>
      </w:r>
      <w:proofErr w:type="spellEnd"/>
      <w:r>
        <w:rPr>
          <w:rFonts w:ascii="Arial" w:hAnsi="Arial" w:cs="Arial"/>
        </w:rPr>
        <w:t xml:space="preserve"> qualidade que o Estado, supostamente, não consegue proporcionar às escolas da educação básica. </w:t>
      </w:r>
    </w:p>
    <w:p w14:paraId="7E2779A1" w14:textId="77777777" w:rsidR="00F33B4D" w:rsidRDefault="00000000">
      <w:pPr>
        <w:widowControl w:val="0"/>
        <w:tabs>
          <w:tab w:val="left" w:pos="720"/>
        </w:tabs>
        <w:spacing w:after="0" w:line="360" w:lineRule="auto"/>
        <w:jc w:val="both"/>
        <w:rPr>
          <w:rFonts w:ascii="Arial" w:hAnsi="Arial" w:cs="Arial"/>
        </w:rPr>
      </w:pPr>
      <w:r>
        <w:rPr>
          <w:rFonts w:ascii="Arial" w:hAnsi="Arial" w:cs="Arial"/>
        </w:rPr>
        <w:tab/>
        <w:t xml:space="preserve">Na lógica do capitalismo o processo de ensino aprendizagem deve ser pautado no ensino de conteúdos necessários para a capacitação para o mercado quando deveria ser para o trabalho. Neste caso, a formação continuada de professores também foi paulatinamente invadida pelas empresas privadas implementando formações de cunho prioritariamente técnico, com a finalidade de enfraquecer a categoria. </w:t>
      </w:r>
    </w:p>
    <w:p w14:paraId="4B72232D" w14:textId="77777777" w:rsidR="00F33B4D" w:rsidRDefault="00000000">
      <w:pPr>
        <w:widowControl w:val="0"/>
        <w:tabs>
          <w:tab w:val="left" w:pos="720"/>
        </w:tabs>
        <w:spacing w:after="0" w:line="360" w:lineRule="auto"/>
        <w:jc w:val="both"/>
        <w:rPr>
          <w:rFonts w:ascii="Arial" w:hAnsi="Arial" w:cs="Arial"/>
        </w:rPr>
      </w:pPr>
      <w:r>
        <w:rPr>
          <w:rFonts w:ascii="Arial" w:hAnsi="Arial" w:cs="Arial"/>
        </w:rPr>
        <w:tab/>
        <w:t xml:space="preserve">Diante deste quadro, a formação continuada precisa ser ponto de pauta e de resistência, pois abrange aspectos tanto objetivos quanto subjetivos que impactam diretamente sobre o ensino na educação básica. Desta forma, não pode ser restrita a competências e habilidades, é necessário que seja discutida e pensada do ponto de vista técnico, científico, humano e crítico. </w:t>
      </w:r>
    </w:p>
    <w:p w14:paraId="74BC61C4" w14:textId="77777777" w:rsidR="00F33B4D" w:rsidRDefault="00F33B4D">
      <w:pPr>
        <w:spacing w:after="0" w:line="360" w:lineRule="auto"/>
        <w:jc w:val="both"/>
        <w:rPr>
          <w:rFonts w:ascii="Arial" w:hAnsi="Arial" w:cs="Arial"/>
        </w:rPr>
      </w:pPr>
    </w:p>
    <w:p w14:paraId="79FF9609" w14:textId="77777777" w:rsidR="00F33B4D" w:rsidRDefault="00000000">
      <w:pPr>
        <w:spacing w:after="0" w:line="360" w:lineRule="auto"/>
        <w:jc w:val="both"/>
        <w:rPr>
          <w:rFonts w:ascii="Arial" w:hAnsi="Arial" w:cs="Arial"/>
          <w:b/>
          <w:bCs/>
        </w:rPr>
      </w:pPr>
      <w:r>
        <w:rPr>
          <w:rFonts w:ascii="Arial" w:hAnsi="Arial" w:cs="Arial"/>
          <w:b/>
          <w:bCs/>
        </w:rPr>
        <w:t xml:space="preserve">REFERÊNCIAS </w:t>
      </w:r>
    </w:p>
    <w:p w14:paraId="1AB45247" w14:textId="77777777" w:rsidR="00065785" w:rsidRDefault="00065785">
      <w:pPr>
        <w:widowControl w:val="0"/>
        <w:tabs>
          <w:tab w:val="left" w:pos="720"/>
        </w:tabs>
        <w:spacing w:after="0" w:line="360" w:lineRule="auto"/>
        <w:jc w:val="both"/>
        <w:rPr>
          <w:rFonts w:ascii="Arial" w:hAnsi="Arial" w:cs="Arial"/>
        </w:rPr>
      </w:pPr>
      <w:r>
        <w:rPr>
          <w:rFonts w:ascii="Arial" w:hAnsi="Arial" w:cs="Arial"/>
        </w:rPr>
        <w:t xml:space="preserve">ALMEIDA, Janaina Aparecida de Mattos; MARTINS, Fernando José; GONÇALVES, Gisele de Souza. </w:t>
      </w:r>
      <w:r>
        <w:rPr>
          <w:rFonts w:ascii="Arial" w:hAnsi="Arial" w:cs="Arial"/>
          <w:b/>
          <w:bCs/>
        </w:rPr>
        <w:t xml:space="preserve">Formação continuada de professores e Paulo Freire: </w:t>
      </w:r>
      <w:r>
        <w:rPr>
          <w:rFonts w:ascii="Arial" w:hAnsi="Arial" w:cs="Arial"/>
        </w:rPr>
        <w:t>Sobre atualidade e necessidade. Revista Dialogia, São Paulo,n.42, p. 1-16, e21629,set./dez.2022.</w:t>
      </w:r>
    </w:p>
    <w:p w14:paraId="12C53A73" w14:textId="77777777" w:rsidR="00065785" w:rsidRDefault="00065785">
      <w:pPr>
        <w:widowControl w:val="0"/>
        <w:tabs>
          <w:tab w:val="left" w:pos="720"/>
        </w:tabs>
        <w:spacing w:after="0" w:line="360" w:lineRule="auto"/>
        <w:jc w:val="both"/>
        <w:rPr>
          <w:rFonts w:ascii="Arial" w:hAnsi="Arial" w:cs="Arial"/>
        </w:rPr>
      </w:pPr>
      <w:r>
        <w:rPr>
          <w:rFonts w:ascii="Arial" w:hAnsi="Arial" w:cs="Arial"/>
        </w:rPr>
        <w:t>ANADON, S.B.; SILVA, S.G.</w:t>
      </w:r>
      <w:r>
        <w:rPr>
          <w:rFonts w:ascii="Arial" w:hAnsi="Arial" w:cs="Arial"/>
          <w:b/>
          <w:bCs/>
        </w:rPr>
        <w:t xml:space="preserve"> Políticas de Formação Continuada e Desenvolvimento Profissional Docente</w:t>
      </w:r>
      <w:r>
        <w:rPr>
          <w:rFonts w:ascii="Arial" w:hAnsi="Arial" w:cs="Arial"/>
        </w:rPr>
        <w:t xml:space="preserve">: uma estratégia de </w:t>
      </w:r>
      <w:proofErr w:type="spellStart"/>
      <w:r>
        <w:rPr>
          <w:rFonts w:ascii="Arial" w:hAnsi="Arial" w:cs="Arial"/>
        </w:rPr>
        <w:t>governamentalidade</w:t>
      </w:r>
      <w:proofErr w:type="spellEnd"/>
      <w:r>
        <w:rPr>
          <w:rFonts w:ascii="Arial" w:hAnsi="Arial" w:cs="Arial"/>
        </w:rPr>
        <w:t xml:space="preserve"> neoliberal empresarial. Educar em Revista, Curitiba, v. 39, </w:t>
      </w:r>
      <w:r>
        <w:rPr>
          <w:rFonts w:ascii="Arial" w:hAnsi="Arial" w:cs="Arial"/>
        </w:rPr>
        <w:lastRenderedPageBreak/>
        <w:t xml:space="preserve">e88029, 2023. Disponível em &lt; file:///C:/Users/User/Downloads/acsarjunior,+88029.pdf&gt;. Acesso em 10/03/2025. </w:t>
      </w:r>
    </w:p>
    <w:p w14:paraId="335FFA49" w14:textId="77777777" w:rsidR="00065785" w:rsidRDefault="00065785">
      <w:pPr>
        <w:widowControl w:val="0"/>
        <w:tabs>
          <w:tab w:val="left" w:pos="720"/>
        </w:tabs>
        <w:spacing w:after="0" w:line="360" w:lineRule="auto"/>
        <w:jc w:val="both"/>
        <w:rPr>
          <w:rFonts w:ascii="Arial" w:hAnsi="Arial" w:cs="Arial"/>
        </w:rPr>
      </w:pPr>
      <w:r>
        <w:rPr>
          <w:rFonts w:ascii="Arial" w:hAnsi="Arial" w:cs="Arial"/>
        </w:rPr>
        <w:t xml:space="preserve">BRASIL. </w:t>
      </w:r>
      <w:r>
        <w:rPr>
          <w:rFonts w:ascii="Arial" w:hAnsi="Arial" w:cs="Arial"/>
          <w:b/>
          <w:bCs/>
        </w:rPr>
        <w:t>Resolução CNE/CP nº 1, de 27 de outubro de 2020</w:t>
      </w:r>
      <w:r>
        <w:rPr>
          <w:rFonts w:ascii="Arial" w:hAnsi="Arial" w:cs="Arial"/>
        </w:rPr>
        <w:t>. Dispõe sobre as Diretrizes Curriculares Nacionais para a Formação Continuada de Professores da Educação Básica e institui a Base Nacional Comum para a Formação Continuada de Professores da Educação Básica (BNC-Formação Continuada). </w:t>
      </w:r>
    </w:p>
    <w:p w14:paraId="04119851" w14:textId="77777777" w:rsidR="00065785" w:rsidRDefault="00065785">
      <w:pPr>
        <w:spacing w:after="0" w:line="360" w:lineRule="auto"/>
        <w:jc w:val="both"/>
        <w:rPr>
          <w:rFonts w:ascii="Arial" w:hAnsi="Arial" w:cs="Arial"/>
        </w:rPr>
      </w:pPr>
      <w:r>
        <w:rPr>
          <w:rFonts w:ascii="Arial" w:eastAsia="Times New Roman" w:hAnsi="Arial" w:cs="Arial"/>
          <w:lang w:eastAsia="pt-BR"/>
        </w:rPr>
        <w:t xml:space="preserve">FREITAS, L. C. </w:t>
      </w:r>
      <w:r>
        <w:rPr>
          <w:rFonts w:ascii="Arial" w:eastAsia="Times New Roman" w:hAnsi="Arial" w:cs="Arial"/>
          <w:b/>
          <w:bCs/>
          <w:lang w:eastAsia="pt-BR"/>
        </w:rPr>
        <w:t>Os reformadores empresariais e a disputa pelo controle do processo pedagógico na escola.</w:t>
      </w:r>
      <w:r>
        <w:rPr>
          <w:rFonts w:ascii="Arial" w:eastAsia="Times New Roman" w:hAnsi="Arial" w:cs="Arial"/>
          <w:lang w:eastAsia="pt-BR"/>
        </w:rPr>
        <w:t xml:space="preserve"> </w:t>
      </w:r>
      <w:r>
        <w:rPr>
          <w:rFonts w:ascii="Arial" w:eastAsia="Times New Roman" w:hAnsi="Arial" w:cs="Arial"/>
          <w:bCs/>
          <w:lang w:eastAsia="pt-BR"/>
        </w:rPr>
        <w:t>Educ. Soc</w:t>
      </w:r>
      <w:r>
        <w:rPr>
          <w:rFonts w:ascii="Arial" w:eastAsia="Times New Roman" w:hAnsi="Arial" w:cs="Arial"/>
          <w:lang w:eastAsia="pt-BR"/>
        </w:rPr>
        <w:t>., Campinas, v. 35, nº. 129, p. 1085-1114, out.-dez., 2014.</w:t>
      </w:r>
    </w:p>
    <w:p w14:paraId="320D0E14" w14:textId="77777777" w:rsidR="00065785" w:rsidRDefault="00065785">
      <w:pPr>
        <w:spacing w:after="0" w:line="360" w:lineRule="auto"/>
        <w:ind w:right="45"/>
        <w:jc w:val="both"/>
        <w:rPr>
          <w:rFonts w:ascii="Arial" w:hAnsi="Arial" w:cs="Arial"/>
        </w:rPr>
      </w:pPr>
      <w:r>
        <w:rPr>
          <w:rFonts w:ascii="Arial" w:hAnsi="Arial" w:cs="Arial"/>
        </w:rPr>
        <w:t xml:space="preserve">FREITAS, Luiz C.  </w:t>
      </w:r>
      <w:r>
        <w:rPr>
          <w:rFonts w:ascii="Arial" w:hAnsi="Arial" w:cs="Arial"/>
          <w:b/>
          <w:bCs/>
        </w:rPr>
        <w:t>A reforma empresarial da Educação</w:t>
      </w:r>
      <w:r>
        <w:rPr>
          <w:rFonts w:ascii="Arial" w:hAnsi="Arial" w:cs="Arial"/>
        </w:rPr>
        <w:t>: nova direita, velhas ideias. São Paulo: Expressão Popular, 2018.</w:t>
      </w:r>
    </w:p>
    <w:p w14:paraId="39E1E703" w14:textId="77777777" w:rsidR="00065785" w:rsidRDefault="00065785">
      <w:pPr>
        <w:spacing w:after="0" w:line="360" w:lineRule="auto"/>
        <w:jc w:val="both"/>
        <w:rPr>
          <w:rFonts w:ascii="Arial" w:hAnsi="Arial" w:cs="Arial"/>
        </w:rPr>
      </w:pPr>
      <w:r>
        <w:rPr>
          <w:rFonts w:ascii="Arial" w:hAnsi="Arial" w:cs="Arial"/>
        </w:rPr>
        <w:t xml:space="preserve">GONSALVES, Elisa Pereira. </w:t>
      </w:r>
      <w:r>
        <w:rPr>
          <w:rFonts w:ascii="Arial" w:hAnsi="Arial" w:cs="Arial"/>
          <w:b/>
          <w:bCs/>
        </w:rPr>
        <w:t>Conversando sobre iniciação a pesquisa científica.</w:t>
      </w:r>
      <w:r>
        <w:rPr>
          <w:rFonts w:ascii="Arial" w:hAnsi="Arial" w:cs="Arial"/>
        </w:rPr>
        <w:t xml:space="preserve"> 5. ed. Campinas, SP: Editora Alínea, 2011.</w:t>
      </w:r>
    </w:p>
    <w:p w14:paraId="2A683E73" w14:textId="77777777" w:rsidR="00065785" w:rsidRDefault="00065785">
      <w:pPr>
        <w:pStyle w:val="Ttulo1"/>
        <w:tabs>
          <w:tab w:val="left" w:pos="412"/>
        </w:tabs>
        <w:spacing w:before="0" w:after="0" w:line="360" w:lineRule="auto"/>
        <w:jc w:val="both"/>
        <w:rPr>
          <w:rFonts w:ascii="Arial" w:hAnsi="Arial" w:cs="Arial"/>
          <w:color w:val="auto"/>
          <w:sz w:val="24"/>
          <w:szCs w:val="24"/>
        </w:rPr>
      </w:pPr>
      <w:r>
        <w:rPr>
          <w:rFonts w:ascii="Arial" w:hAnsi="Arial" w:cs="Arial"/>
          <w:color w:val="auto"/>
          <w:sz w:val="24"/>
          <w:szCs w:val="24"/>
        </w:rPr>
        <w:t>LAVAL. Christian.</w:t>
      </w:r>
      <w:r>
        <w:rPr>
          <w:rFonts w:ascii="Arial" w:hAnsi="Arial" w:cs="Arial"/>
          <w:b/>
          <w:bCs/>
          <w:color w:val="auto"/>
          <w:sz w:val="24"/>
          <w:szCs w:val="24"/>
        </w:rPr>
        <w:t xml:space="preserve"> A Escola não é uma Empresa: </w:t>
      </w:r>
      <w:r>
        <w:rPr>
          <w:rFonts w:ascii="Arial" w:hAnsi="Arial" w:cs="Arial"/>
          <w:color w:val="auto"/>
          <w:sz w:val="24"/>
          <w:szCs w:val="24"/>
        </w:rPr>
        <w:t xml:space="preserve">o neoliberalismo em ataque ao ensino público. Tradução: Mariana </w:t>
      </w:r>
      <w:proofErr w:type="spellStart"/>
      <w:r>
        <w:rPr>
          <w:rFonts w:ascii="Arial" w:hAnsi="Arial" w:cs="Arial"/>
          <w:color w:val="auto"/>
          <w:sz w:val="24"/>
          <w:szCs w:val="24"/>
        </w:rPr>
        <w:t>Echalar</w:t>
      </w:r>
      <w:proofErr w:type="spellEnd"/>
      <w:r>
        <w:rPr>
          <w:rFonts w:ascii="Arial" w:hAnsi="Arial" w:cs="Arial"/>
          <w:color w:val="auto"/>
          <w:sz w:val="24"/>
          <w:szCs w:val="24"/>
        </w:rPr>
        <w:t>. São Paulo: Boitempo, 2019.</w:t>
      </w:r>
    </w:p>
    <w:p w14:paraId="7C308BE1" w14:textId="77777777" w:rsidR="00065785" w:rsidRDefault="00065785">
      <w:pPr>
        <w:pStyle w:val="Ttulo1"/>
        <w:tabs>
          <w:tab w:val="left" w:pos="412"/>
        </w:tabs>
        <w:spacing w:before="0" w:after="0" w:line="360" w:lineRule="auto"/>
        <w:jc w:val="both"/>
        <w:rPr>
          <w:rFonts w:ascii="Arial" w:hAnsi="Arial" w:cs="Arial"/>
          <w:bCs/>
          <w:color w:val="auto"/>
          <w:sz w:val="24"/>
          <w:szCs w:val="24"/>
        </w:rPr>
      </w:pPr>
      <w:r>
        <w:rPr>
          <w:rFonts w:ascii="Arial" w:hAnsi="Arial" w:cs="Arial"/>
          <w:bCs/>
          <w:color w:val="auto"/>
          <w:sz w:val="24"/>
          <w:szCs w:val="24"/>
        </w:rPr>
        <w:t>MANZI, Ronaldo.</w:t>
      </w:r>
      <w:r>
        <w:rPr>
          <w:rFonts w:ascii="Arial" w:hAnsi="Arial" w:cs="Arial"/>
          <w:b/>
          <w:color w:val="auto"/>
          <w:sz w:val="24"/>
          <w:szCs w:val="24"/>
        </w:rPr>
        <w:t xml:space="preserve"> Neoliberalismo e Educação</w:t>
      </w:r>
      <w:r>
        <w:rPr>
          <w:rFonts w:ascii="Arial" w:hAnsi="Arial" w:cs="Arial"/>
          <w:bCs/>
          <w:color w:val="auto"/>
          <w:sz w:val="24"/>
          <w:szCs w:val="24"/>
        </w:rPr>
        <w:t xml:space="preserve">: Conversas e desconversas. Curitiba: Editorial CASA, 2022.  Capítulo 3: Neoliberalismo e Educação p. 235-297. </w:t>
      </w:r>
    </w:p>
    <w:p w14:paraId="6D73293A" w14:textId="77777777" w:rsidR="00065785" w:rsidRDefault="00065785">
      <w:pPr>
        <w:widowControl w:val="0"/>
        <w:tabs>
          <w:tab w:val="left" w:pos="720"/>
        </w:tabs>
        <w:spacing w:after="0" w:line="360" w:lineRule="auto"/>
        <w:jc w:val="both"/>
        <w:rPr>
          <w:rFonts w:ascii="Arial" w:hAnsi="Arial" w:cs="Arial"/>
        </w:rPr>
      </w:pPr>
      <w:r>
        <w:rPr>
          <w:rFonts w:ascii="Arial" w:hAnsi="Arial" w:cs="Arial"/>
        </w:rPr>
        <w:t xml:space="preserve">ROSSI, F., </w:t>
      </w:r>
      <w:proofErr w:type="spellStart"/>
      <w:r>
        <w:rPr>
          <w:rFonts w:ascii="Arial" w:hAnsi="Arial" w:cs="Arial"/>
        </w:rPr>
        <w:t>and</w:t>
      </w:r>
      <w:proofErr w:type="spellEnd"/>
      <w:r>
        <w:rPr>
          <w:rFonts w:ascii="Arial" w:hAnsi="Arial" w:cs="Arial"/>
        </w:rPr>
        <w:t xml:space="preserve"> HUNGER, D. A. C. F. </w:t>
      </w:r>
      <w:r>
        <w:rPr>
          <w:rFonts w:ascii="Arial" w:hAnsi="Arial" w:cs="Arial"/>
          <w:b/>
          <w:bCs/>
        </w:rPr>
        <w:t>As ações de formação continuada:</w:t>
      </w:r>
      <w:r>
        <w:rPr>
          <w:rFonts w:ascii="Arial" w:hAnsi="Arial" w:cs="Arial"/>
        </w:rPr>
        <w:t xml:space="preserve"> contextos e perspectivas docentes. In: A formação continuada sob análise do professor escolar [online]. São Paulo: Editora UNESP, 2013, pp. 53-100. ISBN: 978-85-393-0419-6. https://doi.org/10.7476/9786557144787.0005.</w:t>
      </w:r>
    </w:p>
    <w:p w14:paraId="760184E3" w14:textId="77777777" w:rsidR="00065785" w:rsidRDefault="00065785">
      <w:pPr>
        <w:spacing w:after="0" w:line="360" w:lineRule="auto"/>
        <w:jc w:val="both"/>
        <w:rPr>
          <w:rFonts w:ascii="Arial" w:hAnsi="Arial" w:cs="Arial"/>
        </w:rPr>
      </w:pPr>
      <w:r>
        <w:rPr>
          <w:rFonts w:ascii="Arial" w:hAnsi="Arial" w:cs="Arial"/>
        </w:rPr>
        <w:t xml:space="preserve">SANTOS, Boaventura de Sousa. </w:t>
      </w:r>
      <w:r>
        <w:rPr>
          <w:rFonts w:ascii="Arial" w:hAnsi="Arial" w:cs="Arial"/>
          <w:b/>
          <w:bCs/>
        </w:rPr>
        <w:t>Um discurso sobre as ciências</w:t>
      </w:r>
      <w:r>
        <w:rPr>
          <w:rFonts w:ascii="Arial" w:hAnsi="Arial" w:cs="Arial"/>
        </w:rPr>
        <w:t>. Porto: B. Sousa Santos e Edições Afrontamento, 2008.</w:t>
      </w:r>
    </w:p>
    <w:p w14:paraId="3353EB2E" w14:textId="77777777" w:rsidR="00065785" w:rsidRDefault="00065785">
      <w:pPr>
        <w:spacing w:after="0" w:line="360" w:lineRule="auto"/>
        <w:jc w:val="both"/>
        <w:rPr>
          <w:rFonts w:ascii="Arial" w:hAnsi="Arial" w:cs="Arial"/>
          <w:bCs/>
        </w:rPr>
      </w:pPr>
      <w:r>
        <w:rPr>
          <w:rFonts w:ascii="Arial" w:hAnsi="Arial" w:cs="Arial"/>
          <w:bCs/>
        </w:rPr>
        <w:t xml:space="preserve">SAVIANI, Dermeval; DUARTE, Newton. </w:t>
      </w:r>
      <w:r>
        <w:rPr>
          <w:rFonts w:ascii="Arial" w:hAnsi="Arial" w:cs="Arial"/>
          <w:b/>
        </w:rPr>
        <w:t>A formação humana na perspectiva histórico-ontológica</w:t>
      </w:r>
      <w:r>
        <w:rPr>
          <w:rFonts w:ascii="Arial" w:hAnsi="Arial" w:cs="Arial"/>
          <w:bCs/>
        </w:rPr>
        <w:t xml:space="preserve">. </w:t>
      </w:r>
      <w:r>
        <w:rPr>
          <w:rFonts w:ascii="Arial" w:hAnsi="Arial" w:cs="Arial"/>
        </w:rPr>
        <w:t>Revista Brasileira de Educação</w:t>
      </w:r>
      <w:r>
        <w:rPr>
          <w:rFonts w:ascii="Arial" w:hAnsi="Arial" w:cs="Arial"/>
          <w:bCs/>
        </w:rPr>
        <w:t>, v. 15, n. 45, p. 422-433, 2010.</w:t>
      </w:r>
    </w:p>
    <w:p w14:paraId="73C6A37D" w14:textId="766E75AF" w:rsidR="00F33B4D" w:rsidRDefault="00065785" w:rsidP="00065785">
      <w:pPr>
        <w:widowControl w:val="0"/>
        <w:tabs>
          <w:tab w:val="left" w:pos="720"/>
        </w:tabs>
        <w:spacing w:after="0" w:line="360" w:lineRule="auto"/>
        <w:jc w:val="both"/>
        <w:rPr>
          <w:rFonts w:ascii="Arial" w:hAnsi="Arial" w:cs="Arial"/>
        </w:rPr>
      </w:pPr>
      <w:r>
        <w:rPr>
          <w:rFonts w:ascii="Arial" w:hAnsi="Arial" w:cs="Arial"/>
        </w:rPr>
        <w:t xml:space="preserve">SEVERINO, Antônio Joaquim. </w:t>
      </w:r>
      <w:r>
        <w:rPr>
          <w:rFonts w:ascii="Arial" w:hAnsi="Arial" w:cs="Arial"/>
          <w:b/>
          <w:bCs/>
        </w:rPr>
        <w:t>Educação, sujeito e história</w:t>
      </w:r>
      <w:r>
        <w:rPr>
          <w:rFonts w:ascii="Arial" w:hAnsi="Arial" w:cs="Arial"/>
        </w:rPr>
        <w:t>. São Paulo: Olho d’Água, 2001.</w:t>
      </w:r>
    </w:p>
    <w:sectPr w:rsidR="00F33B4D">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5F0C7" w14:textId="77777777" w:rsidR="00B04544" w:rsidRDefault="00B04544">
      <w:pPr>
        <w:spacing w:after="0" w:line="240" w:lineRule="auto"/>
      </w:pPr>
      <w:r>
        <w:separator/>
      </w:r>
    </w:p>
  </w:endnote>
  <w:endnote w:type="continuationSeparator" w:id="0">
    <w:p w14:paraId="5C163543" w14:textId="77777777" w:rsidR="00B04544" w:rsidRDefault="00B04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41BC" w14:textId="77777777" w:rsidR="00F33B4D" w:rsidRDefault="00F33B4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4646A" w14:textId="77777777" w:rsidR="00F33B4D" w:rsidRDefault="00000000">
    <w:pPr>
      <w:pStyle w:val="Rodap"/>
      <w:ind w:left="-1560"/>
      <w:jc w:val="center"/>
    </w:pPr>
    <w:r>
      <w:rPr>
        <w:noProof/>
      </w:rPr>
      <w:drawing>
        <wp:inline distT="0" distB="0" distL="0" distR="0" wp14:anchorId="65A099D2" wp14:editId="5D3A05D9">
          <wp:extent cx="7391400" cy="365125"/>
          <wp:effectExtent l="0" t="0" r="0" b="0"/>
          <wp:docPr id="3" name="Imagem 9"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9" descr="Texto&#10;&#10;O conteúdo gerado por IA pode estar incorreto."/>
                  <pic:cNvPicPr>
                    <a:picLocks noChangeAspect="1" noChangeArrowheads="1"/>
                  </pic:cNvPicPr>
                </pic:nvPicPr>
                <pic:blipFill>
                  <a:blip r:embed="rId1"/>
                  <a:srcRect t="56463" b="34641"/>
                  <a:stretch>
                    <a:fillRect/>
                  </a:stretch>
                </pic:blipFill>
                <pic:spPr bwMode="auto">
                  <a:xfrm>
                    <a:off x="0" y="0"/>
                    <a:ext cx="7391400" cy="36512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8E582" w14:textId="77777777" w:rsidR="00F33B4D" w:rsidRDefault="00000000">
    <w:pPr>
      <w:pStyle w:val="Rodap"/>
      <w:ind w:left="-1560"/>
      <w:jc w:val="center"/>
    </w:pPr>
    <w:r>
      <w:rPr>
        <w:noProof/>
      </w:rPr>
      <w:drawing>
        <wp:inline distT="0" distB="0" distL="0" distR="0" wp14:anchorId="394BFA61" wp14:editId="32D13514">
          <wp:extent cx="7391400" cy="365125"/>
          <wp:effectExtent l="0" t="0" r="0" b="0"/>
          <wp:docPr id="4" name="Imagem 9"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9" descr="Texto&#10;&#10;O conteúdo gerado por IA pode estar incorreto."/>
                  <pic:cNvPicPr>
                    <a:picLocks noChangeAspect="1" noChangeArrowheads="1"/>
                  </pic:cNvPicPr>
                </pic:nvPicPr>
                <pic:blipFill>
                  <a:blip r:embed="rId1"/>
                  <a:srcRect t="56463" b="34641"/>
                  <a:stretch>
                    <a:fillRect/>
                  </a:stretch>
                </pic:blipFill>
                <pic:spPr bwMode="auto">
                  <a:xfrm>
                    <a:off x="0" y="0"/>
                    <a:ext cx="7391400" cy="3651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A619F" w14:textId="77777777" w:rsidR="00B04544" w:rsidRDefault="00B04544">
      <w:pPr>
        <w:spacing w:after="0" w:line="240" w:lineRule="auto"/>
      </w:pPr>
      <w:r>
        <w:separator/>
      </w:r>
    </w:p>
  </w:footnote>
  <w:footnote w:type="continuationSeparator" w:id="0">
    <w:p w14:paraId="47A49BEC" w14:textId="77777777" w:rsidR="00B04544" w:rsidRDefault="00B04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B06C1" w14:textId="77777777" w:rsidR="00F33B4D" w:rsidRDefault="00F33B4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B6B4" w14:textId="77777777" w:rsidR="00F33B4D" w:rsidRDefault="00000000">
    <w:pPr>
      <w:pStyle w:val="Cabealho"/>
      <w:tabs>
        <w:tab w:val="clear" w:pos="8504"/>
      </w:tabs>
      <w:ind w:right="2267"/>
      <w:jc w:val="center"/>
      <w:rPr>
        <w:rFonts w:ascii="Arial" w:hAnsi="Arial" w:cs="Arial"/>
        <w:b/>
        <w:bCs/>
        <w:color w:val="0A2F41" w:themeColor="accent1" w:themeShade="80"/>
      </w:rPr>
    </w:pPr>
    <w:r>
      <w:rPr>
        <w:noProof/>
      </w:rPr>
      <w:drawing>
        <wp:anchor distT="0" distB="0" distL="0" distR="0" simplePos="0" relativeHeight="251657216" behindDoc="1" locked="0" layoutInCell="1" allowOverlap="1" wp14:anchorId="55AC6C55" wp14:editId="52C4DEB5">
          <wp:simplePos x="0" y="0"/>
          <wp:positionH relativeFrom="column">
            <wp:posOffset>3810000</wp:posOffset>
          </wp:positionH>
          <wp:positionV relativeFrom="paragraph">
            <wp:posOffset>-323215</wp:posOffset>
          </wp:positionV>
          <wp:extent cx="2566670" cy="121729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rcRect l="2271" t="16777" r="8359"/>
                  <a:stretch>
                    <a:fillRect/>
                  </a:stretch>
                </pic:blipFill>
                <pic:spPr bwMode="auto">
                  <a:xfrm>
                    <a:off x="0" y="0"/>
                    <a:ext cx="2566670" cy="1217295"/>
                  </a:xfrm>
                  <a:prstGeom prst="rect">
                    <a:avLst/>
                  </a:prstGeom>
                  <a:noFill/>
                </pic:spPr>
              </pic:pic>
            </a:graphicData>
          </a:graphic>
        </wp:anchor>
      </w:drawing>
    </w:r>
    <w:r>
      <w:rPr>
        <w:rFonts w:ascii="Arial" w:hAnsi="Arial" w:cs="Arial"/>
        <w:b/>
        <w:bCs/>
        <w:color w:val="0A2F41" w:themeColor="accent1" w:themeShade="80"/>
        <w:sz w:val="28"/>
        <w:szCs w:val="28"/>
      </w:rPr>
      <w:t>XXII ENCONTRO NACIONAL DA ANFOPE</w:t>
    </w:r>
  </w:p>
  <w:p w14:paraId="4ACE0BD4" w14:textId="77777777" w:rsidR="00F33B4D" w:rsidRDefault="00000000">
    <w:pPr>
      <w:pStyle w:val="Cabealho"/>
      <w:tabs>
        <w:tab w:val="clear" w:pos="8504"/>
      </w:tabs>
      <w:ind w:right="2267"/>
      <w:jc w:val="center"/>
      <w:rPr>
        <w:rFonts w:ascii="Arial" w:hAnsi="Arial" w:cs="Arial"/>
        <w:color w:val="0A2F41" w:themeColor="accent1" w:themeShade="80"/>
      </w:rPr>
    </w:pPr>
    <w:r>
      <w:rPr>
        <w:rFonts w:ascii="Arial" w:hAnsi="Arial" w:cs="Arial"/>
        <w:color w:val="0A2F41" w:themeColor="accent1" w:themeShade="80"/>
      </w:rPr>
      <w:t xml:space="preserve">39 anos da carta de Goiânia: momento de celebrar conquistas e enfrentando os desafios </w:t>
    </w:r>
  </w:p>
  <w:p w14:paraId="5DA8A831" w14:textId="77777777" w:rsidR="00F33B4D" w:rsidRDefault="00000000">
    <w:pPr>
      <w:pStyle w:val="Cabealho"/>
      <w:tabs>
        <w:tab w:val="clear" w:pos="8504"/>
      </w:tabs>
      <w:ind w:right="2267"/>
      <w:jc w:val="center"/>
      <w:rPr>
        <w:rFonts w:ascii="Arial" w:hAnsi="Arial" w:cs="Arial"/>
        <w:color w:val="0A2F41" w:themeColor="accent1" w:themeShade="80"/>
      </w:rPr>
    </w:pPr>
    <w:r>
      <w:rPr>
        <w:rFonts w:ascii="Arial" w:hAnsi="Arial" w:cs="Arial"/>
        <w:color w:val="0A2F41" w:themeColor="accent1" w:themeShade="80"/>
      </w:rPr>
      <w:t>Reunião da Associação Nacional pela Formação dos Profissionais da Educação - ANFOPE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F7F3" w14:textId="77777777" w:rsidR="00F33B4D" w:rsidRDefault="00000000">
    <w:pPr>
      <w:pStyle w:val="Cabealho"/>
      <w:tabs>
        <w:tab w:val="clear" w:pos="8504"/>
      </w:tabs>
      <w:ind w:right="2267"/>
      <w:jc w:val="center"/>
      <w:rPr>
        <w:rFonts w:ascii="Arial" w:hAnsi="Arial" w:cs="Arial"/>
        <w:b/>
        <w:bCs/>
        <w:color w:val="0A2F41" w:themeColor="accent1" w:themeShade="80"/>
      </w:rPr>
    </w:pPr>
    <w:r>
      <w:rPr>
        <w:noProof/>
      </w:rPr>
      <w:drawing>
        <wp:anchor distT="0" distB="0" distL="0" distR="0" simplePos="0" relativeHeight="251658240" behindDoc="1" locked="0" layoutInCell="1" allowOverlap="1" wp14:anchorId="15FF39A4" wp14:editId="7B52F9F4">
          <wp:simplePos x="0" y="0"/>
          <wp:positionH relativeFrom="column">
            <wp:posOffset>3810000</wp:posOffset>
          </wp:positionH>
          <wp:positionV relativeFrom="paragraph">
            <wp:posOffset>-323215</wp:posOffset>
          </wp:positionV>
          <wp:extent cx="2566670" cy="1217295"/>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srcRect l="2271" t="16777" r="8359"/>
                  <a:stretch>
                    <a:fillRect/>
                  </a:stretch>
                </pic:blipFill>
                <pic:spPr bwMode="auto">
                  <a:xfrm>
                    <a:off x="0" y="0"/>
                    <a:ext cx="2566670" cy="1217295"/>
                  </a:xfrm>
                  <a:prstGeom prst="rect">
                    <a:avLst/>
                  </a:prstGeom>
                  <a:noFill/>
                </pic:spPr>
              </pic:pic>
            </a:graphicData>
          </a:graphic>
        </wp:anchor>
      </w:drawing>
    </w:r>
    <w:r>
      <w:rPr>
        <w:rFonts w:ascii="Arial" w:hAnsi="Arial" w:cs="Arial"/>
        <w:b/>
        <w:bCs/>
        <w:color w:val="0A2F41" w:themeColor="accent1" w:themeShade="80"/>
        <w:sz w:val="28"/>
        <w:szCs w:val="28"/>
      </w:rPr>
      <w:t>XXII ENCONTRO NACIONAL DA ANFOPE</w:t>
    </w:r>
  </w:p>
  <w:p w14:paraId="086EECC3" w14:textId="77777777" w:rsidR="00F33B4D" w:rsidRDefault="00000000">
    <w:pPr>
      <w:pStyle w:val="Cabealho"/>
      <w:tabs>
        <w:tab w:val="clear" w:pos="8504"/>
      </w:tabs>
      <w:ind w:right="2267"/>
      <w:jc w:val="center"/>
      <w:rPr>
        <w:rFonts w:ascii="Arial" w:hAnsi="Arial" w:cs="Arial"/>
        <w:color w:val="0A2F41" w:themeColor="accent1" w:themeShade="80"/>
      </w:rPr>
    </w:pPr>
    <w:r>
      <w:rPr>
        <w:rFonts w:ascii="Arial" w:hAnsi="Arial" w:cs="Arial"/>
        <w:color w:val="0A2F41" w:themeColor="accent1" w:themeShade="80"/>
      </w:rPr>
      <w:t xml:space="preserve">39 anos da carta de Goiânia: momento de celebrar conquistas e enfrentando os desafios </w:t>
    </w:r>
  </w:p>
  <w:p w14:paraId="227DB342" w14:textId="77777777" w:rsidR="00F33B4D" w:rsidRDefault="00000000">
    <w:pPr>
      <w:pStyle w:val="Cabealho"/>
      <w:tabs>
        <w:tab w:val="clear" w:pos="8504"/>
      </w:tabs>
      <w:ind w:right="2267"/>
      <w:jc w:val="center"/>
      <w:rPr>
        <w:rFonts w:ascii="Arial" w:hAnsi="Arial" w:cs="Arial"/>
        <w:color w:val="0A2F41" w:themeColor="accent1" w:themeShade="80"/>
      </w:rPr>
    </w:pPr>
    <w:r>
      <w:rPr>
        <w:rFonts w:ascii="Arial" w:hAnsi="Arial" w:cs="Arial"/>
        <w:color w:val="0A2F41" w:themeColor="accent1" w:themeShade="80"/>
      </w:rPr>
      <w:t>Reunião da Associação Nacional pela Formação dos Profissionais da Educação - ANFOPE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B4D"/>
    <w:rsid w:val="00065785"/>
    <w:rsid w:val="000761CA"/>
    <w:rsid w:val="002301CB"/>
    <w:rsid w:val="00915240"/>
    <w:rsid w:val="00B04544"/>
    <w:rsid w:val="00B470F3"/>
    <w:rsid w:val="00BA4683"/>
    <w:rsid w:val="00F33B4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2FD94"/>
  <w15:docId w15:val="{6339B1B0-64EB-4027-8F3E-F584C4E87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style>
  <w:style w:type="paragraph" w:styleId="Ttulo1">
    <w:name w:val="heading 1"/>
    <w:basedOn w:val="Normal"/>
    <w:next w:val="Normal"/>
    <w:link w:val="Ttulo1Cha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442A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qFormat/>
    <w:rsid w:val="00442A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qFormat/>
    <w:rsid w:val="00442A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qFormat/>
    <w:rsid w:val="00442A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qFormat/>
    <w:rsid w:val="00442A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qFormat/>
    <w:rsid w:val="00442A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sid w:val="00442A47"/>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sid w:val="00442A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qFormat/>
    <w:rsid w:val="00442A47"/>
    <w:rPr>
      <w:rFonts w:eastAsiaTheme="majorEastAsia" w:cstheme="majorBidi"/>
      <w:color w:val="272727" w:themeColor="text1" w:themeTint="D8"/>
    </w:rPr>
  </w:style>
  <w:style w:type="character" w:customStyle="1" w:styleId="TtuloChar">
    <w:name w:val="Título Char"/>
    <w:basedOn w:val="Fontepargpadro"/>
    <w:link w:val="Ttulo"/>
    <w:uiPriority w:val="10"/>
    <w:qFormat/>
    <w:rsid w:val="00442A47"/>
    <w:rPr>
      <w:rFonts w:asciiTheme="majorHAnsi" w:eastAsiaTheme="majorEastAsia" w:hAnsiTheme="majorHAnsi" w:cstheme="majorBidi"/>
      <w:spacing w:val="-10"/>
      <w:kern w:val="2"/>
      <w:sz w:val="56"/>
      <w:szCs w:val="56"/>
    </w:rPr>
  </w:style>
  <w:style w:type="character" w:customStyle="1" w:styleId="SubttuloChar">
    <w:name w:val="Subtítulo Char"/>
    <w:basedOn w:val="Fontepargpadro"/>
    <w:link w:val="Subttulo"/>
    <w:uiPriority w:val="11"/>
    <w:qFormat/>
    <w:rsid w:val="00442A47"/>
    <w:rPr>
      <w:rFonts w:eastAsiaTheme="majorEastAsia" w:cstheme="majorBidi"/>
      <w:color w:val="595959" w:themeColor="text1" w:themeTint="A6"/>
      <w:spacing w:val="15"/>
      <w:sz w:val="28"/>
      <w:szCs w:val="28"/>
    </w:rPr>
  </w:style>
  <w:style w:type="character" w:customStyle="1" w:styleId="CitaoChar">
    <w:name w:val="Citação Char"/>
    <w:basedOn w:val="Fontepargpadro"/>
    <w:link w:val="Citao"/>
    <w:uiPriority w:val="29"/>
    <w:qFormat/>
    <w:rsid w:val="00442A47"/>
    <w:rPr>
      <w:i/>
      <w:iCs/>
      <w:color w:val="404040" w:themeColor="text1" w:themeTint="BF"/>
    </w:rPr>
  </w:style>
  <w:style w:type="character" w:styleId="nfaseIntensa">
    <w:name w:val="Intense Emphasis"/>
    <w:basedOn w:val="Fontepargpadro"/>
    <w:uiPriority w:val="21"/>
    <w:qFormat/>
    <w:rsid w:val="00442A47"/>
    <w:rPr>
      <w:i/>
      <w:iCs/>
      <w:color w:val="0F4761" w:themeColor="accent1" w:themeShade="BF"/>
    </w:rPr>
  </w:style>
  <w:style w:type="character" w:customStyle="1" w:styleId="CitaoIntensaChar">
    <w:name w:val="Citação Intensa Char"/>
    <w:basedOn w:val="Fontepargpadro"/>
    <w:link w:val="CitaoIntensa"/>
    <w:uiPriority w:val="30"/>
    <w:qFormat/>
    <w:rsid w:val="00442A47"/>
    <w:rPr>
      <w:i/>
      <w:iCs/>
      <w:color w:val="0F4761" w:themeColor="accent1" w:themeShade="BF"/>
    </w:rPr>
  </w:style>
  <w:style w:type="character" w:styleId="RefernciaIntensa">
    <w:name w:val="Intense Reference"/>
    <w:basedOn w:val="Fontepargpadro"/>
    <w:uiPriority w:val="32"/>
    <w:qFormat/>
    <w:rsid w:val="00442A47"/>
    <w:rPr>
      <w:b/>
      <w:bCs/>
      <w:smallCaps/>
      <w:color w:val="0F4761" w:themeColor="accent1" w:themeShade="BF"/>
      <w:spacing w:val="5"/>
    </w:rPr>
  </w:style>
  <w:style w:type="character" w:customStyle="1" w:styleId="CabealhoChar">
    <w:name w:val="Cabeçalho Char"/>
    <w:basedOn w:val="Fontepargpadro"/>
    <w:link w:val="Cabealho"/>
    <w:uiPriority w:val="99"/>
    <w:qFormat/>
    <w:rsid w:val="00442A47"/>
  </w:style>
  <w:style w:type="character" w:customStyle="1" w:styleId="RodapChar">
    <w:name w:val="Rodapé Char"/>
    <w:basedOn w:val="Fontepargpadro"/>
    <w:link w:val="Rodap"/>
    <w:uiPriority w:val="99"/>
    <w:qFormat/>
    <w:rsid w:val="00442A47"/>
  </w:style>
  <w:style w:type="character" w:styleId="Hyperlink">
    <w:name w:val="Hyperlink"/>
    <w:basedOn w:val="Fontepargpadro"/>
    <w:uiPriority w:val="99"/>
    <w:unhideWhenUsed/>
    <w:rsid w:val="00872626"/>
    <w:rPr>
      <w:color w:val="467886" w:themeColor="hyperlink"/>
      <w:u w:val="single"/>
    </w:rPr>
  </w:style>
  <w:style w:type="character" w:styleId="MenoPendente">
    <w:name w:val="Unresolved Mention"/>
    <w:basedOn w:val="Fontepargpadro"/>
    <w:uiPriority w:val="99"/>
    <w:semiHidden/>
    <w:unhideWhenUsed/>
    <w:qFormat/>
    <w:rsid w:val="00872626"/>
    <w:rPr>
      <w:color w:val="605E5C"/>
      <w:shd w:val="clear" w:color="auto" w:fill="E1DFDD"/>
    </w:rPr>
  </w:style>
  <w:style w:type="character" w:customStyle="1" w:styleId="TextodenotaderodapChar">
    <w:name w:val="Texto de nota de rodapé Char"/>
    <w:basedOn w:val="Fontepargpadro"/>
    <w:link w:val="Textodenotaderodap"/>
    <w:uiPriority w:val="99"/>
    <w:semiHidden/>
    <w:qFormat/>
    <w:rsid w:val="00985983"/>
    <w:rPr>
      <w:sz w:val="20"/>
      <w:szCs w:val="20"/>
    </w:rPr>
  </w:style>
  <w:style w:type="character" w:customStyle="1" w:styleId="Caracteresdenotaderodapuser">
    <w:name w:val="Caracteres de nota de rodapé (user)"/>
    <w:qFormat/>
    <w:rsid w:val="00985983"/>
    <w:rPr>
      <w:vertAlign w:val="superscript"/>
    </w:rPr>
  </w:style>
  <w:style w:type="character" w:customStyle="1" w:styleId="Caracteresdenotaderodap">
    <w:name w:val="Caracteres de nota de rodapé"/>
    <w:qFormat/>
    <w:rsid w:val="00985983"/>
    <w:rPr>
      <w:vertAlign w:val="superscript"/>
    </w:rPr>
  </w:style>
  <w:style w:type="character" w:styleId="Refdenotaderodap">
    <w:name w:val="footnote reference"/>
    <w:rPr>
      <w:vertAlign w:val="superscript"/>
    </w:rPr>
  </w:style>
  <w:style w:type="character" w:customStyle="1" w:styleId="TextodenotaderodapChar1">
    <w:name w:val="Texto de nota de rodapé Char1"/>
    <w:basedOn w:val="Fontepargpadro"/>
    <w:uiPriority w:val="99"/>
    <w:semiHidden/>
    <w:qFormat/>
    <w:rsid w:val="00985983"/>
    <w:rPr>
      <w:sz w:val="20"/>
      <w:szCs w:val="20"/>
    </w:rPr>
  </w:style>
  <w:style w:type="paragraph" w:styleId="Ttulo">
    <w:name w:val="Title"/>
    <w:basedOn w:val="Normal"/>
    <w:next w:val="Corpodetexto"/>
    <w:link w:val="TtuloChar"/>
    <w:uiPriority w:val="10"/>
    <w:qFormat/>
    <w:rsid w:val="00442A47"/>
    <w:pPr>
      <w:spacing w:after="80" w:line="240" w:lineRule="auto"/>
      <w:contextualSpacing/>
    </w:pPr>
    <w:rPr>
      <w:rFonts w:asciiTheme="majorHAnsi" w:eastAsiaTheme="majorEastAsia" w:hAnsiTheme="majorHAnsi" w:cstheme="majorBidi"/>
      <w:spacing w:val="-10"/>
      <w:sz w:val="56"/>
      <w:szCs w:val="56"/>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Subttulo">
    <w:name w:val="Subtitle"/>
    <w:basedOn w:val="Normal"/>
    <w:next w:val="Normal"/>
    <w:link w:val="SubttuloChar"/>
    <w:uiPriority w:val="11"/>
    <w:qFormat/>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2A47"/>
    <w:pPr>
      <w:spacing w:before="160"/>
      <w:jc w:val="center"/>
    </w:pPr>
    <w:rPr>
      <w:i/>
      <w:iCs/>
      <w:color w:val="404040" w:themeColor="text1" w:themeTint="BF"/>
    </w:rPr>
  </w:style>
  <w:style w:type="paragraph" w:styleId="PargrafodaLista">
    <w:name w:val="List Paragraph"/>
    <w:basedOn w:val="Normal"/>
    <w:uiPriority w:val="34"/>
    <w:qFormat/>
    <w:rsid w:val="00442A47"/>
    <w:pPr>
      <w:ind w:left="720"/>
      <w:contextualSpacing/>
    </w:pPr>
  </w:style>
  <w:style w:type="paragraph" w:styleId="CitaoIntensa">
    <w:name w:val="Intense Quote"/>
    <w:basedOn w:val="Normal"/>
    <w:next w:val="Normal"/>
    <w:link w:val="CitaoIntensaCha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paragraph" w:styleId="Textodenotaderodap">
    <w:name w:val="footnote text"/>
    <w:basedOn w:val="Normal"/>
    <w:link w:val="TextodenotaderodapChar"/>
    <w:uiPriority w:val="99"/>
    <w:semiHidden/>
    <w:unhideWhenUsed/>
    <w:rsid w:val="00985983"/>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52E5B-3E3C-4473-98D4-C673C05E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1510</Words>
  <Characters>8157</Characters>
  <Application>Microsoft Office Word</Application>
  <DocSecurity>0</DocSecurity>
  <Lines>67</Lines>
  <Paragraphs>19</Paragraphs>
  <ScaleCrop>false</ScaleCrop>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Barros de Almeida</dc:creator>
  <dc:description/>
  <cp:lastModifiedBy>RAQUIA RABELO ROGERI</cp:lastModifiedBy>
  <cp:revision>6</cp:revision>
  <dcterms:created xsi:type="dcterms:W3CDTF">2025-03-31T11:33:00Z</dcterms:created>
  <dcterms:modified xsi:type="dcterms:W3CDTF">2025-03-31T11:39:00Z</dcterms:modified>
  <dc:language>pt-BR</dc:language>
</cp:coreProperties>
</file>