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153" w:after="0"/>
        <w:ind w:left="63" w:right="59"/>
        <w:jc w:val="center"/>
        <w:rPr/>
      </w:pPr>
      <w:r>
        <w:rPr>
          <w:rFonts w:eastAsia="Times New Roman" w:cs="Times New Roman" w:ascii="Times New Roman" w:hAnsi="Times New Roman"/>
          <w:b/>
          <w:caps/>
          <w:color w:val="000000"/>
          <w:sz w:val="24"/>
          <w:szCs w:val="24"/>
        </w:rPr>
        <w:t>Tratamento do Coma Hiperglicêmico Hiperosmolar em Crianças e Adolescentes – Abordagem Inicial e Complicações: Uma Revisão Integrativa</w:t>
      </w:r>
    </w:p>
    <w:p>
      <w:pPr>
        <w:pStyle w:val="Normal"/>
        <w:widowControl w:val="false"/>
        <w:spacing w:lineRule="auto" w:line="343" w:before="383" w:after="0"/>
        <w:ind w:hanging="3663" w:left="4136" w:right="-4"/>
        <w:jc w:val="right"/>
        <w:rPr>
          <w:rFonts w:ascii="Times New Roman" w:hAnsi="Times New Roman" w:eastAsia="Times New Roman" w:cs="Times New Roman"/>
          <w:b/>
          <w:color w:val="000000"/>
          <w:sz w:val="15"/>
          <w:szCs w:val="15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Vívia Cristina Pires Martins </w:t>
      </w:r>
      <w:r>
        <w:rPr>
          <w:rFonts w:eastAsia="Times New Roman" w:cs="Times New Roman" w:ascii="Times New Roman" w:hAnsi="Times New Roman"/>
          <w:b/>
          <w:color w:val="000000"/>
          <w:sz w:val="15"/>
          <w:szCs w:val="15"/>
        </w:rPr>
        <w:t>1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Lara Sossai dos Santos </w:t>
      </w:r>
      <w:r>
        <w:rPr>
          <w:rFonts w:eastAsia="Times New Roman" w:cs="Times New Roman" w:ascii="Times New Roman" w:hAnsi="Times New Roman"/>
          <w:b/>
          <w:color w:val="000000"/>
          <w:sz w:val="15"/>
          <w:szCs w:val="15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Bibiana Born Vinholes </w:t>
      </w:r>
      <w:r>
        <w:rPr>
          <w:rFonts w:eastAsia="Times New Roman" w:cs="Times New Roman" w:ascii="Times New Roman" w:hAnsi="Times New Roman"/>
          <w:b/>
          <w:color w:val="000000"/>
          <w:sz w:val="15"/>
          <w:szCs w:val="15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Larissa Ferreti Marchetti </w:t>
      </w:r>
      <w:r>
        <w:rPr>
          <w:rFonts w:eastAsia="Times New Roman" w:cs="Times New Roman" w:ascii="Times New Roman" w:hAnsi="Times New Roman"/>
          <w:b/>
          <w:color w:val="000000"/>
          <w:sz w:val="15"/>
          <w:szCs w:val="15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Maria Fernanda Peisino Amaral Do Val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Taíssa Louzada Sandrini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Higor César Parrião Lustosa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, Luiz Fernando Gonçalves Costa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6</w:t>
      </w:r>
    </w:p>
    <w:p>
      <w:pPr>
        <w:pStyle w:val="Normal"/>
        <w:widowControl w:val="false"/>
        <w:spacing w:lineRule="auto" w:line="240" w:before="471" w:after="0"/>
        <w:ind w:right="5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15"/>
          <w:szCs w:val="15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Universidade Professor Edson Antônio Velano / Unifenas, </w:t>
      </w:r>
      <w:r>
        <w:rPr>
          <w:rFonts w:eastAsia="Times New Roman" w:cs="Times New Roman" w:ascii="Times New Roman" w:hAnsi="Times New Roman"/>
          <w:color w:val="000000"/>
          <w:sz w:val="15"/>
          <w:szCs w:val="15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Centro Universitário Multivix / Unidade Vitória, </w:t>
      </w:r>
      <w:r>
        <w:rPr>
          <w:rFonts w:eastAsia="Times New Roman" w:cs="Times New Roman" w:ascii="Times New Roman" w:hAnsi="Times New Roman"/>
          <w:color w:val="000000"/>
          <w:sz w:val="15"/>
          <w:szCs w:val="15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Faculdade de Medicina São Leopoldo Mandic,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Centro Universitário Multivix / Unidade Cachoeiro de Itapemirim,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AFYA Faculdade de Ciências Médicas de Palmas / AFYA PALMAS,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Instituto Tocantinense Presidente Antônio Carlos / ITPAC</w:t>
      </w:r>
    </w:p>
    <w:p>
      <w:pPr>
        <w:pStyle w:val="Normal"/>
        <w:widowControl w:val="false"/>
        <w:spacing w:lineRule="auto" w:line="240" w:before="391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(Viviamartiins@gmail.com) </w:t>
      </w:r>
    </w:p>
    <w:p>
      <w:pPr>
        <w:pStyle w:val="BodyText"/>
        <w:widowControl w:val="false"/>
        <w:spacing w:lineRule="auto" w:line="360" w:before="185" w:after="0"/>
        <w:ind w:hanging="0" w:right="-3"/>
        <w:jc w:val="both"/>
        <w:rPr/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Introdução</w:t>
      </w:r>
      <w:r>
        <w:rPr>
          <w:rFonts w:ascii="Times New Roman" w:hAnsi="Times New Roman"/>
          <w:sz w:val="24"/>
          <w:szCs w:val="24"/>
        </w:rPr>
        <w:t xml:space="preserve">: O coma hiperglicêmico hiperosmolar (CHH) representa uma condição clinicamente significativa e potencialmente fatal, especialmente em pacientes pediátricos com diabetes mellitus tipo 1 ou tipo 2. A intervenção abrangente necessária para tratar o CHH não se limita apenas à reidratação, correção da hiperglicemia e distúrbios eletrolíticos; ela também demanda uma atenção cuidadosa às complicações neurológicas e cardiorrespiratórias. </w:t>
      </w:r>
      <w:r>
        <w:rPr>
          <w:rFonts w:ascii="Times New Roman" w:hAnsi="Times New Roman"/>
          <w:b/>
          <w:bCs/>
          <w:sz w:val="24"/>
          <w:szCs w:val="24"/>
        </w:rPr>
        <w:t>Objetivo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nálise aprofundada do tratamento do CHH em crianças e adolescentes, com ênfase na abordagem inicial e no gerenciamento das complicações, utilizando as descobertas mais recentes da literatura científica. </w:t>
      </w:r>
      <w:r>
        <w:rPr>
          <w:rFonts w:ascii="Times New Roman" w:hAnsi="Times New Roman"/>
          <w:b/>
          <w:bCs/>
          <w:sz w:val="24"/>
          <w:szCs w:val="24"/>
        </w:rPr>
        <w:t>Metodologia</w:t>
      </w:r>
      <w:r>
        <w:rPr>
          <w:rFonts w:ascii="Times New Roman" w:hAnsi="Times New Roman"/>
          <w:sz w:val="24"/>
          <w:szCs w:val="24"/>
        </w:rPr>
        <w:t xml:space="preserve">: A pesquisa exploratória abrangeu diversas bases de dados, incluindo PubMed, Scopus e Web of Science. Foram utilizados termos-chave específicos como "coma hiperglicêmico hiperosmolar", "crianças", "adolescentes", "tratamento", "abordagem inicial" e "complicações". A seleção criteriosa de estudos compreendeu o período de 2010 a 2023, abrangendo artigos originais, revisões sistemáticas e meta-análises, tanto em inglês quanto em português. </w:t>
      </w:r>
      <w:r>
        <w:rPr>
          <w:rFonts w:ascii="Times New Roman" w:hAnsi="Times New Roman"/>
          <w:b/>
          <w:bCs/>
          <w:sz w:val="24"/>
          <w:szCs w:val="24"/>
        </w:rPr>
        <w:t>Resultados</w:t>
      </w:r>
      <w:r>
        <w:rPr>
          <w:rFonts w:ascii="Times New Roman" w:hAnsi="Times New Roman"/>
          <w:sz w:val="24"/>
          <w:szCs w:val="24"/>
        </w:rPr>
        <w:t xml:space="preserve">: A abordagem inicial no tratamento do CHH em crianças e adolescentes envolve não apenas a reidratação, correção de distúrbios eletrolíticos e administração controlada de insulina regular, mas também uma vigilância rigorosa dos níveis de glicose e eletrólitos. Essa vigilância é considerada crucial para prevenir complicações graves. Em relação às complicações neurológicas, o tratamento inclui medidas para convulsões e suporte respiratório essencial. Por outro lado, as complicações cardiorrespiratórias podem requerer suporte pressórico e ventilação mecânica. </w:t>
      </w:r>
      <w:r>
        <w:rPr>
          <w:rFonts w:ascii="Times New Roman" w:hAnsi="Times New Roman"/>
          <w:b/>
          <w:bCs/>
          <w:sz w:val="24"/>
          <w:szCs w:val="24"/>
        </w:rPr>
        <w:t>Conclusão</w:t>
      </w:r>
      <w:r>
        <w:rPr>
          <w:rFonts w:ascii="Times New Roman" w:hAnsi="Times New Roman"/>
          <w:sz w:val="24"/>
          <w:szCs w:val="24"/>
        </w:rPr>
        <w:t xml:space="preserve">: O tratamento do CHH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emanda uma abordagem multidisciplinar, com foco na reidratação e correção de distúrbios eletrolíticos. Apesar das evidências consistentes encontradas na literatura atual, destaca-se a necessidade imperativa de pesquisas adicionais para desenvolver estratégias terapêuticas ainda mais eficazes e seguras.</w:t>
      </w:r>
    </w:p>
    <w:p>
      <w:pPr>
        <w:pStyle w:val="Normal"/>
        <w:widowControl w:val="false"/>
        <w:spacing w:lineRule="auto" w:line="240"/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/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Coma Hiperglicêmico Hiperosmolar. Abordagem Inicial. Terapêuticas.</w:t>
      </w:r>
    </w:p>
    <w:p>
      <w:pPr>
        <w:pStyle w:val="Normal"/>
        <w:widowControl w:val="false"/>
        <w:spacing w:lineRule="auto" w:line="240"/>
        <w:ind w:left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Área Temática: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Emergências pediátricas e obstétricas.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LibreOffice/7.6.4.1$Windows_X86_64 LibreOffice_project/e19e193f88cd6c0525a17fb7a176ed8e6a3e2aa1</Application>
  <AppVersion>15.0000</AppVersion>
  <Pages>1</Pages>
  <Words>373</Words>
  <Characters>2523</Characters>
  <CharactersWithSpaces>2892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2023-11-01T17:23:00Z</dcterms:created>
  <dc:creator/>
  <dc:description/>
  <dc:language>pt-BR</dc:language>
  <cp:lastModifiedBy/>
  <dcterms:modified xsi:type="dcterms:W3CDTF">2024-01-23T00:00:39Z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