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8B96CDF" w:rsidP="6E1EAECE" w:rsidRDefault="38B96CDF" w14:paraId="3593199D" w14:textId="052CF894">
      <w:pPr>
        <w:spacing w:before="0" w:beforeAutospacing="off" w:after="120" w:afterAutospacing="off"/>
        <w:jc w:val="center"/>
        <w:rPr>
          <w:rFonts w:ascii="Arial" w:hAnsi="Arial" w:eastAsia="Arial" w:cs="Arial"/>
          <w:b w:val="1"/>
          <w:bCs w:val="1"/>
          <w:i w:val="0"/>
          <w:iCs w:val="0"/>
          <w:noProof w:val="0"/>
          <w:color w:val="000000" w:themeColor="text1" w:themeTint="FF" w:themeShade="FF"/>
          <w:sz w:val="26"/>
          <w:szCs w:val="26"/>
          <w:lang w:val="pt-BR"/>
        </w:rPr>
      </w:pPr>
      <w:r w:rsidRPr="6E1EAECE" w:rsidR="38B96CDF">
        <w:rPr>
          <w:rFonts w:ascii="Arial" w:hAnsi="Arial" w:eastAsia="Arial" w:cs="Arial"/>
          <w:b w:val="1"/>
          <w:bCs w:val="1"/>
          <w:i w:val="0"/>
          <w:iCs w:val="0"/>
          <w:noProof w:val="0"/>
          <w:color w:val="000000" w:themeColor="text1" w:themeTint="FF" w:themeShade="FF"/>
          <w:sz w:val="26"/>
          <w:szCs w:val="26"/>
          <w:lang w:val="pt-BR"/>
        </w:rPr>
        <w:t>PERSPECTIVAS DA GESTÃO NUTRICIONAL EM DIFERENTES CENÁRIOS: UMA ANÁLISE DO PROGRAMA NACIONAL DE ALIMENTAÇÃO ESCOLAR (PNAE) EM DOIS MUNICÍPIOS DA REGIÃO SUDOESTE DO ESTADO DE SÃO PAULO</w:t>
      </w:r>
    </w:p>
    <w:p w:rsidR="5D4669C9" w:rsidP="6E1EAECE" w:rsidRDefault="5D4669C9" w14:paraId="6773A839" w14:textId="47806C58">
      <w:pPr>
        <w:spacing w:line="240" w:lineRule="auto"/>
        <w:jc w:val="center"/>
        <w:rPr>
          <w:rFonts w:ascii="Arial" w:hAnsi="Arial" w:eastAsia="Arial" w:cs="Arial"/>
          <w:b w:val="1"/>
          <w:bCs w:val="1"/>
          <w:i w:val="0"/>
          <w:iCs w:val="0"/>
          <w:sz w:val="26"/>
          <w:szCs w:val="26"/>
        </w:rPr>
      </w:pPr>
      <w:r w:rsidRPr="6E1EAECE" w:rsidR="5D4669C9">
        <w:rPr>
          <w:rFonts w:ascii="Arial" w:hAnsi="Arial" w:eastAsia="Arial" w:cs="Arial"/>
          <w:b w:val="1"/>
          <w:bCs w:val="1"/>
          <w:i w:val="0"/>
          <w:iCs w:val="0"/>
          <w:sz w:val="26"/>
          <w:szCs w:val="26"/>
        </w:rPr>
        <w:t>Ronaldo Wilson de Godoi</w:t>
      </w:r>
    </w:p>
    <w:p w:rsidR="50AA1A30" w:rsidP="6E1EAECE" w:rsidRDefault="50AA1A30" w14:paraId="10244FE6" w14:textId="263029A3">
      <w:pPr>
        <w:spacing w:line="240" w:lineRule="auto"/>
        <w:jc w:val="center"/>
        <w:rPr>
          <w:rFonts w:ascii="Arial" w:hAnsi="Arial" w:eastAsia="Arial" w:cs="Arial"/>
          <w:b w:val="1"/>
          <w:bCs w:val="1"/>
          <w:i w:val="0"/>
          <w:iCs w:val="0"/>
          <w:sz w:val="26"/>
          <w:szCs w:val="26"/>
        </w:rPr>
      </w:pPr>
      <w:r w:rsidRPr="6E1EAECE" w:rsidR="50AA1A30">
        <w:rPr>
          <w:rFonts w:ascii="Arial" w:hAnsi="Arial" w:eastAsia="Arial" w:cs="Arial"/>
          <w:b w:val="1"/>
          <w:bCs w:val="1"/>
          <w:i w:val="0"/>
          <w:iCs w:val="0"/>
          <w:sz w:val="26"/>
          <w:szCs w:val="26"/>
        </w:rPr>
        <w:t>Wanda Aparecida Machado Hoffmann</w:t>
      </w:r>
    </w:p>
    <w:p w:rsidR="5D4669C9" w:rsidP="6E1EAECE" w:rsidRDefault="5D4669C9" w14:paraId="16A0207B" w14:textId="63CBA682">
      <w:pPr>
        <w:spacing w:line="240" w:lineRule="auto"/>
        <w:jc w:val="center"/>
        <w:rPr>
          <w:rFonts w:ascii="Arial" w:hAnsi="Arial" w:eastAsia="Arial" w:cs="Arial"/>
          <w:b w:val="1"/>
          <w:bCs w:val="1"/>
          <w:i w:val="0"/>
          <w:iCs w:val="0"/>
          <w:sz w:val="26"/>
          <w:szCs w:val="26"/>
        </w:rPr>
      </w:pPr>
      <w:r w:rsidRPr="6E1EAECE" w:rsidR="5D4669C9">
        <w:rPr>
          <w:rFonts w:ascii="Arial" w:hAnsi="Arial" w:eastAsia="Arial" w:cs="Arial"/>
          <w:b w:val="1"/>
          <w:bCs w:val="1"/>
          <w:i w:val="0"/>
          <w:iCs w:val="0"/>
          <w:sz w:val="26"/>
          <w:szCs w:val="26"/>
        </w:rPr>
        <w:t>Universidade Federal de São Carlos</w:t>
      </w:r>
    </w:p>
    <w:p w:rsidR="63F2E859" w:rsidP="327E7ECA" w:rsidRDefault="63F2E859" w14:paraId="45D4BD75" w14:textId="4B3F103D">
      <w:pPr>
        <w:spacing w:line="240" w:lineRule="auto"/>
        <w:jc w:val="center"/>
      </w:pPr>
      <w:r w:rsidRPr="327E7ECA">
        <w:rPr>
          <w:rFonts w:ascii="Arial" w:hAnsi="Arial" w:eastAsia="Arial" w:cs="Arial"/>
          <w:sz w:val="20"/>
          <w:szCs w:val="20"/>
        </w:rPr>
        <w:t>r</w:t>
      </w:r>
      <w:r w:rsidRPr="327E7ECA" w:rsidR="5D4669C9">
        <w:rPr>
          <w:rFonts w:ascii="Arial" w:hAnsi="Arial" w:eastAsia="Arial" w:cs="Arial"/>
          <w:sz w:val="20"/>
          <w:szCs w:val="20"/>
        </w:rPr>
        <w:t>onaldo_201217@hotmail.com</w:t>
      </w:r>
    </w:p>
    <w:p w:rsidR="00495EBC" w:rsidRDefault="00495EBC" w14:paraId="672A6659" w14:textId="77777777">
      <w:pPr>
        <w:spacing w:before="0" w:after="0" w:line="240" w:lineRule="auto"/>
        <w:jc w:val="center"/>
        <w:rPr>
          <w:rFonts w:ascii="Arial" w:hAnsi="Arial" w:eastAsia="Arial" w:cs="Arial"/>
        </w:rPr>
        <w:sectPr w:rsidR="00495EBC">
          <w:headerReference w:type="default" r:id="rId8"/>
          <w:pgSz w:w="11906" w:h="16838" w:orient="portrait"/>
          <w:pgMar w:top="1871" w:right="1474" w:bottom="2381" w:left="1474" w:header="709" w:footer="709" w:gutter="0"/>
          <w:pgNumType w:start="1"/>
          <w:cols w:space="720"/>
        </w:sectPr>
      </w:pPr>
    </w:p>
    <w:p w:rsidR="00495EBC" w:rsidRDefault="700F64B7" w14:paraId="024AAE2C" w14:textId="77777777">
      <w:pPr>
        <w:spacing w:before="120" w:after="120" w:line="240" w:lineRule="auto"/>
        <w:jc w:val="center"/>
        <w:rPr>
          <w:rFonts w:ascii="Arial" w:hAnsi="Arial" w:eastAsia="Arial" w:cs="Arial"/>
          <w:sz w:val="26"/>
          <w:szCs w:val="26"/>
        </w:rPr>
      </w:pPr>
      <w:r w:rsidRPr="6E1EAECE" w:rsidR="700F64B7">
        <w:rPr>
          <w:rFonts w:ascii="Arial" w:hAnsi="Arial" w:eastAsia="Arial" w:cs="Arial"/>
          <w:b w:val="1"/>
          <w:bCs w:val="1"/>
          <w:sz w:val="26"/>
          <w:szCs w:val="26"/>
        </w:rPr>
        <w:t>Objetivos</w:t>
      </w:r>
    </w:p>
    <w:p w:rsidR="2ED41B3D" w:rsidP="6E1EAECE" w:rsidRDefault="2ED41B3D" w14:paraId="752DB241" w14:textId="6385FFD3">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2ED41B3D">
        <w:rPr>
          <w:rFonts w:ascii="Helvetica" w:hAnsi="Helvetica" w:eastAsia="Helvetica" w:cs="Helvetica"/>
          <w:b w:val="0"/>
          <w:bCs w:val="0"/>
          <w:i w:val="0"/>
          <w:iCs w:val="0"/>
          <w:noProof w:val="0"/>
          <w:color w:val="000000" w:themeColor="text1" w:themeTint="FF" w:themeShade="FF"/>
          <w:sz w:val="18"/>
          <w:szCs w:val="18"/>
          <w:lang w:val="pt-BR"/>
        </w:rPr>
        <w:t>O principal objetivo desse estudo foi identificar a</w:t>
      </w:r>
      <w:r w:rsidRPr="6E1EAECE" w:rsidR="7AFFD138">
        <w:rPr>
          <w:rFonts w:ascii="Helvetica" w:hAnsi="Helvetica" w:eastAsia="Helvetica" w:cs="Helvetica"/>
          <w:b w:val="0"/>
          <w:bCs w:val="0"/>
          <w:i w:val="0"/>
          <w:iCs w:val="0"/>
          <w:noProof w:val="0"/>
          <w:color w:val="000000" w:themeColor="text1" w:themeTint="FF" w:themeShade="FF"/>
          <w:sz w:val="18"/>
          <w:szCs w:val="18"/>
          <w:lang w:val="pt-BR"/>
        </w:rPr>
        <w:t xml:space="preserve">s estratégias da </w:t>
      </w:r>
      <w:r w:rsidRPr="6E1EAECE" w:rsidR="2ED41B3D">
        <w:rPr>
          <w:rFonts w:ascii="Helvetica" w:hAnsi="Helvetica" w:eastAsia="Helvetica" w:cs="Helvetica"/>
          <w:b w:val="0"/>
          <w:bCs w:val="0"/>
          <w:i w:val="0"/>
          <w:iCs w:val="0"/>
          <w:noProof w:val="0"/>
          <w:color w:val="000000" w:themeColor="text1" w:themeTint="FF" w:themeShade="FF"/>
          <w:sz w:val="18"/>
          <w:szCs w:val="18"/>
          <w:lang w:val="pt-BR"/>
        </w:rPr>
        <w:t>gestão nutricional do PNAE antes da pandemia do Covid-19, enquanto os alunos estavam frequentando as unidades de ensino e tendo o devido acesso à alimentação escolar, situação na qual o programa contribuiu para o desenvolvimento, crescimento e rendimento pessoal e provendo a formação de hábitos alimentares saudáveis para os alunos. Em outro cenário, a pesquisa buscou identificar os impactos da pandemia da Covid-19, iniciada em meados do mês de fevereiro de 2020 no Brasil, que consequentemente gerou a recomendação do isolamento social em todo o país, comunicada através do Ministério da Saúde (MS), e, em outro cenário, após a retomada gradativa das aulas presenciais nas unidades de ensino.</w:t>
      </w:r>
    </w:p>
    <w:p w:rsidR="00495EBC" w:rsidRDefault="700F64B7" w14:paraId="1E827452" w14:textId="77777777">
      <w:pPr>
        <w:spacing w:before="120" w:after="120" w:line="240" w:lineRule="auto"/>
        <w:jc w:val="center"/>
        <w:rPr>
          <w:rFonts w:ascii="Arial" w:hAnsi="Arial" w:eastAsia="Arial" w:cs="Arial"/>
          <w:sz w:val="26"/>
          <w:szCs w:val="26"/>
        </w:rPr>
      </w:pPr>
      <w:r w:rsidRPr="6E1EAECE" w:rsidR="700F64B7">
        <w:rPr>
          <w:rFonts w:ascii="Arial" w:hAnsi="Arial" w:eastAsia="Arial" w:cs="Arial"/>
          <w:b w:val="1"/>
          <w:bCs w:val="1"/>
          <w:sz w:val="26"/>
          <w:szCs w:val="26"/>
        </w:rPr>
        <w:t>Métodos e Procedimentos</w:t>
      </w:r>
    </w:p>
    <w:p w:rsidR="0056693D" w:rsidP="6E1EAECE" w:rsidRDefault="0056693D" w14:paraId="74516EA3" w14:textId="57CE79DF">
      <w:pPr>
        <w:spacing w:before="0" w:beforeAutospacing="off" w:after="120" w:afterAutospacing="off" w:line="240" w:lineRule="auto"/>
        <w:ind w:firstLine="533"/>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0056693D">
        <w:rPr>
          <w:rFonts w:ascii="Helvetica" w:hAnsi="Helvetica" w:eastAsia="Helvetica" w:cs="Helvetica"/>
          <w:b w:val="0"/>
          <w:bCs w:val="0"/>
          <w:i w:val="0"/>
          <w:iCs w:val="0"/>
          <w:noProof w:val="0"/>
          <w:color w:val="000000" w:themeColor="text1" w:themeTint="FF" w:themeShade="FF"/>
          <w:sz w:val="18"/>
          <w:szCs w:val="18"/>
          <w:lang w:val="pt-BR"/>
        </w:rPr>
        <w:t>A abordagem utilizada neste estudo foi qualitativa, por meio do estudo de caso. É uma pesquisa exploratória descritiva, analisando a gestão nutricional do Programa Nacional de Alimentação Escolar (PNAE) frente a pandemia da Covid-19, nos municípios de Angatuba/SP e Itapetininga/SP.</w:t>
      </w:r>
    </w:p>
    <w:p w:rsidR="4F74A507" w:rsidP="6E1EAECE" w:rsidRDefault="4F74A507" w14:paraId="572A5782" w14:textId="655B8537">
      <w:pPr>
        <w:spacing w:before="0" w:beforeAutospacing="off" w:after="120" w:afterAutospacing="off" w:line="240" w:lineRule="auto"/>
        <w:ind w:firstLine="533"/>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4F74A507">
        <w:rPr>
          <w:rFonts w:ascii="Helvetica" w:hAnsi="Helvetica" w:eastAsia="Helvetica" w:cs="Helvetica"/>
          <w:b w:val="0"/>
          <w:bCs w:val="0"/>
          <w:i w:val="0"/>
          <w:iCs w:val="0"/>
          <w:noProof w:val="0"/>
          <w:color w:val="000000" w:themeColor="text1" w:themeTint="FF" w:themeShade="FF"/>
          <w:sz w:val="18"/>
          <w:szCs w:val="18"/>
          <w:lang w:val="pt-BR"/>
        </w:rPr>
        <w:t>Num primeiro momento, foram realizadas as coletas de informações por meio de entrevistas semiestruturadas com os nutricionistas responsáveis pela execução do programa em cada município, ou seja, foi feita a coleta de dados com cada nutricionista dos dois municípios estudados. Todos os depoimentos foram analisados igualmente, levando em consideração as estratégias de gestão que as nutricionistas adotaram em diferentes cenários de atuação. Buscou-se compreender a importância do PNAE para o desenvolvimento intelectual e nutricional de cada aluno.</w:t>
      </w:r>
    </w:p>
    <w:p w:rsidR="00495EBC" w:rsidRDefault="700F64B7" w14:paraId="24AC79A7" w14:textId="77777777">
      <w:pPr>
        <w:spacing w:before="120" w:after="120" w:line="240" w:lineRule="auto"/>
        <w:jc w:val="center"/>
        <w:rPr>
          <w:rFonts w:ascii="Arial" w:hAnsi="Arial" w:eastAsia="Arial" w:cs="Arial"/>
          <w:sz w:val="26"/>
          <w:szCs w:val="26"/>
        </w:rPr>
      </w:pPr>
      <w:r w:rsidRPr="6E1EAECE" w:rsidR="700F64B7">
        <w:rPr>
          <w:rFonts w:ascii="Arial" w:hAnsi="Arial" w:eastAsia="Arial" w:cs="Arial"/>
          <w:b w:val="1"/>
          <w:bCs w:val="1"/>
          <w:sz w:val="26"/>
          <w:szCs w:val="26"/>
        </w:rPr>
        <w:t>Resultados</w:t>
      </w:r>
    </w:p>
    <w:p w:rsidR="00495EBC" w:rsidP="6E1EAECE" w:rsidRDefault="00495EBC" w14:paraId="60E3C9A8" w14:textId="6212E74F">
      <w:pPr>
        <w:spacing w:before="0" w:beforeAutospacing="off" w:after="120" w:afterAutospacing="off" w:line="240" w:lineRule="auto"/>
        <w:ind w:firstLine="531"/>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2B93316C">
        <w:rPr>
          <w:rFonts w:ascii="Helvetica" w:hAnsi="Helvetica" w:eastAsia="Helvetica" w:cs="Helvetica"/>
          <w:b w:val="0"/>
          <w:bCs w:val="0"/>
          <w:i w:val="0"/>
          <w:iCs w:val="0"/>
          <w:noProof w:val="0"/>
          <w:color w:val="000000" w:themeColor="text1" w:themeTint="FF" w:themeShade="FF"/>
          <w:sz w:val="18"/>
          <w:szCs w:val="18"/>
          <w:lang w:val="pt-BR"/>
        </w:rPr>
        <w:t>No município de Angatuba/SP nos diferentes níveis de ensino – creche, ensino fundamental, ensino médio e Educação de Jovens e Adultos (EJA), no período de 2010 a 2019 (</w:t>
      </w:r>
      <w:r w:rsidRPr="6E1EAECE" w:rsidR="2B93316C">
        <w:rPr>
          <w:rFonts w:ascii="Helvetica" w:hAnsi="Helvetica" w:eastAsia="Helvetica" w:cs="Helvetica"/>
          <w:b w:val="0"/>
          <w:bCs w:val="0"/>
          <w:i w:val="0"/>
          <w:iCs w:val="0"/>
          <w:noProof w:val="0"/>
          <w:color w:val="000000" w:themeColor="text1" w:themeTint="FF" w:themeShade="FF"/>
          <w:sz w:val="18"/>
          <w:szCs w:val="18"/>
          <w:lang w:val="pt-BR"/>
        </w:rPr>
        <w:t>pré</w:t>
      </w:r>
      <w:r w:rsidRPr="6E1EAECE" w:rsidR="2B93316C">
        <w:rPr>
          <w:rFonts w:ascii="Helvetica" w:hAnsi="Helvetica" w:eastAsia="Helvetica" w:cs="Helvetica"/>
          <w:b w:val="0"/>
          <w:bCs w:val="0"/>
          <w:i w:val="0"/>
          <w:iCs w:val="0"/>
          <w:noProof w:val="0"/>
          <w:color w:val="000000" w:themeColor="text1" w:themeTint="FF" w:themeShade="FF"/>
          <w:sz w:val="18"/>
          <w:szCs w:val="18"/>
          <w:lang w:val="pt-BR"/>
        </w:rPr>
        <w:t xml:space="preserve">-pandemia), os alunos foram avaliados com </w:t>
      </w:r>
      <w:r w:rsidRPr="6E1EAECE" w:rsidR="2B93316C">
        <w:rPr>
          <w:rFonts w:ascii="Helvetica" w:hAnsi="Helvetica" w:eastAsia="Helvetica" w:cs="Helvetica"/>
          <w:b w:val="1"/>
          <w:bCs w:val="1"/>
          <w:i w:val="0"/>
          <w:iCs w:val="0"/>
          <w:noProof w:val="0"/>
          <w:color w:val="000000" w:themeColor="text1" w:themeTint="FF" w:themeShade="FF"/>
          <w:sz w:val="18"/>
          <w:szCs w:val="18"/>
          <w:lang w:val="pt-BR"/>
        </w:rPr>
        <w:t>SA – Segurança Alimentar</w:t>
      </w:r>
      <w:r w:rsidRPr="6E1EAECE" w:rsidR="2B93316C">
        <w:rPr>
          <w:rFonts w:ascii="Helvetica" w:hAnsi="Helvetica" w:eastAsia="Helvetica" w:cs="Helvetica"/>
          <w:b w:val="0"/>
          <w:bCs w:val="0"/>
          <w:i w:val="0"/>
          <w:iCs w:val="0"/>
          <w:noProof w:val="0"/>
          <w:color w:val="000000" w:themeColor="text1" w:themeTint="FF" w:themeShade="FF"/>
          <w:sz w:val="18"/>
          <w:szCs w:val="18"/>
          <w:lang w:val="pt-BR"/>
        </w:rPr>
        <w:t xml:space="preserve">, ou seja, a ações da gestão foram suficientes para garantir a segurança alimentar dos estudantes. Durante a pandemia da Covid-19 (fevereiro de 2020 a setembro de 2021), a nutricionista técnica avaliou o período com </w:t>
      </w:r>
      <w:r w:rsidRPr="6E1EAECE" w:rsidR="2B93316C">
        <w:rPr>
          <w:rFonts w:ascii="Helvetica" w:hAnsi="Helvetica" w:eastAsia="Helvetica" w:cs="Helvetica"/>
          <w:b w:val="1"/>
          <w:bCs w:val="1"/>
          <w:i w:val="0"/>
          <w:iCs w:val="0"/>
          <w:noProof w:val="0"/>
          <w:color w:val="000000" w:themeColor="text1" w:themeTint="FF" w:themeShade="FF"/>
          <w:sz w:val="18"/>
          <w:szCs w:val="18"/>
          <w:lang w:val="pt-BR"/>
        </w:rPr>
        <w:t>IAL – Insegurança Alimentar Leve</w:t>
      </w:r>
      <w:r w:rsidRPr="6E1EAECE" w:rsidR="2B93316C">
        <w:rPr>
          <w:rFonts w:ascii="Helvetica" w:hAnsi="Helvetica" w:eastAsia="Helvetica" w:cs="Helvetica"/>
          <w:b w:val="0"/>
          <w:bCs w:val="0"/>
          <w:i w:val="0"/>
          <w:iCs w:val="0"/>
          <w:noProof w:val="0"/>
          <w:color w:val="000000" w:themeColor="text1" w:themeTint="FF" w:themeShade="FF"/>
          <w:sz w:val="18"/>
          <w:szCs w:val="18"/>
          <w:lang w:val="pt-BR"/>
        </w:rPr>
        <w:t xml:space="preserve">, especificamente porque os alunos não tiveram acesso regular à alimentação escolar nem à segurança nutricional proporcionada anteriormente pelas refeições preparadas sob orientação técnica. Com a retomada gradual das aulas presenciais (pós-pandemia), a nutricionista avaliou o período como novamente sendo de </w:t>
      </w:r>
      <w:r w:rsidRPr="6E1EAECE" w:rsidR="2B93316C">
        <w:rPr>
          <w:rFonts w:ascii="Helvetica" w:hAnsi="Helvetica" w:eastAsia="Helvetica" w:cs="Helvetica"/>
          <w:b w:val="1"/>
          <w:bCs w:val="1"/>
          <w:i w:val="0"/>
          <w:iCs w:val="0"/>
          <w:noProof w:val="0"/>
          <w:color w:val="000000" w:themeColor="text1" w:themeTint="FF" w:themeShade="FF"/>
          <w:sz w:val="18"/>
          <w:szCs w:val="18"/>
          <w:lang w:val="pt-BR"/>
        </w:rPr>
        <w:t>SA – Segurança Alimentar</w:t>
      </w:r>
      <w:r w:rsidRPr="6E1EAECE" w:rsidR="2B93316C">
        <w:rPr>
          <w:rFonts w:ascii="Helvetica" w:hAnsi="Helvetica" w:eastAsia="Helvetica" w:cs="Helvetica"/>
          <w:b w:val="0"/>
          <w:bCs w:val="0"/>
          <w:i w:val="0"/>
          <w:iCs w:val="0"/>
          <w:noProof w:val="0"/>
          <w:color w:val="000000" w:themeColor="text1" w:themeTint="FF" w:themeShade="FF"/>
          <w:sz w:val="18"/>
          <w:szCs w:val="18"/>
          <w:lang w:val="pt-BR"/>
        </w:rPr>
        <w:t>, indicando que os alunos voltaram a ter o acesso à alimentação saudável, preparada de forma adequada e conforme as diretrizes estabelecidas pelo PNAE para as entidades executoras.</w:t>
      </w:r>
    </w:p>
    <w:p w:rsidR="00495EBC" w:rsidP="6E1EAECE" w:rsidRDefault="00495EBC" w14:paraId="5A39BBE3" w14:textId="716F7A83">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2B93316C">
        <w:rPr>
          <w:rFonts w:ascii="Helvetica" w:hAnsi="Helvetica" w:eastAsia="Helvetica" w:cs="Helvetica"/>
          <w:b w:val="0"/>
          <w:bCs w:val="0"/>
          <w:i w:val="0"/>
          <w:iCs w:val="0"/>
          <w:noProof w:val="0"/>
          <w:color w:val="000000" w:themeColor="text1" w:themeTint="FF" w:themeShade="FF"/>
          <w:sz w:val="18"/>
          <w:szCs w:val="18"/>
          <w:lang w:val="pt-BR"/>
        </w:rPr>
        <w:t xml:space="preserve">Já no munícipio de Itapetininga/SP, no recorte de 2010 a 2019 (antes da pandemia), a nutricionista técnica do município avaliou o período com </w:t>
      </w:r>
      <w:r w:rsidRPr="6E1EAECE" w:rsidR="2B93316C">
        <w:rPr>
          <w:rFonts w:ascii="Helvetica" w:hAnsi="Helvetica" w:eastAsia="Helvetica" w:cs="Helvetica"/>
          <w:b w:val="1"/>
          <w:bCs w:val="1"/>
          <w:i w:val="0"/>
          <w:iCs w:val="0"/>
          <w:noProof w:val="0"/>
          <w:color w:val="000000" w:themeColor="text1" w:themeTint="FF" w:themeShade="FF"/>
          <w:sz w:val="18"/>
          <w:szCs w:val="18"/>
          <w:lang w:val="pt-BR"/>
        </w:rPr>
        <w:t>SA – Segurança Alimentar.</w:t>
      </w:r>
      <w:r w:rsidRPr="6E1EAECE" w:rsidR="2B93316C">
        <w:rPr>
          <w:rFonts w:ascii="Helvetica" w:hAnsi="Helvetica" w:eastAsia="Helvetica" w:cs="Helvetica"/>
          <w:b w:val="0"/>
          <w:bCs w:val="0"/>
          <w:i w:val="0"/>
          <w:iCs w:val="0"/>
          <w:noProof w:val="0"/>
          <w:color w:val="000000" w:themeColor="text1" w:themeTint="FF" w:themeShade="FF"/>
          <w:sz w:val="18"/>
          <w:szCs w:val="18"/>
          <w:lang w:val="pt-BR"/>
        </w:rPr>
        <w:t xml:space="preserve"> Isso indica que, nesse intervalo, os alunos da creche, ensino fundamental, ensino médio e o EJA tiveram acesso suficiente à alimentação escolar para atender às suas necessidades nutricionais. Entretanto, durante o período pandêmico, especificamente entre fevereiro de 2020 e meados de setembro de 2021, o nível de segurança alimentar não foi avaliado pela gestão nutricional, pois, conforme relatado, os nutricionistas não tinham controle sobre os alimentos que estavam sendo consumidos pelos alunos fora do ambiente escolar. O único grupo que recebeu amparo do programa durante esse período foi composto por alunos cadastrados em outra política pública, o Bolsa Família. Esses alunos receberam mensalmente cestas de alimentos, como forma de compensar pela suspensão das aulas presenciais e da merenda escolar. Já após a retomada gradual do ensino presencial (pós-pandemia), a nutricionista do programa avaliou o período com </w:t>
      </w:r>
      <w:r w:rsidRPr="6E1EAECE" w:rsidR="2B93316C">
        <w:rPr>
          <w:rFonts w:ascii="Helvetica" w:hAnsi="Helvetica" w:eastAsia="Helvetica" w:cs="Helvetica"/>
          <w:b w:val="1"/>
          <w:bCs w:val="1"/>
          <w:i w:val="0"/>
          <w:iCs w:val="0"/>
          <w:noProof w:val="0"/>
          <w:color w:val="000000" w:themeColor="text1" w:themeTint="FF" w:themeShade="FF"/>
          <w:sz w:val="18"/>
          <w:szCs w:val="18"/>
          <w:lang w:val="pt-BR"/>
        </w:rPr>
        <w:t>SA – Segurança Alimentar</w:t>
      </w:r>
      <w:r w:rsidRPr="6E1EAECE" w:rsidR="2B93316C">
        <w:rPr>
          <w:rFonts w:ascii="Helvetica" w:hAnsi="Helvetica" w:eastAsia="Helvetica" w:cs="Helvetica"/>
          <w:b w:val="0"/>
          <w:bCs w:val="0"/>
          <w:i w:val="0"/>
          <w:iCs w:val="0"/>
          <w:noProof w:val="0"/>
          <w:color w:val="000000" w:themeColor="text1" w:themeTint="FF" w:themeShade="FF"/>
          <w:sz w:val="18"/>
          <w:szCs w:val="18"/>
          <w:lang w:val="pt-BR"/>
        </w:rPr>
        <w:t>, ou seja, os alunos voltaram a ter o acesso à alimentação saudável, com controle nutricional adequado, através das refeições realizadas pela gestão nutricional.</w:t>
      </w:r>
    </w:p>
    <w:p w:rsidR="00495EBC" w:rsidP="6E1EAECE" w:rsidRDefault="700F64B7" w14:paraId="7170E40A" w14:textId="043913CD">
      <w:pPr>
        <w:spacing w:before="0" w:after="0" w:line="240" w:lineRule="auto"/>
        <w:jc w:val="center"/>
        <w:rPr>
          <w:rFonts w:ascii="Helvetica" w:hAnsi="Helvetica" w:eastAsia="Helvetica" w:cs="Helvetica"/>
          <w:b w:val="1"/>
          <w:bCs w:val="1"/>
          <w:sz w:val="26"/>
          <w:szCs w:val="26"/>
        </w:rPr>
      </w:pPr>
      <w:r w:rsidRPr="6E1EAECE" w:rsidR="700F64B7">
        <w:rPr>
          <w:rFonts w:ascii="Arial" w:hAnsi="Arial" w:eastAsia="Arial" w:cs="Arial"/>
          <w:b w:val="1"/>
          <w:bCs w:val="1"/>
          <w:sz w:val="26"/>
          <w:szCs w:val="26"/>
        </w:rPr>
        <w:t>Conclusões</w:t>
      </w:r>
    </w:p>
    <w:p w:rsidR="73193849" w:rsidP="6E1EAECE" w:rsidRDefault="73193849" w14:paraId="7DEB059D" w14:textId="1B4A865D">
      <w:pPr>
        <w:spacing w:before="0" w:beforeAutospacing="off" w:after="120" w:afterAutospacing="off" w:line="240" w:lineRule="auto"/>
        <w:ind w:firstLine="533"/>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3193849">
        <w:rPr>
          <w:rFonts w:ascii="Helvetica" w:hAnsi="Helvetica" w:eastAsia="Helvetica" w:cs="Helvetica"/>
          <w:b w:val="0"/>
          <w:bCs w:val="0"/>
          <w:i w:val="0"/>
          <w:iCs w:val="0"/>
          <w:noProof w:val="0"/>
          <w:color w:val="000000" w:themeColor="text1" w:themeTint="FF" w:themeShade="FF"/>
          <w:sz w:val="18"/>
          <w:szCs w:val="18"/>
          <w:lang w:val="pt-BR"/>
        </w:rPr>
        <w:t>Com os resultados desta pesquisa, pode-se verificar que, sem o apoio de políticas públicas em cenários de calamidade pública, as consequências sociais seriam significativamente maiores. Entretanto, mesmo diante das limitações enfrentadas durante a pandemia, o PNAE manteve seu papel essencial ao garantir o acesso básico à alimentação aos alunos beneficiários; sem essa atuação, o grau de insegurança alimentar seria ainda mais elevado. As iniciativas traçadas pelos atores envolvidos na gestão do PNAE contribuíram para que os alunos tivessem algum nível de segurança alimentar. No período anterior à pandemia, nos dois municípios estudados, os alunos tiveram a garantia da segurança alimentar por meio da alimentação escolar. Durante o período pandêmico, em Angatuba/SP, os alunos beneficiários apresentaram um grau de insegurança alimentar classificado como leve. Após a retomada gradativa das aulas presenciais, os alunos voltaram a ter acesso à alimentação escolar e à garantia da segurança alimentar nutricional.</w:t>
      </w:r>
    </w:p>
    <w:p w:rsidR="73193849" w:rsidP="6E1EAECE" w:rsidRDefault="73193849" w14:paraId="4054F87A" w14:textId="39CC6E84">
      <w:pPr>
        <w:spacing w:before="0" w:beforeAutospacing="off" w:after="120" w:afterAutospacing="off" w:line="240" w:lineRule="auto"/>
        <w:ind w:firstLine="533"/>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3193849">
        <w:rPr>
          <w:rFonts w:ascii="Helvetica" w:hAnsi="Helvetica" w:eastAsia="Helvetica" w:cs="Helvetica"/>
          <w:b w:val="0"/>
          <w:bCs w:val="0"/>
          <w:i w:val="0"/>
          <w:iCs w:val="0"/>
          <w:noProof w:val="0"/>
          <w:color w:val="000000" w:themeColor="text1" w:themeTint="FF" w:themeShade="FF"/>
          <w:sz w:val="18"/>
          <w:szCs w:val="18"/>
          <w:lang w:val="pt-BR"/>
        </w:rPr>
        <w:t>As políticas públicas de segurança alimentar devem sempre estar progredindo efetivamente e devem ter um amparo significativo dos órgãos governamentais. Em cenários de calamidade pública, a gestão nutricional desses programas deve sempre ter o senso de adaptação, para que a funcionalidade do PNAE continue beneficiando de forma efetiva seus beneficiários.</w:t>
      </w:r>
    </w:p>
    <w:p w:rsidR="00495EBC" w:rsidP="6E1EAECE" w:rsidRDefault="700F64B7" w14:paraId="1A8A572A" w14:textId="77777777">
      <w:pPr>
        <w:spacing w:before="120" w:after="120" w:line="240" w:lineRule="auto"/>
        <w:jc w:val="center"/>
        <w:rPr>
          <w:rFonts w:ascii="Helvetica" w:hAnsi="Helvetica" w:eastAsia="Helvetica" w:cs="Helvetica"/>
          <w:b w:val="1"/>
          <w:bCs w:val="1"/>
          <w:sz w:val="18"/>
          <w:szCs w:val="18"/>
        </w:rPr>
      </w:pPr>
      <w:r w:rsidRPr="6E1EAECE" w:rsidR="700F64B7">
        <w:rPr>
          <w:rFonts w:ascii="Arial" w:hAnsi="Arial" w:eastAsia="Arial" w:cs="Arial"/>
          <w:b w:val="1"/>
          <w:bCs w:val="1"/>
          <w:sz w:val="26"/>
          <w:szCs w:val="26"/>
        </w:rPr>
        <w:t>Referências</w:t>
      </w:r>
    </w:p>
    <w:p w:rsidR="7FB1DCFB" w:rsidP="6E1EAECE" w:rsidRDefault="7FB1DCFB" w14:paraId="27B476D3" w14:textId="2D4B7D6B">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CASTRO, J,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Geografia da fome: o dilema brasileiro – pão ou aço.</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Rio de </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Janeiro :</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Edições Antares, 1930.</w:t>
      </w:r>
    </w:p>
    <w:p w:rsidR="7FB1DCFB" w:rsidP="6E1EAECE" w:rsidRDefault="7FB1DCFB" w14:paraId="6DB3227B" w14:textId="1DB988DB">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COIMBRA, M; MEIRA, JFP; STARLING, BL.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Comer e aprender: uma história da alimentação escolar no Brasil</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 INAE/MEC, 1982.</w:t>
      </w:r>
    </w:p>
    <w:p w:rsidR="7FB1DCFB" w:rsidP="6E1EAECE" w:rsidRDefault="7FB1DCFB" w14:paraId="4146C36D" w14:textId="31611FAA">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FNDE (Brasília) – Fundo Nacional de Desenvolvimento da Educação</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 Programa Nacional de Alimentação Escolar – PNAE: Histórico</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Brasília, 2017. Disponível em: </w:t>
      </w:r>
      <w:hyperlink r:id="R5b1bf2b1a4274da3">
        <w:r w:rsidRPr="6E1EAECE" w:rsidR="7FB1DCFB">
          <w:rPr>
            <w:rStyle w:val="Hyperlink"/>
            <w:rFonts w:ascii="Helvetica" w:hAnsi="Helvetica" w:eastAsia="Helvetica" w:cs="Helvetica"/>
            <w:b w:val="0"/>
            <w:bCs w:val="0"/>
            <w:i w:val="1"/>
            <w:iCs w:val="1"/>
            <w:noProof w:val="0"/>
            <w:color w:val="000000" w:themeColor="text1" w:themeTint="FF" w:themeShade="FF"/>
            <w:sz w:val="18"/>
            <w:szCs w:val="18"/>
            <w:lang w:val="pt-BR"/>
          </w:rPr>
          <w:t>http://www.fnde.gov.br/programas/pnae/pnae-sobre-o-programa/pnae-historico</w:t>
        </w:r>
      </w:hyperlink>
      <w:r w:rsidRPr="6E1EAECE" w:rsidR="7FB1DCFB">
        <w:rPr>
          <w:rFonts w:ascii="Helvetica" w:hAnsi="Helvetica" w:eastAsia="Helvetica" w:cs="Helvetica"/>
          <w:b w:val="0"/>
          <w:bCs w:val="0"/>
          <w:i w:val="0"/>
          <w:iCs w:val="0"/>
          <w:noProof w:val="0"/>
          <w:color w:val="000000" w:themeColor="text1" w:themeTint="FF" w:themeShade="FF"/>
          <w:sz w:val="18"/>
          <w:szCs w:val="18"/>
          <w:lang w:val="pt-BR"/>
        </w:rPr>
        <w:t>. Acesso em: 30 jul. 2021.</w:t>
      </w:r>
    </w:p>
    <w:p w:rsidR="7FB1DCFB" w:rsidP="6E1EAECE" w:rsidRDefault="7FB1DCFB" w14:paraId="231DD574" w14:textId="6EED5825">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FONSECA, W. S.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Bases da alimentação escolar. Rio de Janeiro, Serviço de Alimentação da Previdência Social (SAPS)</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1953</w:t>
      </w:r>
    </w:p>
    <w:p w:rsidR="7FB1DCFB" w:rsidP="6E1EAECE" w:rsidRDefault="7FB1DCFB" w14:paraId="6AC739E8" w14:textId="484EA855">
      <w:pPr>
        <w:shd w:val="clear" w:color="auto" w:fill="FFFFFF" w:themeFill="background1"/>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IBGE (ed.).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Pesquisa de orçamentos familiares: 2017-2018: análise da segurança alimentar no Brasil</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Rio de Janeiro: </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Ibge</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2020.</w:t>
      </w:r>
    </w:p>
    <w:p w:rsidR="7FB1DCFB" w:rsidP="6E1EAECE" w:rsidRDefault="7FB1DCFB" w14:paraId="073F3826" w14:textId="58C1CE05">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KEPPLE, A. W.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Relatório do produto 01: documento técnico contendo análise reflexiva sobre o conjunto dos principais resultados dos estudos realizados pela SAGI a respeito dos programas de Segurança Alimentar e Nutricional - PAA e cisternas.</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Brasília, DF: Ministério do Desenvolvimento Social e Combate à Fome, Secretaria de Avaliação e Gestão da Informação - SAGI, 2010.</w:t>
      </w:r>
    </w:p>
    <w:p w:rsidR="7FB1DCFB" w:rsidP="6E1EAECE" w:rsidRDefault="7FB1DCFB" w14:paraId="4CD363FF" w14:textId="66F43EA5">
      <w:pPr>
        <w:shd w:val="clear" w:color="auto" w:fill="FFFFFF" w:themeFill="background1"/>
        <w:spacing w:before="0" w:beforeAutospacing="off" w:after="120" w:afterAutospacing="off" w:line="240" w:lineRule="auto"/>
        <w:jc w:val="both"/>
        <w:rPr>
          <w:rFonts w:ascii="Helvetica" w:hAnsi="Helvetica" w:eastAsia="Helvetica" w:cs="Helvetica"/>
          <w:b w:val="0"/>
          <w:bCs w:val="0"/>
          <w:i w:val="0"/>
          <w:iCs w:val="0"/>
          <w:noProof w:val="0"/>
          <w:color w:val="1A1A1A"/>
          <w:sz w:val="18"/>
          <w:szCs w:val="18"/>
          <w:lang w:val="pt-BR"/>
        </w:rPr>
      </w:pPr>
      <w:r w:rsidRPr="6E1EAECE" w:rsidR="7FB1DCFB">
        <w:rPr>
          <w:rFonts w:ascii="Helvetica" w:hAnsi="Helvetica" w:eastAsia="Helvetica" w:cs="Helvetica"/>
          <w:b w:val="0"/>
          <w:bCs w:val="0"/>
          <w:i w:val="0"/>
          <w:iCs w:val="0"/>
          <w:noProof w:val="0"/>
          <w:color w:val="1A1A1A"/>
          <w:sz w:val="18"/>
          <w:szCs w:val="18"/>
          <w:lang w:val="pt-BR"/>
        </w:rPr>
        <w:t xml:space="preserve">PEIXINHO, </w:t>
      </w:r>
      <w:r w:rsidRPr="6E1EAECE" w:rsidR="7FB1DCFB">
        <w:rPr>
          <w:rFonts w:ascii="Helvetica" w:hAnsi="Helvetica" w:eastAsia="Helvetica" w:cs="Helvetica"/>
          <w:b w:val="0"/>
          <w:bCs w:val="0"/>
          <w:i w:val="0"/>
          <w:iCs w:val="0"/>
          <w:noProof w:val="0"/>
          <w:color w:val="1A1A1A"/>
          <w:sz w:val="18"/>
          <w:szCs w:val="18"/>
          <w:lang w:val="pt-BR"/>
        </w:rPr>
        <w:t>Albaneide</w:t>
      </w:r>
      <w:r w:rsidRPr="6E1EAECE" w:rsidR="7FB1DCFB">
        <w:rPr>
          <w:rFonts w:ascii="Helvetica" w:hAnsi="Helvetica" w:eastAsia="Helvetica" w:cs="Helvetica"/>
          <w:b w:val="0"/>
          <w:bCs w:val="0"/>
          <w:i w:val="0"/>
          <w:iCs w:val="0"/>
          <w:noProof w:val="0"/>
          <w:color w:val="1A1A1A"/>
          <w:sz w:val="18"/>
          <w:szCs w:val="18"/>
          <w:lang w:val="pt-BR"/>
        </w:rPr>
        <w:t xml:space="preserve"> Maria Lima. </w:t>
      </w:r>
      <w:r w:rsidRPr="6E1EAECE" w:rsidR="7FB1DCFB">
        <w:rPr>
          <w:rFonts w:ascii="Helvetica" w:hAnsi="Helvetica" w:eastAsia="Helvetica" w:cs="Helvetica"/>
          <w:b w:val="1"/>
          <w:bCs w:val="1"/>
          <w:i w:val="0"/>
          <w:iCs w:val="0"/>
          <w:noProof w:val="0"/>
          <w:color w:val="1A1A1A"/>
          <w:sz w:val="18"/>
          <w:szCs w:val="18"/>
          <w:lang w:val="pt-BR"/>
        </w:rPr>
        <w:t>Um resgate histórico do Programa Nacional de Alimentação Escolar – PNAE. 2011</w:t>
      </w:r>
      <w:r w:rsidRPr="6E1EAECE" w:rsidR="7FB1DCFB">
        <w:rPr>
          <w:rFonts w:ascii="Helvetica" w:hAnsi="Helvetica" w:eastAsia="Helvetica" w:cs="Helvetica"/>
          <w:b w:val="0"/>
          <w:bCs w:val="0"/>
          <w:i w:val="0"/>
          <w:iCs w:val="0"/>
          <w:noProof w:val="0"/>
          <w:color w:val="1A1A1A"/>
          <w:sz w:val="18"/>
          <w:szCs w:val="18"/>
          <w:lang w:val="pt-BR"/>
        </w:rPr>
        <w:t>. 135 f. Tese (Doutorado) - Curso de Ensino em Ciências da Saúde, Universidade Federal de São Paulo, São Paulo, 2011.</w:t>
      </w:r>
    </w:p>
    <w:p w:rsidR="7FB1DCFB" w:rsidP="6E1EAECE" w:rsidRDefault="7FB1DCFB" w14:paraId="283E28C6" w14:textId="134312ED">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ROCHA, H.H.P.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Educação escolar e higienização da infância.</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Cad. CEDES </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vol</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23, nº 59 Campinas </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Apr</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2003.</w:t>
      </w:r>
    </w:p>
    <w:p w:rsidR="7FB1DCFB" w:rsidP="6E1EAECE" w:rsidRDefault="7FB1DCFB" w14:paraId="63BA574A" w14:textId="734E6B78">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ROSENBURG, C.P.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Merenda Escolar e crescimento.</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São Paulo, 1972. (Tese de Doutorado - Faculdade de Saúde Pública da USP).</w:t>
      </w:r>
    </w:p>
    <w:p w:rsidR="7FB1DCFB" w:rsidP="6E1EAECE" w:rsidRDefault="7FB1DCFB" w14:paraId="3F959874" w14:textId="06B96487">
      <w:pPr>
        <w:spacing w:before="0" w:beforeAutospacing="off" w:after="120" w:afterAutospacing="off" w:line="240" w:lineRule="auto"/>
        <w:jc w:val="both"/>
        <w:rPr>
          <w:rFonts w:ascii="Helvetica" w:hAnsi="Helvetica" w:eastAsia="Helvetica" w:cs="Helvetica"/>
          <w:b w:val="0"/>
          <w:bCs w:val="0"/>
          <w:i w:val="0"/>
          <w:iCs w:val="0"/>
          <w:noProof w:val="0"/>
          <w:color w:val="000000" w:themeColor="text1" w:themeTint="FF" w:themeShade="FF"/>
          <w:sz w:val="18"/>
          <w:szCs w:val="18"/>
          <w:lang w:val="pt-BR"/>
        </w:rPr>
      </w:pP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STEFANINI, M.L.R. </w:t>
      </w:r>
      <w:r w:rsidRPr="6E1EAECE" w:rsidR="7FB1DCFB">
        <w:rPr>
          <w:rFonts w:ascii="Helvetica" w:hAnsi="Helvetica" w:eastAsia="Helvetica" w:cs="Helvetica"/>
          <w:b w:val="1"/>
          <w:bCs w:val="1"/>
          <w:i w:val="0"/>
          <w:iCs w:val="0"/>
          <w:noProof w:val="0"/>
          <w:color w:val="000000" w:themeColor="text1" w:themeTint="FF" w:themeShade="FF"/>
          <w:sz w:val="18"/>
          <w:szCs w:val="18"/>
          <w:lang w:val="pt-BR"/>
        </w:rPr>
        <w:t>Merenda Escolar: História, Evolução e Contribuição no atendimento das necessidades nutricionais da criança.</w:t>
      </w:r>
      <w:r w:rsidRPr="6E1EAECE" w:rsidR="7FB1DCFB">
        <w:rPr>
          <w:rFonts w:ascii="Helvetica" w:hAnsi="Helvetica" w:eastAsia="Helvetica" w:cs="Helvetica"/>
          <w:b w:val="0"/>
          <w:bCs w:val="0"/>
          <w:i w:val="0"/>
          <w:iCs w:val="0"/>
          <w:noProof w:val="0"/>
          <w:color w:val="000000" w:themeColor="text1" w:themeTint="FF" w:themeShade="FF"/>
          <w:sz w:val="18"/>
          <w:szCs w:val="18"/>
          <w:lang w:val="pt-BR"/>
        </w:rPr>
        <w:t xml:space="preserve"> São Paulo, 1997. (Tese de Doutorado - Faculdade de Saúde Pública da USP).</w:t>
      </w:r>
    </w:p>
    <w:p w:rsidR="6E1EAECE" w:rsidP="6E1EAECE" w:rsidRDefault="6E1EAECE" w14:paraId="7AF54C59" w14:textId="42ACCCE5">
      <w:pPr>
        <w:spacing w:before="120" w:after="120" w:line="240" w:lineRule="auto"/>
        <w:jc w:val="center"/>
        <w:rPr>
          <w:rFonts w:ascii="Arial" w:hAnsi="Arial" w:eastAsia="Arial" w:cs="Arial"/>
          <w:b w:val="1"/>
          <w:bCs w:val="1"/>
          <w:sz w:val="26"/>
          <w:szCs w:val="26"/>
        </w:rPr>
      </w:pPr>
    </w:p>
    <w:sectPr w:rsidR="00495EBC">
      <w:type w:val="continuous"/>
      <w:pgSz w:w="11906" w:h="16838" w:orient="portrait"/>
      <w:pgMar w:top="1871" w:right="1474" w:bottom="2381" w:left="1474" w:header="709" w:footer="709" w:gutter="0"/>
      <w:cols w:equalWidth="0" w:space="720" w:num="2">
        <w:col w:w="4251" w:space="454"/>
        <w:col w:w="425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DEF" w:rsidRDefault="00927DEF" w14:paraId="351908BC" w14:textId="77777777">
      <w:pPr>
        <w:spacing w:before="0" w:after="0" w:line="240" w:lineRule="auto"/>
      </w:pPr>
      <w:r>
        <w:separator/>
      </w:r>
    </w:p>
  </w:endnote>
  <w:endnote w:type="continuationSeparator" w:id="0">
    <w:p w:rsidR="00927DEF" w:rsidRDefault="00927DEF" w14:paraId="32CB8DA1"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14921F61-D7DE-4B69-A542-19406AD1D6A7}" r:id="rId1"/>
    <w:embedBold w:fontKey="{E2AC984A-D57A-4AC9-9305-EEA3F4D7110D}" r:id="rId2"/>
  </w:font>
  <w:font w:name="Georgia">
    <w:panose1 w:val="02040502050405020303"/>
    <w:charset w:val="00"/>
    <w:family w:val="roman"/>
    <w:pitch w:val="variable"/>
    <w:sig w:usb0="00000287" w:usb1="00000000" w:usb2="00000000" w:usb3="00000000" w:csb0="0000009F" w:csb1="00000000"/>
    <w:embedItalic w:fontKey="{D8E335DB-8C33-4F9C-8339-3840F78F1856}" r:id="rId3"/>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embedRegular w:fontKey="{B237558E-F4AB-4BF5-815F-C840296F4CB8}" r:id="rId4"/>
    <w:embedBold w:fontKey="{23A317AA-A3DE-43EE-84CE-71C57F75B770}" r:id="rId5"/>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8DB73C8E-0AD3-4741-A2B8-E1276A35B94D}"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DEF" w:rsidRDefault="00927DEF" w14:paraId="1C60CAAE" w14:textId="77777777">
      <w:pPr>
        <w:spacing w:before="0" w:after="0" w:line="240" w:lineRule="auto"/>
      </w:pPr>
      <w:r>
        <w:separator/>
      </w:r>
    </w:p>
  </w:footnote>
  <w:footnote w:type="continuationSeparator" w:id="0">
    <w:p w:rsidR="00927DEF" w:rsidRDefault="00927DEF" w14:paraId="30650FB6"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95EBC" w:rsidRDefault="00C24DFF" w14:paraId="60061E4C" w14:textId="77777777">
    <w:pPr>
      <w:pBdr>
        <w:top w:val="nil"/>
        <w:left w:val="nil"/>
        <w:bottom w:val="nil"/>
        <w:right w:val="nil"/>
        <w:between w:val="nil"/>
      </w:pBdr>
      <w:tabs>
        <w:tab w:val="center" w:pos="4252"/>
        <w:tab w:val="right" w:pos="8504"/>
      </w:tabs>
      <w:rPr>
        <w:color w:val="000000"/>
      </w:rPr>
    </w:pPr>
    <w:r>
      <w:rPr>
        <w:noProof/>
      </w:rPr>
      <w:drawing>
        <wp:inline distT="114300" distB="114300" distL="114300" distR="114300" wp14:anchorId="5FBF9725" wp14:editId="07777777">
          <wp:extent cx="1316673" cy="1316673"/>
          <wp:effectExtent l="0" t="0" r="0" b="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16673" cy="1316673"/>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9RQj/EvTBhHVEu" int2:id="2gAMtshm">
      <int2:state int2:value="Rejected" int2:type="spell"/>
    </int2:textHash>
    <int2:textHash int2:hashCode="BCQs/kghADya1h" int2:id="jJYkdyR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CF88E"/>
    <w:multiLevelType w:val="hybridMultilevel"/>
    <w:tmpl w:val="FFFFFFFF"/>
    <w:lvl w:ilvl="0" w:tplc="9B4C54AA">
      <w:start w:val="1"/>
      <w:numFmt w:val="bullet"/>
      <w:lvlText w:val=""/>
      <w:lvlJc w:val="left"/>
      <w:pPr>
        <w:ind w:left="720" w:hanging="360"/>
      </w:pPr>
      <w:rPr>
        <w:rFonts w:hint="default" w:ascii="Symbol" w:hAnsi="Symbol"/>
      </w:rPr>
    </w:lvl>
    <w:lvl w:ilvl="1" w:tplc="991689F4">
      <w:start w:val="1"/>
      <w:numFmt w:val="bullet"/>
      <w:lvlText w:val="o"/>
      <w:lvlJc w:val="left"/>
      <w:pPr>
        <w:ind w:left="1440" w:hanging="360"/>
      </w:pPr>
      <w:rPr>
        <w:rFonts w:hint="default" w:ascii="Courier New" w:hAnsi="Courier New"/>
      </w:rPr>
    </w:lvl>
    <w:lvl w:ilvl="2" w:tplc="D34A4DC0">
      <w:start w:val="1"/>
      <w:numFmt w:val="bullet"/>
      <w:lvlText w:val=""/>
      <w:lvlJc w:val="left"/>
      <w:pPr>
        <w:ind w:left="2160" w:hanging="360"/>
      </w:pPr>
      <w:rPr>
        <w:rFonts w:hint="default" w:ascii="Wingdings" w:hAnsi="Wingdings"/>
      </w:rPr>
    </w:lvl>
    <w:lvl w:ilvl="3" w:tplc="58D69A2A">
      <w:start w:val="1"/>
      <w:numFmt w:val="bullet"/>
      <w:lvlText w:val=""/>
      <w:lvlJc w:val="left"/>
      <w:pPr>
        <w:ind w:left="2880" w:hanging="360"/>
      </w:pPr>
      <w:rPr>
        <w:rFonts w:hint="default" w:ascii="Symbol" w:hAnsi="Symbol"/>
      </w:rPr>
    </w:lvl>
    <w:lvl w:ilvl="4" w:tplc="E022094A">
      <w:start w:val="1"/>
      <w:numFmt w:val="bullet"/>
      <w:lvlText w:val="o"/>
      <w:lvlJc w:val="left"/>
      <w:pPr>
        <w:ind w:left="3600" w:hanging="360"/>
      </w:pPr>
      <w:rPr>
        <w:rFonts w:hint="default" w:ascii="Courier New" w:hAnsi="Courier New"/>
      </w:rPr>
    </w:lvl>
    <w:lvl w:ilvl="5" w:tplc="B190515A">
      <w:start w:val="1"/>
      <w:numFmt w:val="bullet"/>
      <w:lvlText w:val=""/>
      <w:lvlJc w:val="left"/>
      <w:pPr>
        <w:ind w:left="4320" w:hanging="360"/>
      </w:pPr>
      <w:rPr>
        <w:rFonts w:hint="default" w:ascii="Wingdings" w:hAnsi="Wingdings"/>
      </w:rPr>
    </w:lvl>
    <w:lvl w:ilvl="6" w:tplc="399A5944">
      <w:start w:val="1"/>
      <w:numFmt w:val="bullet"/>
      <w:lvlText w:val=""/>
      <w:lvlJc w:val="left"/>
      <w:pPr>
        <w:ind w:left="5040" w:hanging="360"/>
      </w:pPr>
      <w:rPr>
        <w:rFonts w:hint="default" w:ascii="Symbol" w:hAnsi="Symbol"/>
      </w:rPr>
    </w:lvl>
    <w:lvl w:ilvl="7" w:tplc="FE9AEB6E">
      <w:start w:val="1"/>
      <w:numFmt w:val="bullet"/>
      <w:lvlText w:val="o"/>
      <w:lvlJc w:val="left"/>
      <w:pPr>
        <w:ind w:left="5760" w:hanging="360"/>
      </w:pPr>
      <w:rPr>
        <w:rFonts w:hint="default" w:ascii="Courier New" w:hAnsi="Courier New"/>
      </w:rPr>
    </w:lvl>
    <w:lvl w:ilvl="8" w:tplc="74928A5C">
      <w:start w:val="1"/>
      <w:numFmt w:val="bullet"/>
      <w:lvlText w:val=""/>
      <w:lvlJc w:val="left"/>
      <w:pPr>
        <w:ind w:left="6480" w:hanging="360"/>
      </w:pPr>
      <w:rPr>
        <w:rFonts w:hint="default" w:ascii="Wingdings" w:hAnsi="Wingdings"/>
      </w:rPr>
    </w:lvl>
  </w:abstractNum>
  <w:num w:numId="1" w16cid:durableId="1169752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BC"/>
    <w:rsid w:val="00495EBC"/>
    <w:rsid w:val="0056693D"/>
    <w:rsid w:val="006979D1"/>
    <w:rsid w:val="00927DEF"/>
    <w:rsid w:val="009B1F1B"/>
    <w:rsid w:val="00A6263F"/>
    <w:rsid w:val="00C24DFF"/>
    <w:rsid w:val="019EB72D"/>
    <w:rsid w:val="0283BA2D"/>
    <w:rsid w:val="06B9930C"/>
    <w:rsid w:val="06D651BF"/>
    <w:rsid w:val="081F7EF8"/>
    <w:rsid w:val="0A9D5526"/>
    <w:rsid w:val="0EB204AB"/>
    <w:rsid w:val="0F03F47D"/>
    <w:rsid w:val="104FBFD1"/>
    <w:rsid w:val="153567D6"/>
    <w:rsid w:val="15F8C654"/>
    <w:rsid w:val="16457AE6"/>
    <w:rsid w:val="1E6B8E12"/>
    <w:rsid w:val="1EB9A71C"/>
    <w:rsid w:val="1EEB2BE5"/>
    <w:rsid w:val="239503A4"/>
    <w:rsid w:val="23F09A91"/>
    <w:rsid w:val="23F59996"/>
    <w:rsid w:val="2B93316C"/>
    <w:rsid w:val="2C24365E"/>
    <w:rsid w:val="2C721404"/>
    <w:rsid w:val="2ED41B3D"/>
    <w:rsid w:val="30DC063C"/>
    <w:rsid w:val="327E7ECA"/>
    <w:rsid w:val="332BF24E"/>
    <w:rsid w:val="34151C9E"/>
    <w:rsid w:val="3540681C"/>
    <w:rsid w:val="355E3E81"/>
    <w:rsid w:val="36C135A8"/>
    <w:rsid w:val="36E328F8"/>
    <w:rsid w:val="371869DA"/>
    <w:rsid w:val="38B96CDF"/>
    <w:rsid w:val="3B389748"/>
    <w:rsid w:val="44F1546A"/>
    <w:rsid w:val="477ACA8F"/>
    <w:rsid w:val="47C0847C"/>
    <w:rsid w:val="49BB1A80"/>
    <w:rsid w:val="4B443571"/>
    <w:rsid w:val="4ED50E6C"/>
    <w:rsid w:val="4F74A507"/>
    <w:rsid w:val="50AA1A30"/>
    <w:rsid w:val="50ADEF1B"/>
    <w:rsid w:val="53594B9D"/>
    <w:rsid w:val="551BA74E"/>
    <w:rsid w:val="552AAEF7"/>
    <w:rsid w:val="557391A5"/>
    <w:rsid w:val="5D4669C9"/>
    <w:rsid w:val="5E9DAFE9"/>
    <w:rsid w:val="603BA02A"/>
    <w:rsid w:val="60DD987E"/>
    <w:rsid w:val="62454429"/>
    <w:rsid w:val="63F2E859"/>
    <w:rsid w:val="6766C56A"/>
    <w:rsid w:val="6D027B44"/>
    <w:rsid w:val="6E1EAECE"/>
    <w:rsid w:val="700F64B7"/>
    <w:rsid w:val="73193849"/>
    <w:rsid w:val="7AD4EAD6"/>
    <w:rsid w:val="7AFFD138"/>
    <w:rsid w:val="7B94EDED"/>
    <w:rsid w:val="7D571AA5"/>
    <w:rsid w:val="7EBEB9DD"/>
    <w:rsid w:val="7FB1DCF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1963E2E"/>
  <w15:docId w15:val="{43ED79C6-987A-4965-981E-23831CA2D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pt-BR" w:eastAsia="ja-JP" w:bidi="ar-SA"/>
      </w:rPr>
    </w:rPrDefault>
    <w:pPrDefault>
      <w:pPr>
        <w:spacing w:before="240"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Cabealho">
    <w:name w:val="header"/>
    <w:basedOn w:val="Normal"/>
    <w:qFormat/>
    <w:pPr>
      <w:tabs>
        <w:tab w:val="center" w:pos="4252"/>
        <w:tab w:val="right" w:pos="8504"/>
      </w:tabs>
      <w:suppressAutoHyphens/>
      <w:ind w:left="-1" w:leftChars="-1" w:hanging="1" w:hangingChars="1"/>
      <w:textDirection w:val="btLr"/>
      <w:textAlignment w:val="top"/>
      <w:outlineLvl w:val="0"/>
    </w:pPr>
    <w:rPr>
      <w:position w:val="-1"/>
      <w:lang w:eastAsia="en-US"/>
    </w:rPr>
  </w:style>
  <w:style w:type="character" w:styleId="CabealhoChar" w:customStyle="1">
    <w:name w:val="Cabeçalho Char"/>
    <w:rPr>
      <w:w w:val="100"/>
      <w:position w:val="-1"/>
      <w:sz w:val="22"/>
      <w:szCs w:val="22"/>
      <w:effect w:val="none"/>
      <w:vertAlign w:val="baseline"/>
      <w:cs w:val="0"/>
      <w:em w:val="none"/>
      <w:lang w:eastAsia="en-US"/>
    </w:rPr>
  </w:style>
  <w:style w:type="paragraph" w:styleId="Rodap">
    <w:name w:val="footer"/>
    <w:basedOn w:val="Normal"/>
    <w:qFormat/>
    <w:pPr>
      <w:tabs>
        <w:tab w:val="center" w:pos="4252"/>
        <w:tab w:val="right" w:pos="8504"/>
      </w:tabs>
      <w:suppressAutoHyphens/>
      <w:ind w:left="-1" w:leftChars="-1" w:hanging="1" w:hangingChars="1"/>
      <w:textDirection w:val="btLr"/>
      <w:textAlignment w:val="top"/>
      <w:outlineLvl w:val="0"/>
    </w:pPr>
    <w:rPr>
      <w:position w:val="-1"/>
      <w:lang w:eastAsia="en-US"/>
    </w:rPr>
  </w:style>
  <w:style w:type="character" w:styleId="RodapChar" w:customStyle="1">
    <w:name w:val="Rodapé Char"/>
    <w:rPr>
      <w:w w:val="100"/>
      <w:position w:val="-1"/>
      <w:sz w:val="22"/>
      <w:szCs w:val="22"/>
      <w:effect w:val="none"/>
      <w:vertAlign w:val="baseline"/>
      <w:cs w:val="0"/>
      <w:em w:val="none"/>
      <w:lang w:eastAsia="en-US"/>
    </w:rPr>
  </w:style>
  <w:style w:type="paragraph" w:styleId="Subttulo">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paragraph" w:styleId="PargrafodaLista">
    <w:name w:val="List Paragraph"/>
    <w:basedOn w:val="Normal"/>
    <w:uiPriority w:val="34"/>
    <w:qFormat/>
    <w:rsid w:val="327E7ECA"/>
    <w:pPr>
      <w:ind w:left="720"/>
      <w:contextualSpacing/>
    </w:pPr>
  </w:style>
  <w:style w:type="character" w:styleId="Hyperlink">
    <w:name w:val="Hyperlink"/>
    <w:uiPriority w:val="99"/>
    <w:unhideWhenUsed/>
    <w:rsid w:val="327E7E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microsoft.com/office/2020/10/relationships/intelligence" Target="intelligence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www.fnde.gov.br/programas/pnae/pnae-sobre-o-programa/pnae-historico" TargetMode="External" Id="R5b1bf2b1a4274da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xLvr5MWdIPXdJFgQGmco1CrXA==">CgMxLjA4AHIhMVNjVDlsQUdWZ1NmQ1Z1NGJUa1pFYXNteVZBRndRSEEx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Fernando</dc:creator>
  <lastModifiedBy>ronaldo wilson</lastModifiedBy>
  <revision>3</revision>
  <dcterms:created xsi:type="dcterms:W3CDTF">2026-03-21T19:59:00.0000000Z</dcterms:created>
  <dcterms:modified xsi:type="dcterms:W3CDTF">2026-03-21T20:18:23.0980766Z</dcterms:modified>
</coreProperties>
</file>