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C1DC" w14:textId="77777777" w:rsidR="005753F9" w:rsidRPr="00F725E2" w:rsidRDefault="005753F9" w:rsidP="00C72A84">
      <w:pPr>
        <w:jc w:val="center"/>
        <w:rPr>
          <w:rFonts w:cs="Arial"/>
          <w:b/>
          <w:bCs/>
          <w:szCs w:val="24"/>
        </w:rPr>
      </w:pPr>
    </w:p>
    <w:p w14:paraId="5CAEE114" w14:textId="77777777" w:rsidR="00C72A84" w:rsidRPr="00F725E2" w:rsidRDefault="00C72A84" w:rsidP="00C72A84">
      <w:pPr>
        <w:jc w:val="both"/>
        <w:rPr>
          <w:rFonts w:cs="Arial"/>
          <w:b/>
          <w:bCs/>
          <w:szCs w:val="24"/>
        </w:rPr>
      </w:pPr>
    </w:p>
    <w:p w14:paraId="4BC6D138" w14:textId="09251BE2" w:rsidR="00572D56" w:rsidRPr="00F725E2" w:rsidRDefault="006949C4" w:rsidP="00F725E2">
      <w:pPr>
        <w:jc w:val="center"/>
        <w:rPr>
          <w:rFonts w:cs="Arial"/>
          <w:szCs w:val="24"/>
        </w:rPr>
      </w:pPr>
      <w:r w:rsidRPr="00F725E2">
        <w:rPr>
          <w:rFonts w:cs="Arial"/>
          <w:b/>
          <w:bCs/>
          <w:szCs w:val="24"/>
        </w:rPr>
        <w:t>ÁREA TEMÁTICA:</w:t>
      </w:r>
      <w:r w:rsidRPr="00F725E2">
        <w:rPr>
          <w:rFonts w:cs="Arial"/>
          <w:szCs w:val="24"/>
        </w:rPr>
        <w:t xml:space="preserve"> </w:t>
      </w:r>
      <w:proofErr w:type="spellStart"/>
      <w:r w:rsidR="00F725E2">
        <w:rPr>
          <w:rFonts w:cs="Arial"/>
          <w:szCs w:val="24"/>
        </w:rPr>
        <w:t>Administração</w:t>
      </w:r>
      <w:proofErr w:type="spellEnd"/>
      <w:r w:rsidR="00F725E2">
        <w:rPr>
          <w:rFonts w:cs="Arial"/>
          <w:szCs w:val="24"/>
        </w:rPr>
        <w:t xml:space="preserve"> Pública</w:t>
      </w:r>
    </w:p>
    <w:p w14:paraId="459A3CFD" w14:textId="4B565DBB" w:rsidR="00F725E2" w:rsidRPr="00F725E2" w:rsidRDefault="00F725E2" w:rsidP="00F725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Times New Roman" w:cs="Arial"/>
          <w:b/>
          <w:szCs w:val="24"/>
          <w:highlight w:val="white"/>
        </w:rPr>
      </w:pPr>
      <w:r w:rsidRPr="00F725E2">
        <w:rPr>
          <w:rFonts w:eastAsia="Times New Roman" w:cs="Arial"/>
          <w:b/>
          <w:szCs w:val="24"/>
          <w:highlight w:val="white"/>
        </w:rPr>
        <w:t>ANÁLISE DA ESTRUTURA ORÇAMENTÁRIA NA CONSTRUÇÃO DE POÇOS: ESTUDO DE CASO DA SEMARH/RN (2022-2024)</w:t>
      </w:r>
    </w:p>
    <w:p w14:paraId="255532E7" w14:textId="0E5B7C8C" w:rsidR="00572D56" w:rsidRPr="00F725E2" w:rsidRDefault="00572D56" w:rsidP="00F725E2">
      <w:pPr>
        <w:rPr>
          <w:rFonts w:cs="Arial"/>
          <w:szCs w:val="24"/>
        </w:rPr>
      </w:pPr>
    </w:p>
    <w:p w14:paraId="508E8E6D" w14:textId="66C5BFA7" w:rsidR="00572D56" w:rsidRPr="00F725E2" w:rsidRDefault="006949C4" w:rsidP="00C72A84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br w:type="page"/>
      </w:r>
    </w:p>
    <w:p w14:paraId="07FAC285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lastRenderedPageBreak/>
        <w:t>Resumo</w:t>
      </w:r>
    </w:p>
    <w:p w14:paraId="62F111BC" w14:textId="1EB3F563" w:rsidR="00F34C19" w:rsidRPr="00F725E2" w:rsidRDefault="00662BD7" w:rsidP="00F34C19">
      <w:pPr>
        <w:spacing w:after="0"/>
        <w:ind w:left="360"/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O </w:t>
      </w:r>
      <w:proofErr w:type="spellStart"/>
      <w:r w:rsidRPr="00F725E2">
        <w:rPr>
          <w:rFonts w:cs="Arial"/>
          <w:szCs w:val="24"/>
        </w:rPr>
        <w:t>objetivo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trabalho</w:t>
      </w:r>
      <w:proofErr w:type="spellEnd"/>
      <w:r w:rsidRPr="00F725E2">
        <w:rPr>
          <w:rFonts w:cs="Arial"/>
          <w:szCs w:val="24"/>
        </w:rPr>
        <w:t xml:space="preserve"> é </w:t>
      </w:r>
      <w:proofErr w:type="spellStart"/>
      <w:r w:rsidRPr="00F725E2">
        <w:rPr>
          <w:rFonts w:cs="Arial"/>
          <w:szCs w:val="24"/>
        </w:rPr>
        <w:t>analisar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estrutura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Secretaria</w:t>
      </w:r>
      <w:proofErr w:type="spellEnd"/>
      <w:r w:rsidRPr="00F725E2">
        <w:rPr>
          <w:rFonts w:cs="Arial"/>
          <w:szCs w:val="24"/>
        </w:rPr>
        <w:t xml:space="preserve"> de Estado do Meio </w:t>
      </w:r>
      <w:proofErr w:type="spellStart"/>
      <w:r w:rsidRPr="00F725E2">
        <w:rPr>
          <w:rFonts w:cs="Arial"/>
          <w:szCs w:val="24"/>
        </w:rPr>
        <w:t>Ambiente</w:t>
      </w:r>
      <w:proofErr w:type="spellEnd"/>
      <w:r w:rsidRPr="00F725E2">
        <w:rPr>
          <w:rFonts w:cs="Arial"/>
          <w:szCs w:val="24"/>
        </w:rPr>
        <w:t xml:space="preserve"> e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do Rio Grande do Norte (SEMARH/RN), com </w:t>
      </w:r>
      <w:proofErr w:type="spellStart"/>
      <w:r w:rsidRPr="00F725E2">
        <w:rPr>
          <w:rFonts w:cs="Arial"/>
          <w:szCs w:val="24"/>
        </w:rPr>
        <w:t>foco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relacionados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instalação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no </w:t>
      </w:r>
      <w:proofErr w:type="spellStart"/>
      <w:r w:rsidRPr="00F725E2">
        <w:rPr>
          <w:rFonts w:cs="Arial"/>
          <w:szCs w:val="24"/>
        </w:rPr>
        <w:t>período</w:t>
      </w:r>
      <w:proofErr w:type="spellEnd"/>
      <w:r w:rsidRPr="00F725E2">
        <w:rPr>
          <w:rFonts w:cs="Arial"/>
          <w:szCs w:val="24"/>
        </w:rPr>
        <w:t xml:space="preserve"> de 2022 a 2024. A </w:t>
      </w:r>
      <w:proofErr w:type="spellStart"/>
      <w:r w:rsidRPr="00F725E2">
        <w:rPr>
          <w:rFonts w:cs="Arial"/>
          <w:szCs w:val="24"/>
        </w:rPr>
        <w:t>pesquisa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utiliza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modelo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regressão</w:t>
      </w:r>
      <w:proofErr w:type="spellEnd"/>
      <w:r w:rsidRPr="00F725E2">
        <w:rPr>
          <w:rFonts w:cs="Arial"/>
          <w:szCs w:val="24"/>
        </w:rPr>
        <w:t xml:space="preserve"> linear </w:t>
      </w:r>
      <w:proofErr w:type="spellStart"/>
      <w:r w:rsidRPr="00F725E2">
        <w:rPr>
          <w:rFonts w:cs="Arial"/>
          <w:szCs w:val="24"/>
        </w:rPr>
        <w:t>generalizado</w:t>
      </w:r>
      <w:proofErr w:type="spellEnd"/>
      <w:r w:rsidRPr="00F725E2">
        <w:rPr>
          <w:rFonts w:cs="Arial"/>
          <w:szCs w:val="24"/>
        </w:rPr>
        <w:t xml:space="preserve"> (GLM) para </w:t>
      </w:r>
      <w:proofErr w:type="spellStart"/>
      <w:r w:rsidRPr="00F725E2">
        <w:rPr>
          <w:rFonts w:cs="Arial"/>
          <w:szCs w:val="24"/>
        </w:rPr>
        <w:t>investigar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relação</w:t>
      </w:r>
      <w:proofErr w:type="spellEnd"/>
      <w:r w:rsidRPr="00F725E2">
        <w:rPr>
          <w:rFonts w:cs="Arial"/>
          <w:szCs w:val="24"/>
        </w:rPr>
        <w:t xml:space="preserve"> entre </w:t>
      </w:r>
      <w:proofErr w:type="spellStart"/>
      <w:r w:rsidRPr="00F725E2">
        <w:rPr>
          <w:rFonts w:cs="Arial"/>
          <w:szCs w:val="24"/>
        </w:rPr>
        <w:t>essas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e a </w:t>
      </w:r>
      <w:proofErr w:type="spellStart"/>
      <w:r w:rsidRPr="00F725E2">
        <w:rPr>
          <w:rFonts w:cs="Arial"/>
          <w:szCs w:val="24"/>
        </w:rPr>
        <w:t>quantidade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perfurados</w:t>
      </w:r>
      <w:proofErr w:type="spellEnd"/>
      <w:r w:rsidRPr="00F725E2">
        <w:rPr>
          <w:rFonts w:cs="Arial"/>
          <w:szCs w:val="24"/>
        </w:rPr>
        <w:t xml:space="preserve">.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análise</w:t>
      </w:r>
      <w:proofErr w:type="spellEnd"/>
      <w:r w:rsidRPr="00F725E2">
        <w:rPr>
          <w:rFonts w:cs="Arial"/>
          <w:szCs w:val="24"/>
        </w:rPr>
        <w:t xml:space="preserve"> dos dados </w:t>
      </w:r>
      <w:proofErr w:type="spellStart"/>
      <w:r w:rsidRPr="00F725E2">
        <w:rPr>
          <w:rFonts w:cs="Arial"/>
          <w:szCs w:val="24"/>
        </w:rPr>
        <w:t>mostra</w:t>
      </w:r>
      <w:proofErr w:type="spellEnd"/>
      <w:r w:rsidRPr="00F725E2">
        <w:rPr>
          <w:rFonts w:cs="Arial"/>
          <w:szCs w:val="24"/>
        </w:rPr>
        <w:t xml:space="preserve"> que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têm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impacto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significativo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quantidade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construídos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enquanto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embora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correlacionados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não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apresentam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relação</w:t>
      </w:r>
      <w:proofErr w:type="spellEnd"/>
      <w:r w:rsidRPr="00F725E2">
        <w:rPr>
          <w:rFonts w:cs="Arial"/>
          <w:szCs w:val="24"/>
        </w:rPr>
        <w:t xml:space="preserve"> forte o </w:t>
      </w:r>
      <w:proofErr w:type="spellStart"/>
      <w:r w:rsidRPr="00F725E2">
        <w:rPr>
          <w:rFonts w:cs="Arial"/>
          <w:szCs w:val="24"/>
        </w:rPr>
        <w:t>suficiente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serem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considerados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estatisticamente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significativos</w:t>
      </w:r>
      <w:proofErr w:type="spellEnd"/>
      <w:r w:rsidRPr="00F725E2">
        <w:rPr>
          <w:rFonts w:cs="Arial"/>
          <w:szCs w:val="24"/>
        </w:rPr>
        <w:t xml:space="preserve">. O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também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destaca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de um </w:t>
      </w:r>
      <w:proofErr w:type="spellStart"/>
      <w:r w:rsidRPr="00F725E2">
        <w:rPr>
          <w:rFonts w:cs="Arial"/>
          <w:szCs w:val="24"/>
        </w:rPr>
        <w:t>planejamento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eficaz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considerando</w:t>
      </w:r>
      <w:proofErr w:type="spellEnd"/>
      <w:r w:rsidRPr="00F725E2">
        <w:rPr>
          <w:rFonts w:cs="Arial"/>
          <w:szCs w:val="24"/>
        </w:rPr>
        <w:t xml:space="preserve"> as </w:t>
      </w:r>
      <w:proofErr w:type="spellStart"/>
      <w:r w:rsidRPr="00F725E2">
        <w:rPr>
          <w:rFonts w:cs="Arial"/>
          <w:szCs w:val="24"/>
        </w:rPr>
        <w:t>medidas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já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adotadas</w:t>
      </w:r>
      <w:proofErr w:type="spellEnd"/>
      <w:r w:rsidRPr="00F725E2">
        <w:rPr>
          <w:rFonts w:cs="Arial"/>
          <w:szCs w:val="24"/>
        </w:rPr>
        <w:t xml:space="preserve"> pela SEMARH/RN,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implementação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manutenção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preventiva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máquinas</w:t>
      </w:r>
      <w:proofErr w:type="spellEnd"/>
      <w:r w:rsidRPr="00F725E2">
        <w:rPr>
          <w:rFonts w:cs="Arial"/>
          <w:szCs w:val="24"/>
        </w:rPr>
        <w:t xml:space="preserve">, que visa </w:t>
      </w:r>
      <w:proofErr w:type="spellStart"/>
      <w:r w:rsidRPr="00F725E2">
        <w:rPr>
          <w:rFonts w:cs="Arial"/>
          <w:szCs w:val="24"/>
        </w:rPr>
        <w:t>reduzir</w:t>
      </w:r>
      <w:proofErr w:type="spellEnd"/>
      <w:r w:rsidRPr="00F725E2">
        <w:rPr>
          <w:rFonts w:cs="Arial"/>
          <w:szCs w:val="24"/>
        </w:rPr>
        <w:t xml:space="preserve"> custos e </w:t>
      </w:r>
      <w:proofErr w:type="spellStart"/>
      <w:r w:rsidRPr="00F725E2">
        <w:rPr>
          <w:rFonts w:cs="Arial"/>
          <w:szCs w:val="24"/>
        </w:rPr>
        <w:t>aumentar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operacional</w:t>
      </w:r>
      <w:proofErr w:type="spellEnd"/>
      <w:r w:rsidRPr="00F725E2">
        <w:rPr>
          <w:rFonts w:cs="Arial"/>
          <w:szCs w:val="24"/>
        </w:rPr>
        <w:t xml:space="preserve">. </w:t>
      </w:r>
      <w:proofErr w:type="spellStart"/>
      <w:r w:rsidRPr="00F725E2">
        <w:rPr>
          <w:rFonts w:cs="Arial"/>
          <w:szCs w:val="24"/>
        </w:rPr>
        <w:t>Além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disso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enfatiza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relevância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governança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eficiente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sustentabilidade</w:t>
      </w:r>
      <w:proofErr w:type="spellEnd"/>
      <w:r w:rsidRPr="00F725E2">
        <w:rPr>
          <w:rFonts w:cs="Arial"/>
          <w:szCs w:val="24"/>
        </w:rPr>
        <w:t xml:space="preserve"> e a </w:t>
      </w:r>
      <w:proofErr w:type="spellStart"/>
      <w:r w:rsidRPr="00F725E2">
        <w:rPr>
          <w:rFonts w:cs="Arial"/>
          <w:szCs w:val="24"/>
        </w:rPr>
        <w:t>transparência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.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resultados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indicam</w:t>
      </w:r>
      <w:proofErr w:type="spellEnd"/>
      <w:r w:rsidRPr="00F725E2">
        <w:rPr>
          <w:rFonts w:cs="Arial"/>
          <w:szCs w:val="24"/>
        </w:rPr>
        <w:t xml:space="preserve"> que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estrutura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da SEMARH/RN </w:t>
      </w:r>
      <w:proofErr w:type="spellStart"/>
      <w:r w:rsidRPr="00F725E2">
        <w:rPr>
          <w:rFonts w:cs="Arial"/>
          <w:szCs w:val="24"/>
        </w:rPr>
        <w:t>está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adequada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execução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projetos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sugerindo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caminhos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aprimorar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e o </w:t>
      </w:r>
      <w:proofErr w:type="spellStart"/>
      <w:r w:rsidRPr="00F725E2">
        <w:rPr>
          <w:rFonts w:cs="Arial"/>
          <w:szCs w:val="24"/>
        </w:rPr>
        <w:t>impacto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ações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desenvolvidas</w:t>
      </w:r>
      <w:proofErr w:type="spellEnd"/>
      <w:r w:rsidRPr="00F725E2">
        <w:rPr>
          <w:rFonts w:cs="Arial"/>
          <w:szCs w:val="24"/>
        </w:rPr>
        <w:t>.</w:t>
      </w:r>
    </w:p>
    <w:p w14:paraId="5AEA7460" w14:textId="77777777" w:rsidR="00C72A84" w:rsidRPr="00F725E2" w:rsidRDefault="00C72A84" w:rsidP="00C72A84">
      <w:pPr>
        <w:jc w:val="both"/>
        <w:rPr>
          <w:rFonts w:cs="Arial"/>
          <w:b/>
          <w:bCs/>
          <w:szCs w:val="24"/>
        </w:rPr>
      </w:pPr>
    </w:p>
    <w:p w14:paraId="3508740D" w14:textId="406FE625" w:rsidR="00572D56" w:rsidRPr="00F725E2" w:rsidRDefault="006949C4" w:rsidP="00C72A84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b/>
          <w:bCs/>
          <w:szCs w:val="24"/>
        </w:rPr>
        <w:t>Palavras-chave</w:t>
      </w:r>
      <w:proofErr w:type="spellEnd"/>
      <w:r w:rsidRPr="00F725E2">
        <w:rPr>
          <w:rFonts w:cs="Arial"/>
          <w:b/>
          <w:bCs/>
          <w:szCs w:val="24"/>
        </w:rPr>
        <w:t>:</w:t>
      </w:r>
      <w:r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Estrutura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Orçamentária</w:t>
      </w:r>
      <w:proofErr w:type="spellEnd"/>
      <w:r w:rsidR="00662BD7" w:rsidRPr="00F725E2">
        <w:rPr>
          <w:rFonts w:cs="Arial"/>
          <w:szCs w:val="24"/>
        </w:rPr>
        <w:t xml:space="preserve">. </w:t>
      </w:r>
      <w:proofErr w:type="spellStart"/>
      <w:r w:rsidR="00662BD7" w:rsidRPr="00F725E2">
        <w:rPr>
          <w:rFonts w:cs="Arial"/>
          <w:szCs w:val="24"/>
        </w:rPr>
        <w:t>Gestão</w:t>
      </w:r>
      <w:proofErr w:type="spellEnd"/>
      <w:r w:rsidR="00662BD7" w:rsidRPr="00F725E2">
        <w:rPr>
          <w:rFonts w:cs="Arial"/>
          <w:szCs w:val="24"/>
        </w:rPr>
        <w:t xml:space="preserve"> de </w:t>
      </w:r>
      <w:proofErr w:type="spellStart"/>
      <w:r w:rsidR="00662BD7" w:rsidRPr="00F725E2">
        <w:rPr>
          <w:rFonts w:cs="Arial"/>
          <w:szCs w:val="24"/>
        </w:rPr>
        <w:t>Recursos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Hídricos</w:t>
      </w:r>
      <w:proofErr w:type="spellEnd"/>
      <w:r w:rsidR="00662BD7" w:rsidRPr="00F725E2">
        <w:rPr>
          <w:rFonts w:cs="Arial"/>
          <w:szCs w:val="24"/>
        </w:rPr>
        <w:t xml:space="preserve">. </w:t>
      </w:r>
      <w:proofErr w:type="spellStart"/>
      <w:r w:rsidR="00662BD7" w:rsidRPr="00F725E2">
        <w:rPr>
          <w:rFonts w:cs="Arial"/>
          <w:szCs w:val="24"/>
        </w:rPr>
        <w:t>Regressão</w:t>
      </w:r>
      <w:proofErr w:type="spellEnd"/>
      <w:r w:rsidR="00662BD7" w:rsidRPr="00F725E2">
        <w:rPr>
          <w:rFonts w:cs="Arial"/>
          <w:szCs w:val="24"/>
        </w:rPr>
        <w:t xml:space="preserve"> Linear </w:t>
      </w:r>
      <w:proofErr w:type="spellStart"/>
      <w:r w:rsidR="00662BD7" w:rsidRPr="00F725E2">
        <w:rPr>
          <w:rFonts w:cs="Arial"/>
          <w:szCs w:val="24"/>
        </w:rPr>
        <w:t>Generalizada</w:t>
      </w:r>
      <w:proofErr w:type="spellEnd"/>
      <w:r w:rsidR="00662BD7" w:rsidRPr="00F725E2">
        <w:rPr>
          <w:rFonts w:cs="Arial"/>
          <w:szCs w:val="24"/>
        </w:rPr>
        <w:t xml:space="preserve"> (GLM)</w:t>
      </w:r>
      <w:r w:rsidR="00662BD7" w:rsidRPr="00F725E2">
        <w:rPr>
          <w:rFonts w:cs="Arial"/>
          <w:szCs w:val="24"/>
        </w:rPr>
        <w:t>.</w:t>
      </w:r>
      <w:r w:rsidRPr="00F725E2">
        <w:rPr>
          <w:rFonts w:cs="Arial"/>
          <w:szCs w:val="24"/>
        </w:rPr>
        <w:br w:type="page"/>
      </w:r>
    </w:p>
    <w:p w14:paraId="2058E7CC" w14:textId="2B290D1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lastRenderedPageBreak/>
        <w:t xml:space="preserve">1. </w:t>
      </w:r>
      <w:proofErr w:type="spellStart"/>
      <w:r w:rsidRPr="00F725E2">
        <w:rPr>
          <w:rFonts w:ascii="Arial" w:hAnsi="Arial" w:cs="Arial"/>
          <w:color w:val="auto"/>
          <w:sz w:val="24"/>
          <w:szCs w:val="24"/>
        </w:rPr>
        <w:t>Introdução</w:t>
      </w:r>
      <w:proofErr w:type="spellEnd"/>
    </w:p>
    <w:p w14:paraId="1A9AFD60" w14:textId="77777777" w:rsidR="00662BD7" w:rsidRPr="00F725E2" w:rsidRDefault="00C72A84" w:rsidP="00F725E2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Apresente</w:t>
      </w:r>
      <w:proofErr w:type="spellEnd"/>
      <w:r w:rsidRPr="00F725E2">
        <w:rPr>
          <w:rFonts w:cs="Arial"/>
          <w:szCs w:val="24"/>
        </w:rPr>
        <w:t xml:space="preserve"> </w:t>
      </w:r>
      <w:r w:rsidR="00662BD7" w:rsidRPr="00F725E2">
        <w:rPr>
          <w:rFonts w:cs="Arial"/>
          <w:szCs w:val="24"/>
        </w:rPr>
        <w:t xml:space="preserve">A </w:t>
      </w:r>
      <w:proofErr w:type="spellStart"/>
      <w:r w:rsidR="00662BD7" w:rsidRPr="00F725E2">
        <w:rPr>
          <w:rFonts w:cs="Arial"/>
          <w:szCs w:val="24"/>
        </w:rPr>
        <w:t>contabilidade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pública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desempenha</w:t>
      </w:r>
      <w:proofErr w:type="spellEnd"/>
      <w:r w:rsidR="00662BD7" w:rsidRPr="00F725E2">
        <w:rPr>
          <w:rFonts w:cs="Arial"/>
          <w:szCs w:val="24"/>
        </w:rPr>
        <w:t xml:space="preserve"> um </w:t>
      </w:r>
      <w:proofErr w:type="spellStart"/>
      <w:r w:rsidR="00662BD7" w:rsidRPr="00F725E2">
        <w:rPr>
          <w:rFonts w:cs="Arial"/>
          <w:szCs w:val="24"/>
        </w:rPr>
        <w:t>papel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essencial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na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gestão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eficiente</w:t>
      </w:r>
      <w:proofErr w:type="spellEnd"/>
      <w:r w:rsidR="00662BD7" w:rsidRPr="00F725E2">
        <w:rPr>
          <w:rFonts w:cs="Arial"/>
          <w:szCs w:val="24"/>
        </w:rPr>
        <w:t xml:space="preserve"> dos </w:t>
      </w:r>
      <w:proofErr w:type="spellStart"/>
      <w:r w:rsidR="00662BD7" w:rsidRPr="00F725E2">
        <w:rPr>
          <w:rFonts w:cs="Arial"/>
          <w:szCs w:val="24"/>
        </w:rPr>
        <w:t>recursos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hídricos</w:t>
      </w:r>
      <w:proofErr w:type="spellEnd"/>
      <w:r w:rsidR="00662BD7" w:rsidRPr="00F725E2">
        <w:rPr>
          <w:rFonts w:cs="Arial"/>
          <w:szCs w:val="24"/>
        </w:rPr>
        <w:t xml:space="preserve">, </w:t>
      </w:r>
      <w:proofErr w:type="spellStart"/>
      <w:r w:rsidR="00662BD7" w:rsidRPr="00F725E2">
        <w:rPr>
          <w:rFonts w:cs="Arial"/>
          <w:szCs w:val="24"/>
        </w:rPr>
        <w:t>especialmente</w:t>
      </w:r>
      <w:proofErr w:type="spellEnd"/>
      <w:r w:rsidR="00662BD7" w:rsidRPr="00F725E2">
        <w:rPr>
          <w:rFonts w:cs="Arial"/>
          <w:szCs w:val="24"/>
        </w:rPr>
        <w:t xml:space="preserve"> no </w:t>
      </w:r>
      <w:proofErr w:type="spellStart"/>
      <w:r w:rsidR="00662BD7" w:rsidRPr="00F725E2">
        <w:rPr>
          <w:rFonts w:cs="Arial"/>
          <w:szCs w:val="24"/>
        </w:rPr>
        <w:t>planejamento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execução</w:t>
      </w:r>
      <w:proofErr w:type="spellEnd"/>
      <w:r w:rsidR="00662BD7" w:rsidRPr="00F725E2">
        <w:rPr>
          <w:rFonts w:cs="Arial"/>
          <w:szCs w:val="24"/>
        </w:rPr>
        <w:t xml:space="preserve"> das </w:t>
      </w:r>
      <w:proofErr w:type="spellStart"/>
      <w:r w:rsidR="00662BD7" w:rsidRPr="00F725E2">
        <w:rPr>
          <w:rFonts w:cs="Arial"/>
          <w:szCs w:val="24"/>
        </w:rPr>
        <w:t>ações</w:t>
      </w:r>
      <w:proofErr w:type="spellEnd"/>
      <w:r w:rsidR="00662BD7" w:rsidRPr="00F725E2">
        <w:rPr>
          <w:rFonts w:cs="Arial"/>
          <w:szCs w:val="24"/>
        </w:rPr>
        <w:t xml:space="preserve"> da </w:t>
      </w:r>
      <w:proofErr w:type="spellStart"/>
      <w:r w:rsidR="00662BD7" w:rsidRPr="00F725E2">
        <w:rPr>
          <w:rFonts w:cs="Arial"/>
          <w:szCs w:val="24"/>
        </w:rPr>
        <w:t>Secretaria</w:t>
      </w:r>
      <w:proofErr w:type="spellEnd"/>
      <w:r w:rsidR="00662BD7" w:rsidRPr="00F725E2">
        <w:rPr>
          <w:rFonts w:cs="Arial"/>
          <w:szCs w:val="24"/>
        </w:rPr>
        <w:t xml:space="preserve"> de Meio </w:t>
      </w:r>
      <w:proofErr w:type="spellStart"/>
      <w:r w:rsidR="00662BD7" w:rsidRPr="00F725E2">
        <w:rPr>
          <w:rFonts w:cs="Arial"/>
          <w:szCs w:val="24"/>
        </w:rPr>
        <w:t>Ambiente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Recursos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Hídricos</w:t>
      </w:r>
      <w:proofErr w:type="spellEnd"/>
      <w:r w:rsidR="00662BD7" w:rsidRPr="00F725E2">
        <w:rPr>
          <w:rFonts w:cs="Arial"/>
          <w:szCs w:val="24"/>
        </w:rPr>
        <w:t xml:space="preserve"> do Estado do Rio Grande do Norte (SEMARH/RN). Como </w:t>
      </w:r>
      <w:proofErr w:type="spellStart"/>
      <w:r w:rsidR="00662BD7" w:rsidRPr="00F725E2">
        <w:rPr>
          <w:rFonts w:cs="Arial"/>
          <w:szCs w:val="24"/>
        </w:rPr>
        <w:t>órgão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responsável</w:t>
      </w:r>
      <w:proofErr w:type="spellEnd"/>
      <w:r w:rsidR="00662BD7" w:rsidRPr="00F725E2">
        <w:rPr>
          <w:rFonts w:cs="Arial"/>
          <w:szCs w:val="24"/>
        </w:rPr>
        <w:t xml:space="preserve"> pela </w:t>
      </w:r>
      <w:proofErr w:type="spellStart"/>
      <w:r w:rsidR="00662BD7" w:rsidRPr="00F725E2">
        <w:rPr>
          <w:rFonts w:cs="Arial"/>
          <w:szCs w:val="24"/>
        </w:rPr>
        <w:t>gestão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ambiental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hídrica</w:t>
      </w:r>
      <w:proofErr w:type="spellEnd"/>
      <w:r w:rsidR="00662BD7" w:rsidRPr="00F725E2">
        <w:rPr>
          <w:rFonts w:cs="Arial"/>
          <w:szCs w:val="24"/>
        </w:rPr>
        <w:t xml:space="preserve">, a SEMARH </w:t>
      </w:r>
      <w:proofErr w:type="spellStart"/>
      <w:r w:rsidR="00662BD7" w:rsidRPr="00F725E2">
        <w:rPr>
          <w:rFonts w:cs="Arial"/>
          <w:szCs w:val="24"/>
        </w:rPr>
        <w:t>busca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garantir</w:t>
      </w:r>
      <w:proofErr w:type="spellEnd"/>
      <w:r w:rsidR="00662BD7" w:rsidRPr="00F725E2">
        <w:rPr>
          <w:rFonts w:cs="Arial"/>
          <w:szCs w:val="24"/>
        </w:rPr>
        <w:t xml:space="preserve"> a </w:t>
      </w:r>
      <w:proofErr w:type="spellStart"/>
      <w:r w:rsidR="00662BD7" w:rsidRPr="00F725E2">
        <w:rPr>
          <w:rFonts w:cs="Arial"/>
          <w:szCs w:val="24"/>
        </w:rPr>
        <w:t>conservação</w:t>
      </w:r>
      <w:proofErr w:type="spellEnd"/>
      <w:r w:rsidR="00662BD7" w:rsidRPr="00F725E2">
        <w:rPr>
          <w:rFonts w:cs="Arial"/>
          <w:szCs w:val="24"/>
        </w:rPr>
        <w:t xml:space="preserve">, o </w:t>
      </w:r>
      <w:proofErr w:type="spellStart"/>
      <w:r w:rsidR="00662BD7" w:rsidRPr="00F725E2">
        <w:rPr>
          <w:rFonts w:cs="Arial"/>
          <w:szCs w:val="24"/>
        </w:rPr>
        <w:t>uso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sustentável</w:t>
      </w:r>
      <w:proofErr w:type="spellEnd"/>
      <w:r w:rsidR="00662BD7" w:rsidRPr="00F725E2">
        <w:rPr>
          <w:rFonts w:cs="Arial"/>
          <w:szCs w:val="24"/>
        </w:rPr>
        <w:t xml:space="preserve"> e a </w:t>
      </w:r>
      <w:proofErr w:type="spellStart"/>
      <w:r w:rsidR="00662BD7" w:rsidRPr="00F725E2">
        <w:rPr>
          <w:rFonts w:cs="Arial"/>
          <w:szCs w:val="24"/>
        </w:rPr>
        <w:t>proteção</w:t>
      </w:r>
      <w:proofErr w:type="spellEnd"/>
      <w:r w:rsidR="00662BD7" w:rsidRPr="00F725E2">
        <w:rPr>
          <w:rFonts w:cs="Arial"/>
          <w:szCs w:val="24"/>
        </w:rPr>
        <w:t xml:space="preserve"> dos </w:t>
      </w:r>
      <w:proofErr w:type="spellStart"/>
      <w:r w:rsidR="00662BD7" w:rsidRPr="00F725E2">
        <w:rPr>
          <w:rFonts w:cs="Arial"/>
          <w:szCs w:val="24"/>
        </w:rPr>
        <w:t>recursos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hídricos</w:t>
      </w:r>
      <w:proofErr w:type="spellEnd"/>
      <w:r w:rsidR="00662BD7" w:rsidRPr="00F725E2">
        <w:rPr>
          <w:rFonts w:cs="Arial"/>
          <w:szCs w:val="24"/>
        </w:rPr>
        <w:t xml:space="preserve">, </w:t>
      </w:r>
      <w:proofErr w:type="spellStart"/>
      <w:r w:rsidR="00662BD7" w:rsidRPr="00F725E2">
        <w:rPr>
          <w:rFonts w:cs="Arial"/>
          <w:szCs w:val="24"/>
        </w:rPr>
        <w:t>especialmente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em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regiões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afetadas</w:t>
      </w:r>
      <w:proofErr w:type="spellEnd"/>
      <w:r w:rsidR="00662BD7" w:rsidRPr="00F725E2">
        <w:rPr>
          <w:rFonts w:cs="Arial"/>
          <w:szCs w:val="24"/>
        </w:rPr>
        <w:t xml:space="preserve"> pela </w:t>
      </w:r>
      <w:proofErr w:type="spellStart"/>
      <w:r w:rsidR="00662BD7" w:rsidRPr="00F725E2">
        <w:rPr>
          <w:rFonts w:cs="Arial"/>
          <w:szCs w:val="24"/>
        </w:rPr>
        <w:t>escassez</w:t>
      </w:r>
      <w:proofErr w:type="spellEnd"/>
      <w:r w:rsidR="00662BD7" w:rsidRPr="00F725E2">
        <w:rPr>
          <w:rFonts w:cs="Arial"/>
          <w:szCs w:val="24"/>
        </w:rPr>
        <w:t xml:space="preserve"> de </w:t>
      </w:r>
      <w:proofErr w:type="spellStart"/>
      <w:r w:rsidR="00662BD7" w:rsidRPr="00F725E2">
        <w:rPr>
          <w:rFonts w:cs="Arial"/>
          <w:szCs w:val="24"/>
        </w:rPr>
        <w:t>água</w:t>
      </w:r>
      <w:proofErr w:type="spellEnd"/>
      <w:r w:rsidR="00662BD7" w:rsidRPr="00F725E2">
        <w:rPr>
          <w:rFonts w:cs="Arial"/>
          <w:szCs w:val="24"/>
        </w:rPr>
        <w:t xml:space="preserve">. Nesse </w:t>
      </w:r>
      <w:proofErr w:type="spellStart"/>
      <w:r w:rsidR="00662BD7" w:rsidRPr="00F725E2">
        <w:rPr>
          <w:rFonts w:cs="Arial"/>
          <w:szCs w:val="24"/>
        </w:rPr>
        <w:t>contexto</w:t>
      </w:r>
      <w:proofErr w:type="spellEnd"/>
      <w:r w:rsidR="00662BD7" w:rsidRPr="00F725E2">
        <w:rPr>
          <w:rFonts w:cs="Arial"/>
          <w:szCs w:val="24"/>
        </w:rPr>
        <w:t xml:space="preserve">, a </w:t>
      </w:r>
      <w:proofErr w:type="spellStart"/>
      <w:r w:rsidR="00662BD7" w:rsidRPr="00F725E2">
        <w:rPr>
          <w:rFonts w:cs="Arial"/>
          <w:szCs w:val="24"/>
        </w:rPr>
        <w:t>construção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instalação</w:t>
      </w:r>
      <w:proofErr w:type="spellEnd"/>
      <w:r w:rsidR="00662BD7" w:rsidRPr="00F725E2">
        <w:rPr>
          <w:rFonts w:cs="Arial"/>
          <w:szCs w:val="24"/>
        </w:rPr>
        <w:t xml:space="preserve"> de </w:t>
      </w:r>
      <w:proofErr w:type="spellStart"/>
      <w:r w:rsidR="00662BD7" w:rsidRPr="00F725E2">
        <w:rPr>
          <w:rFonts w:cs="Arial"/>
          <w:szCs w:val="24"/>
        </w:rPr>
        <w:t>poços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representam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uma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estratégia</w:t>
      </w:r>
      <w:proofErr w:type="spellEnd"/>
      <w:r w:rsidR="00662BD7" w:rsidRPr="00F725E2">
        <w:rPr>
          <w:rFonts w:cs="Arial"/>
          <w:szCs w:val="24"/>
        </w:rPr>
        <w:t xml:space="preserve"> fundamental para o </w:t>
      </w:r>
      <w:proofErr w:type="spellStart"/>
      <w:r w:rsidR="00662BD7" w:rsidRPr="00F725E2">
        <w:rPr>
          <w:rFonts w:cs="Arial"/>
          <w:szCs w:val="24"/>
        </w:rPr>
        <w:t>abastecimento</w:t>
      </w:r>
      <w:proofErr w:type="spellEnd"/>
      <w:r w:rsidR="00662BD7" w:rsidRPr="00F725E2">
        <w:rPr>
          <w:rFonts w:cs="Arial"/>
          <w:szCs w:val="24"/>
        </w:rPr>
        <w:t xml:space="preserve"> de </w:t>
      </w:r>
      <w:proofErr w:type="spellStart"/>
      <w:r w:rsidR="00662BD7" w:rsidRPr="00F725E2">
        <w:rPr>
          <w:rFonts w:cs="Arial"/>
          <w:szCs w:val="24"/>
        </w:rPr>
        <w:t>áreas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rurais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isoladas</w:t>
      </w:r>
      <w:proofErr w:type="spellEnd"/>
      <w:r w:rsidR="00662BD7" w:rsidRPr="00F725E2">
        <w:rPr>
          <w:rFonts w:cs="Arial"/>
          <w:szCs w:val="24"/>
        </w:rPr>
        <w:t xml:space="preserve">. No </w:t>
      </w:r>
      <w:proofErr w:type="spellStart"/>
      <w:r w:rsidR="00662BD7" w:rsidRPr="00F725E2">
        <w:rPr>
          <w:rFonts w:cs="Arial"/>
          <w:szCs w:val="24"/>
        </w:rPr>
        <w:t>entanto</w:t>
      </w:r>
      <w:proofErr w:type="spellEnd"/>
      <w:r w:rsidR="00662BD7" w:rsidRPr="00F725E2">
        <w:rPr>
          <w:rFonts w:cs="Arial"/>
          <w:szCs w:val="24"/>
        </w:rPr>
        <w:t xml:space="preserve">, tais </w:t>
      </w:r>
      <w:proofErr w:type="spellStart"/>
      <w:r w:rsidR="00662BD7" w:rsidRPr="00F725E2">
        <w:rPr>
          <w:rFonts w:cs="Arial"/>
          <w:szCs w:val="24"/>
        </w:rPr>
        <w:t>ações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demandam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uma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estrutura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orçamentária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eficiente</w:t>
      </w:r>
      <w:proofErr w:type="spellEnd"/>
      <w:r w:rsidR="00662BD7" w:rsidRPr="00F725E2">
        <w:rPr>
          <w:rFonts w:cs="Arial"/>
          <w:szCs w:val="24"/>
        </w:rPr>
        <w:t xml:space="preserve">, </w:t>
      </w:r>
      <w:proofErr w:type="spellStart"/>
      <w:r w:rsidR="00662BD7" w:rsidRPr="00F725E2">
        <w:rPr>
          <w:rFonts w:cs="Arial"/>
          <w:szCs w:val="24"/>
        </w:rPr>
        <w:t>capaz</w:t>
      </w:r>
      <w:proofErr w:type="spellEnd"/>
      <w:r w:rsidR="00662BD7" w:rsidRPr="00F725E2">
        <w:rPr>
          <w:rFonts w:cs="Arial"/>
          <w:szCs w:val="24"/>
        </w:rPr>
        <w:t xml:space="preserve"> de lidar com </w:t>
      </w:r>
      <w:proofErr w:type="spellStart"/>
      <w:r w:rsidR="00662BD7" w:rsidRPr="00F725E2">
        <w:rPr>
          <w:rFonts w:cs="Arial"/>
          <w:szCs w:val="24"/>
        </w:rPr>
        <w:t>desafios</w:t>
      </w:r>
      <w:proofErr w:type="spellEnd"/>
      <w:r w:rsidR="00662BD7" w:rsidRPr="00F725E2">
        <w:rPr>
          <w:rFonts w:cs="Arial"/>
          <w:szCs w:val="24"/>
        </w:rPr>
        <w:t xml:space="preserve"> </w:t>
      </w:r>
      <w:proofErr w:type="spellStart"/>
      <w:r w:rsidR="00662BD7" w:rsidRPr="00F725E2">
        <w:rPr>
          <w:rFonts w:cs="Arial"/>
          <w:szCs w:val="24"/>
        </w:rPr>
        <w:t>logísticos</w:t>
      </w:r>
      <w:proofErr w:type="spellEnd"/>
      <w:r w:rsidR="00662BD7" w:rsidRPr="00F725E2">
        <w:rPr>
          <w:rFonts w:cs="Arial"/>
          <w:szCs w:val="24"/>
        </w:rPr>
        <w:t xml:space="preserve"> e </w:t>
      </w:r>
      <w:proofErr w:type="spellStart"/>
      <w:r w:rsidR="00662BD7" w:rsidRPr="00F725E2">
        <w:rPr>
          <w:rFonts w:cs="Arial"/>
          <w:szCs w:val="24"/>
        </w:rPr>
        <w:t>financeiros</w:t>
      </w:r>
      <w:proofErr w:type="spellEnd"/>
      <w:r w:rsidR="00662BD7" w:rsidRPr="00F725E2">
        <w:rPr>
          <w:rFonts w:cs="Arial"/>
          <w:szCs w:val="24"/>
        </w:rPr>
        <w:t>.</w:t>
      </w:r>
    </w:p>
    <w:p w14:paraId="46F71920" w14:textId="77777777" w:rsidR="00662BD7" w:rsidRPr="00F725E2" w:rsidRDefault="00662BD7" w:rsidP="00F725E2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Considerando</w:t>
      </w:r>
      <w:proofErr w:type="spellEnd"/>
      <w:r w:rsidRPr="00F725E2">
        <w:rPr>
          <w:rFonts w:cs="Arial"/>
          <w:szCs w:val="24"/>
        </w:rPr>
        <w:t xml:space="preserve"> a Lei nº 9.433, de 8 de Janeiro de 1997, </w:t>
      </w:r>
      <w:proofErr w:type="spellStart"/>
      <w:r w:rsidRPr="00F725E2">
        <w:rPr>
          <w:rFonts w:cs="Arial"/>
          <w:szCs w:val="24"/>
        </w:rPr>
        <w:t>onde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têm</w:t>
      </w:r>
      <w:proofErr w:type="spellEnd"/>
      <w:r w:rsidRPr="00F725E2">
        <w:rPr>
          <w:rFonts w:cs="Arial"/>
          <w:szCs w:val="24"/>
        </w:rPr>
        <w:t xml:space="preserve">-se que 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 é um </w:t>
      </w:r>
      <w:proofErr w:type="spellStart"/>
      <w:r w:rsidRPr="00F725E2">
        <w:rPr>
          <w:rFonts w:cs="Arial"/>
          <w:szCs w:val="24"/>
        </w:rPr>
        <w:t>bem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domínio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</w:t>
      </w:r>
      <w:proofErr w:type="spellEnd"/>
      <w:r w:rsidRPr="00F725E2">
        <w:rPr>
          <w:rFonts w:cs="Arial"/>
          <w:szCs w:val="24"/>
        </w:rPr>
        <w:t xml:space="preserve">, e que 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deve</w:t>
      </w:r>
      <w:proofErr w:type="spellEnd"/>
      <w:r w:rsidRPr="00F725E2">
        <w:rPr>
          <w:rFonts w:cs="Arial"/>
          <w:szCs w:val="24"/>
        </w:rPr>
        <w:t xml:space="preserve"> ser </w:t>
      </w:r>
      <w:proofErr w:type="spellStart"/>
      <w:r w:rsidRPr="00F725E2">
        <w:rPr>
          <w:rFonts w:cs="Arial"/>
          <w:szCs w:val="24"/>
        </w:rPr>
        <w:t>descentralizada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contar</w:t>
      </w:r>
      <w:proofErr w:type="spellEnd"/>
      <w:r w:rsidRPr="00F725E2">
        <w:rPr>
          <w:rFonts w:cs="Arial"/>
          <w:szCs w:val="24"/>
        </w:rPr>
        <w:t xml:space="preserve"> com a </w:t>
      </w:r>
      <w:proofErr w:type="spellStart"/>
      <w:r w:rsidRPr="00F725E2">
        <w:rPr>
          <w:rFonts w:cs="Arial"/>
          <w:szCs w:val="24"/>
        </w:rPr>
        <w:t>participação</w:t>
      </w:r>
      <w:proofErr w:type="spellEnd"/>
      <w:r w:rsidRPr="00F725E2">
        <w:rPr>
          <w:rFonts w:cs="Arial"/>
          <w:szCs w:val="24"/>
        </w:rPr>
        <w:t xml:space="preserve"> do Poder Público, dos </w:t>
      </w:r>
      <w:proofErr w:type="spellStart"/>
      <w:r w:rsidRPr="00F725E2">
        <w:rPr>
          <w:rFonts w:cs="Arial"/>
          <w:szCs w:val="24"/>
        </w:rPr>
        <w:t>usuários</w:t>
      </w:r>
      <w:proofErr w:type="spellEnd"/>
      <w:r w:rsidRPr="00F725E2">
        <w:rPr>
          <w:rFonts w:cs="Arial"/>
          <w:szCs w:val="24"/>
        </w:rPr>
        <w:t xml:space="preserve"> e das </w:t>
      </w:r>
      <w:proofErr w:type="spellStart"/>
      <w:r w:rsidRPr="00F725E2">
        <w:rPr>
          <w:rFonts w:cs="Arial"/>
          <w:szCs w:val="24"/>
        </w:rPr>
        <w:t>comunidades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temos</w:t>
      </w:r>
      <w:proofErr w:type="spellEnd"/>
      <w:r w:rsidRPr="00F725E2">
        <w:rPr>
          <w:rFonts w:cs="Arial"/>
          <w:szCs w:val="24"/>
        </w:rPr>
        <w:t xml:space="preserve"> que a SEMARH </w:t>
      </w:r>
      <w:proofErr w:type="spellStart"/>
      <w:r w:rsidRPr="00F725E2">
        <w:rPr>
          <w:rFonts w:cs="Arial"/>
          <w:szCs w:val="24"/>
        </w:rPr>
        <w:t>enquanto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Secretaria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responsável</w:t>
      </w:r>
      <w:proofErr w:type="spellEnd"/>
      <w:r w:rsidRPr="00F725E2">
        <w:rPr>
          <w:rFonts w:cs="Arial"/>
          <w:szCs w:val="24"/>
        </w:rPr>
        <w:t xml:space="preserve"> pela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no Estado do Rio Grande do Norte, </w:t>
      </w:r>
      <w:proofErr w:type="spellStart"/>
      <w:r w:rsidRPr="00F725E2">
        <w:rPr>
          <w:rFonts w:cs="Arial"/>
          <w:szCs w:val="24"/>
        </w:rPr>
        <w:t>após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pedidos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oficiais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realizados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Prefeituras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Associações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comunitárias</w:t>
      </w:r>
      <w:proofErr w:type="spellEnd"/>
      <w:r w:rsidRPr="00F725E2">
        <w:rPr>
          <w:rFonts w:cs="Arial"/>
          <w:szCs w:val="24"/>
        </w:rPr>
        <w:t xml:space="preserve"> entre </w:t>
      </w:r>
      <w:proofErr w:type="spellStart"/>
      <w:r w:rsidRPr="00F725E2">
        <w:rPr>
          <w:rFonts w:cs="Arial"/>
          <w:szCs w:val="24"/>
        </w:rPr>
        <w:t>outras</w:t>
      </w:r>
      <w:proofErr w:type="spellEnd"/>
      <w:r w:rsidRPr="00F725E2">
        <w:rPr>
          <w:rFonts w:cs="Arial"/>
          <w:szCs w:val="24"/>
        </w:rPr>
        <w:t xml:space="preserve">, é </w:t>
      </w:r>
      <w:proofErr w:type="spellStart"/>
      <w:r w:rsidRPr="00F725E2">
        <w:rPr>
          <w:rFonts w:cs="Arial"/>
          <w:szCs w:val="24"/>
        </w:rPr>
        <w:t>realizada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visita</w:t>
      </w:r>
      <w:proofErr w:type="spellEnd"/>
      <w:r w:rsidRPr="00F725E2">
        <w:rPr>
          <w:rFonts w:cs="Arial"/>
          <w:szCs w:val="24"/>
        </w:rPr>
        <w:t xml:space="preserve"> in loco </w:t>
      </w:r>
      <w:proofErr w:type="spellStart"/>
      <w:r w:rsidRPr="00F725E2">
        <w:rPr>
          <w:rFonts w:cs="Arial"/>
          <w:szCs w:val="24"/>
        </w:rPr>
        <w:t>por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equipe de </w:t>
      </w:r>
      <w:proofErr w:type="spellStart"/>
      <w:r w:rsidRPr="00F725E2">
        <w:rPr>
          <w:rFonts w:cs="Arial"/>
          <w:szCs w:val="24"/>
        </w:rPr>
        <w:t>mobilização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afim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aplicar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diagnóstico</w:t>
      </w:r>
      <w:proofErr w:type="spellEnd"/>
      <w:r w:rsidRPr="00F725E2">
        <w:rPr>
          <w:rFonts w:cs="Arial"/>
          <w:szCs w:val="24"/>
        </w:rPr>
        <w:t xml:space="preserve"> social, para </w:t>
      </w:r>
      <w:proofErr w:type="spellStart"/>
      <w:r w:rsidRPr="00F725E2">
        <w:rPr>
          <w:rFonts w:cs="Arial"/>
          <w:szCs w:val="24"/>
        </w:rPr>
        <w:t>verificar</w:t>
      </w:r>
      <w:proofErr w:type="spellEnd"/>
      <w:r w:rsidRPr="00F725E2">
        <w:rPr>
          <w:rFonts w:cs="Arial"/>
          <w:szCs w:val="24"/>
        </w:rPr>
        <w:t xml:space="preserve"> se a </w:t>
      </w:r>
      <w:proofErr w:type="spellStart"/>
      <w:r w:rsidRPr="00F725E2">
        <w:rPr>
          <w:rFonts w:cs="Arial"/>
          <w:szCs w:val="24"/>
        </w:rPr>
        <w:t>comunidade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estar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apta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receber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poço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tomando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critério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vulnerabilidade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hídrica</w:t>
      </w:r>
      <w:proofErr w:type="spellEnd"/>
      <w:r w:rsidRPr="00F725E2">
        <w:rPr>
          <w:rFonts w:cs="Arial"/>
          <w:szCs w:val="24"/>
        </w:rPr>
        <w:t xml:space="preserve">. </w:t>
      </w:r>
    </w:p>
    <w:p w14:paraId="108BC4E2" w14:textId="77777777" w:rsidR="00662BD7" w:rsidRPr="00F725E2" w:rsidRDefault="00662BD7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Cabe </w:t>
      </w:r>
      <w:proofErr w:type="spellStart"/>
      <w:r w:rsidRPr="00F725E2">
        <w:rPr>
          <w:rFonts w:cs="Arial"/>
          <w:szCs w:val="24"/>
        </w:rPr>
        <w:t>destacar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geralmente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instalados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propriedades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privadas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onde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proprietários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terras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são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perfurados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assinam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termo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autorização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direito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passagem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Programa</w:t>
      </w:r>
      <w:proofErr w:type="spellEnd"/>
      <w:r w:rsidRPr="00F725E2">
        <w:rPr>
          <w:rFonts w:cs="Arial"/>
          <w:szCs w:val="24"/>
        </w:rPr>
        <w:t xml:space="preserve"> RN +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autorizando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, e, que a </w:t>
      </w:r>
      <w:proofErr w:type="spellStart"/>
      <w:r w:rsidRPr="00F725E2">
        <w:rPr>
          <w:rFonts w:cs="Arial"/>
          <w:szCs w:val="24"/>
        </w:rPr>
        <w:t>comunidade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atendida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também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possa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usufruir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>.</w:t>
      </w:r>
    </w:p>
    <w:p w14:paraId="5D0CC6ED" w14:textId="77777777" w:rsidR="00662BD7" w:rsidRPr="00F725E2" w:rsidRDefault="00662BD7" w:rsidP="00F725E2">
      <w:pPr>
        <w:jc w:val="both"/>
        <w:rPr>
          <w:rFonts w:cs="Arial"/>
          <w:szCs w:val="24"/>
        </w:rPr>
      </w:pP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execução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eficaz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apoiada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instrumentos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planejamento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controle</w:t>
      </w:r>
      <w:proofErr w:type="spellEnd"/>
      <w:r w:rsidRPr="00F725E2">
        <w:rPr>
          <w:rFonts w:cs="Arial"/>
          <w:szCs w:val="24"/>
        </w:rPr>
        <w:t xml:space="preserve">, é </w:t>
      </w:r>
      <w:proofErr w:type="spellStart"/>
      <w:r w:rsidRPr="00F725E2">
        <w:rPr>
          <w:rFonts w:cs="Arial"/>
          <w:szCs w:val="24"/>
        </w:rPr>
        <w:t>essencial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adequado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impactando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diretamente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viabilidade</w:t>
      </w:r>
      <w:proofErr w:type="spellEnd"/>
      <w:r w:rsidRPr="00F725E2">
        <w:rPr>
          <w:rFonts w:cs="Arial"/>
          <w:szCs w:val="24"/>
        </w:rPr>
        <w:t xml:space="preserve"> e a </w:t>
      </w:r>
      <w:proofErr w:type="spellStart"/>
      <w:r w:rsidRPr="00F725E2">
        <w:rPr>
          <w:rFonts w:cs="Arial"/>
          <w:szCs w:val="24"/>
        </w:rPr>
        <w:t>qualidade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projetos</w:t>
      </w:r>
      <w:proofErr w:type="spellEnd"/>
      <w:r w:rsidRPr="00F725E2">
        <w:rPr>
          <w:rFonts w:cs="Arial"/>
          <w:szCs w:val="24"/>
        </w:rPr>
        <w:t xml:space="preserve"> da SEMARH (Nobre et al., 2017). </w:t>
      </w:r>
      <w:proofErr w:type="spellStart"/>
      <w:r w:rsidRPr="00F725E2">
        <w:rPr>
          <w:rFonts w:cs="Arial"/>
          <w:szCs w:val="24"/>
        </w:rPr>
        <w:t>Além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disso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conforme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destaca</w:t>
      </w:r>
      <w:proofErr w:type="spellEnd"/>
      <w:r w:rsidRPr="00F725E2">
        <w:rPr>
          <w:rFonts w:cs="Arial"/>
          <w:szCs w:val="24"/>
        </w:rPr>
        <w:t xml:space="preserve"> Bio (2008),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depende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apenas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decisões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estratégicas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externas</w:t>
      </w:r>
      <w:proofErr w:type="spellEnd"/>
      <w:r w:rsidRPr="00F725E2">
        <w:rPr>
          <w:rFonts w:cs="Arial"/>
          <w:szCs w:val="24"/>
        </w:rPr>
        <w:t xml:space="preserve">, mas </w:t>
      </w:r>
      <w:proofErr w:type="spellStart"/>
      <w:r w:rsidRPr="00F725E2">
        <w:rPr>
          <w:rFonts w:cs="Arial"/>
          <w:szCs w:val="24"/>
        </w:rPr>
        <w:t>também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capacidade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operacional</w:t>
      </w:r>
      <w:proofErr w:type="spellEnd"/>
      <w:r w:rsidRPr="00F725E2">
        <w:rPr>
          <w:rFonts w:cs="Arial"/>
          <w:szCs w:val="24"/>
        </w:rPr>
        <w:t xml:space="preserve"> interna, </w:t>
      </w:r>
      <w:proofErr w:type="spellStart"/>
      <w:r w:rsidRPr="00F725E2">
        <w:rPr>
          <w:rFonts w:cs="Arial"/>
          <w:szCs w:val="24"/>
        </w:rPr>
        <w:t>influenciando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diretamente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execução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manutenção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projetos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abastecimento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necessidade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antecipação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desafios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ajustes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estratégicos</w:t>
      </w:r>
      <w:proofErr w:type="spellEnd"/>
      <w:r w:rsidRPr="00F725E2">
        <w:rPr>
          <w:rFonts w:cs="Arial"/>
          <w:szCs w:val="24"/>
        </w:rPr>
        <w:t xml:space="preserve"> é um </w:t>
      </w:r>
      <w:proofErr w:type="spellStart"/>
      <w:r w:rsidRPr="00F725E2">
        <w:rPr>
          <w:rFonts w:cs="Arial"/>
          <w:szCs w:val="24"/>
        </w:rPr>
        <w:t>fator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crítico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(Hevesi, 2003), </w:t>
      </w:r>
      <w:proofErr w:type="spellStart"/>
      <w:r w:rsidRPr="00F725E2">
        <w:rPr>
          <w:rFonts w:cs="Arial"/>
          <w:szCs w:val="24"/>
        </w:rPr>
        <w:t>sobretudo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diante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sazonalidade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chuvas</w:t>
      </w:r>
      <w:proofErr w:type="spellEnd"/>
      <w:r w:rsidRPr="00F725E2">
        <w:rPr>
          <w:rFonts w:cs="Arial"/>
          <w:szCs w:val="24"/>
        </w:rPr>
        <w:t xml:space="preserve"> e das </w:t>
      </w:r>
      <w:proofErr w:type="spellStart"/>
      <w:r w:rsidRPr="00F725E2">
        <w:rPr>
          <w:rFonts w:cs="Arial"/>
          <w:szCs w:val="24"/>
        </w:rPr>
        <w:t>dificuldades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associadas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determinadas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regiões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estado</w:t>
      </w:r>
      <w:proofErr w:type="spellEnd"/>
      <w:r w:rsidRPr="00F725E2">
        <w:rPr>
          <w:rFonts w:cs="Arial"/>
          <w:szCs w:val="24"/>
        </w:rPr>
        <w:t xml:space="preserve">. Como </w:t>
      </w:r>
      <w:proofErr w:type="spellStart"/>
      <w:r w:rsidRPr="00F725E2">
        <w:rPr>
          <w:rFonts w:cs="Arial"/>
          <w:szCs w:val="24"/>
        </w:rPr>
        <w:t>apontam</w:t>
      </w:r>
      <w:proofErr w:type="spellEnd"/>
      <w:r w:rsidRPr="00F725E2">
        <w:rPr>
          <w:rFonts w:cs="Arial"/>
          <w:szCs w:val="24"/>
        </w:rPr>
        <w:t xml:space="preserve"> Jones e Pendlebury (2000), a </w:t>
      </w:r>
      <w:proofErr w:type="spellStart"/>
      <w:r w:rsidRPr="00F725E2">
        <w:rPr>
          <w:rFonts w:cs="Arial"/>
          <w:szCs w:val="24"/>
        </w:rPr>
        <w:t>contabilidade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exerce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papel</w:t>
      </w:r>
      <w:proofErr w:type="spellEnd"/>
      <w:r w:rsidRPr="00F725E2">
        <w:rPr>
          <w:rFonts w:cs="Arial"/>
          <w:szCs w:val="24"/>
        </w:rPr>
        <w:t xml:space="preserve"> fundamental no </w:t>
      </w:r>
      <w:proofErr w:type="spellStart"/>
      <w:r w:rsidRPr="00F725E2">
        <w:rPr>
          <w:rFonts w:cs="Arial"/>
          <w:szCs w:val="24"/>
        </w:rPr>
        <w:t>monitoramento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avaliação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aplicação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permitindo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gestores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tomem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decisões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informadas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estratégicas</w:t>
      </w:r>
      <w:proofErr w:type="spellEnd"/>
      <w:r w:rsidRPr="00F725E2">
        <w:rPr>
          <w:rFonts w:cs="Arial"/>
          <w:szCs w:val="24"/>
        </w:rPr>
        <w:t>.</w:t>
      </w:r>
    </w:p>
    <w:p w14:paraId="0A2E96F1" w14:textId="4E384E1C" w:rsidR="00662BD7" w:rsidRPr="00F725E2" w:rsidRDefault="00662BD7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Diante </w:t>
      </w:r>
      <w:proofErr w:type="spellStart"/>
      <w:r w:rsidRPr="00F725E2">
        <w:rPr>
          <w:rFonts w:cs="Arial"/>
          <w:szCs w:val="24"/>
        </w:rPr>
        <w:t>desses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desafios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este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objetivo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analisar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estrutura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da SEMARH </w:t>
      </w:r>
      <w:proofErr w:type="spellStart"/>
      <w:r w:rsidRPr="00F725E2">
        <w:rPr>
          <w:rFonts w:cs="Arial"/>
          <w:szCs w:val="24"/>
        </w:rPr>
        <w:t>voltada</w:t>
      </w:r>
      <w:proofErr w:type="spellEnd"/>
      <w:r w:rsidRPr="00F725E2">
        <w:rPr>
          <w:rFonts w:cs="Arial"/>
          <w:szCs w:val="24"/>
        </w:rPr>
        <w:t xml:space="preserve"> para a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instalação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lastRenderedPageBreak/>
        <w:t>propondo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estratégias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otimizar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alocação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financeiros</w:t>
      </w:r>
      <w:proofErr w:type="spellEnd"/>
      <w:r w:rsidRPr="00F725E2">
        <w:rPr>
          <w:rFonts w:cs="Arial"/>
          <w:szCs w:val="24"/>
        </w:rPr>
        <w:t xml:space="preserve">, com </w:t>
      </w:r>
      <w:proofErr w:type="spellStart"/>
      <w:r w:rsidRPr="00F725E2">
        <w:rPr>
          <w:rFonts w:cs="Arial"/>
          <w:szCs w:val="24"/>
        </w:rPr>
        <w:t>foco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sustentabilidade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projetos</w:t>
      </w:r>
      <w:proofErr w:type="spellEnd"/>
      <w:r w:rsidRPr="00F725E2">
        <w:rPr>
          <w:rFonts w:cs="Arial"/>
          <w:szCs w:val="24"/>
        </w:rPr>
        <w:t xml:space="preserve">. A SEMARH </w:t>
      </w:r>
      <w:proofErr w:type="spellStart"/>
      <w:r w:rsidRPr="00F725E2">
        <w:rPr>
          <w:rFonts w:cs="Arial"/>
          <w:szCs w:val="24"/>
        </w:rPr>
        <w:t>enfrenta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obstáculos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distribuição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desigual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custos </w:t>
      </w:r>
      <w:proofErr w:type="spellStart"/>
      <w:r w:rsidRPr="00F725E2">
        <w:rPr>
          <w:rFonts w:cs="Arial"/>
          <w:szCs w:val="24"/>
        </w:rPr>
        <w:t>elevados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exigindo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rigorosa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estratégias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definidas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alocação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. Assim, a </w:t>
      </w:r>
      <w:proofErr w:type="spellStart"/>
      <w:r w:rsidRPr="00F725E2">
        <w:rPr>
          <w:rFonts w:cs="Arial"/>
          <w:szCs w:val="24"/>
        </w:rPr>
        <w:t>pesquisa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contribuirá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aprimorar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alocação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promovendo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melhorias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processos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garantindo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atendam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efetivamente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às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necessidades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população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especialmente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regiões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vulneráveis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escassez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hídrica</w:t>
      </w:r>
      <w:proofErr w:type="spellEnd"/>
      <w:r w:rsidRPr="00F725E2">
        <w:rPr>
          <w:rFonts w:cs="Arial"/>
          <w:szCs w:val="24"/>
        </w:rPr>
        <w:t>.</w:t>
      </w:r>
    </w:p>
    <w:p w14:paraId="4A8558BA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t>2. Fundamentação Teórica</w:t>
      </w:r>
    </w:p>
    <w:p w14:paraId="22B88E7E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>2.1 PAPEL DO ESTADO NA GESTÃO ORÇAMENTÁRIA DOS RECURSOS HÍDRICOS</w:t>
      </w:r>
    </w:p>
    <w:p w14:paraId="1D3F4E3E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/>
        <w:jc w:val="both"/>
        <w:rPr>
          <w:rFonts w:eastAsia="Times New Roman" w:cs="Arial"/>
          <w:color w:val="000000"/>
          <w:sz w:val="20"/>
          <w:szCs w:val="20"/>
        </w:rPr>
      </w:pPr>
    </w:p>
    <w:p w14:paraId="20A96B87" w14:textId="77777777" w:rsidR="00BC3452" w:rsidRPr="00F725E2" w:rsidRDefault="00BC345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A </w:t>
      </w:r>
      <w:proofErr w:type="spellStart"/>
      <w:r w:rsidRPr="00F725E2">
        <w:rPr>
          <w:rFonts w:cs="Arial"/>
          <w:szCs w:val="24"/>
        </w:rPr>
        <w:t>crescente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escassez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tornou</w:t>
      </w:r>
      <w:proofErr w:type="spellEnd"/>
      <w:r w:rsidRPr="00F725E2">
        <w:rPr>
          <w:rFonts w:cs="Arial"/>
          <w:szCs w:val="24"/>
        </w:rPr>
        <w:t xml:space="preserve">-se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preocupação</w:t>
      </w:r>
      <w:proofErr w:type="spellEnd"/>
      <w:r w:rsidRPr="00F725E2">
        <w:rPr>
          <w:rFonts w:cs="Arial"/>
          <w:szCs w:val="24"/>
        </w:rPr>
        <w:t xml:space="preserve"> global, </w:t>
      </w:r>
      <w:proofErr w:type="spellStart"/>
      <w:r w:rsidRPr="00F725E2">
        <w:rPr>
          <w:rFonts w:cs="Arial"/>
          <w:szCs w:val="24"/>
        </w:rPr>
        <w:t>exigindo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eficazes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sustentável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. Nesse </w:t>
      </w:r>
      <w:proofErr w:type="spellStart"/>
      <w:r w:rsidRPr="00F725E2">
        <w:rPr>
          <w:rFonts w:cs="Arial"/>
          <w:szCs w:val="24"/>
        </w:rPr>
        <w:t>contexto</w:t>
      </w:r>
      <w:proofErr w:type="spellEnd"/>
      <w:r w:rsidRPr="00F725E2">
        <w:rPr>
          <w:rFonts w:cs="Arial"/>
          <w:szCs w:val="24"/>
        </w:rPr>
        <w:t xml:space="preserve">,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análise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desempenha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papel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essencial</w:t>
      </w:r>
      <w:proofErr w:type="spellEnd"/>
      <w:r w:rsidRPr="00F725E2">
        <w:rPr>
          <w:rFonts w:cs="Arial"/>
          <w:szCs w:val="24"/>
        </w:rPr>
        <w:t xml:space="preserve"> no </w:t>
      </w:r>
      <w:proofErr w:type="spellStart"/>
      <w:r w:rsidRPr="00F725E2">
        <w:rPr>
          <w:rFonts w:cs="Arial"/>
          <w:szCs w:val="24"/>
        </w:rPr>
        <w:t>desenvolvimento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sustentável</w:t>
      </w:r>
      <w:proofErr w:type="spellEnd"/>
      <w:r w:rsidRPr="00F725E2">
        <w:rPr>
          <w:rFonts w:cs="Arial"/>
          <w:szCs w:val="24"/>
        </w:rPr>
        <w:t>.</w:t>
      </w:r>
    </w:p>
    <w:p w14:paraId="1E8EED11" w14:textId="77777777" w:rsidR="00BC3452" w:rsidRPr="00F725E2" w:rsidRDefault="00BC345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Neves (2022) </w:t>
      </w:r>
      <w:proofErr w:type="spellStart"/>
      <w:r w:rsidRPr="00F725E2">
        <w:rPr>
          <w:rFonts w:cs="Arial"/>
          <w:szCs w:val="24"/>
        </w:rPr>
        <w:t>aponta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estudos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sobre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têm</w:t>
      </w:r>
      <w:proofErr w:type="spellEnd"/>
      <w:r w:rsidRPr="00F725E2">
        <w:rPr>
          <w:rFonts w:cs="Arial"/>
          <w:szCs w:val="24"/>
        </w:rPr>
        <w:t xml:space="preserve"> se </w:t>
      </w:r>
      <w:proofErr w:type="spellStart"/>
      <w:r w:rsidRPr="00F725E2">
        <w:rPr>
          <w:rFonts w:cs="Arial"/>
          <w:szCs w:val="24"/>
        </w:rPr>
        <w:t>concentrado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majoritariamente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educação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saúde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setores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fundamentais</w:t>
      </w:r>
      <w:proofErr w:type="spellEnd"/>
      <w:r w:rsidRPr="00F725E2">
        <w:rPr>
          <w:rFonts w:cs="Arial"/>
          <w:szCs w:val="24"/>
        </w:rPr>
        <w:t xml:space="preserve"> para o </w:t>
      </w:r>
      <w:proofErr w:type="spellStart"/>
      <w:r w:rsidRPr="00F725E2">
        <w:rPr>
          <w:rFonts w:cs="Arial"/>
          <w:szCs w:val="24"/>
        </w:rPr>
        <w:t>bem-estar</w:t>
      </w:r>
      <w:proofErr w:type="spellEnd"/>
      <w:r w:rsidRPr="00F725E2">
        <w:rPr>
          <w:rFonts w:cs="Arial"/>
          <w:szCs w:val="24"/>
        </w:rPr>
        <w:t xml:space="preserve"> social. No </w:t>
      </w:r>
      <w:proofErr w:type="spellStart"/>
      <w:r w:rsidRPr="00F725E2">
        <w:rPr>
          <w:rFonts w:cs="Arial"/>
          <w:szCs w:val="24"/>
        </w:rPr>
        <w:t>entanto</w:t>
      </w:r>
      <w:proofErr w:type="spellEnd"/>
      <w:r w:rsidRPr="00F725E2">
        <w:rPr>
          <w:rFonts w:cs="Arial"/>
          <w:szCs w:val="24"/>
        </w:rPr>
        <w:t xml:space="preserve">, é </w:t>
      </w:r>
      <w:proofErr w:type="spellStart"/>
      <w:r w:rsidRPr="00F725E2">
        <w:rPr>
          <w:rFonts w:cs="Arial"/>
          <w:szCs w:val="24"/>
        </w:rPr>
        <w:t>necessário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ampliar</w:t>
      </w:r>
      <w:proofErr w:type="spellEnd"/>
      <w:r w:rsidRPr="00F725E2">
        <w:rPr>
          <w:rFonts w:cs="Arial"/>
          <w:szCs w:val="24"/>
        </w:rPr>
        <w:t xml:space="preserve"> as </w:t>
      </w:r>
      <w:proofErr w:type="spellStart"/>
      <w:r w:rsidRPr="00F725E2">
        <w:rPr>
          <w:rFonts w:cs="Arial"/>
          <w:szCs w:val="24"/>
        </w:rPr>
        <w:t>pesquisas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relacionadas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dada </w:t>
      </w:r>
      <w:proofErr w:type="spellStart"/>
      <w:r w:rsidRPr="00F725E2">
        <w:rPr>
          <w:rFonts w:cs="Arial"/>
          <w:szCs w:val="24"/>
        </w:rPr>
        <w:t>sua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estratégica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governança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ganhou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relevância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nos</w:t>
      </w:r>
      <w:proofErr w:type="spellEnd"/>
      <w:r w:rsidRPr="00F725E2">
        <w:rPr>
          <w:rFonts w:cs="Arial"/>
          <w:szCs w:val="24"/>
        </w:rPr>
        <w:t xml:space="preserve"> debates </w:t>
      </w:r>
      <w:proofErr w:type="spellStart"/>
      <w:r w:rsidRPr="00F725E2">
        <w:rPr>
          <w:rFonts w:cs="Arial"/>
          <w:szCs w:val="24"/>
        </w:rPr>
        <w:t>internacionais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desde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Conferência</w:t>
      </w:r>
      <w:proofErr w:type="spellEnd"/>
      <w:r w:rsidRPr="00F725E2">
        <w:rPr>
          <w:rFonts w:cs="Arial"/>
          <w:szCs w:val="24"/>
        </w:rPr>
        <w:t xml:space="preserve"> de Dublin (1992), </w:t>
      </w:r>
      <w:proofErr w:type="spellStart"/>
      <w:r w:rsidRPr="00F725E2">
        <w:rPr>
          <w:rFonts w:cs="Arial"/>
          <w:szCs w:val="24"/>
        </w:rPr>
        <w:t>onde</w:t>
      </w:r>
      <w:proofErr w:type="spellEnd"/>
      <w:r w:rsidRPr="00F725E2">
        <w:rPr>
          <w:rFonts w:cs="Arial"/>
          <w:szCs w:val="24"/>
        </w:rPr>
        <w:t xml:space="preserve"> se </w:t>
      </w:r>
      <w:proofErr w:type="spellStart"/>
      <w:r w:rsidRPr="00F725E2">
        <w:rPr>
          <w:rFonts w:cs="Arial"/>
          <w:szCs w:val="24"/>
        </w:rPr>
        <w:t>constatou</w:t>
      </w:r>
      <w:proofErr w:type="spellEnd"/>
      <w:r w:rsidRPr="00F725E2">
        <w:rPr>
          <w:rFonts w:cs="Arial"/>
          <w:szCs w:val="24"/>
        </w:rPr>
        <w:t xml:space="preserve"> que a crise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não</w:t>
      </w:r>
      <w:proofErr w:type="spellEnd"/>
      <w:r w:rsidRPr="00F725E2">
        <w:rPr>
          <w:rFonts w:cs="Arial"/>
          <w:szCs w:val="24"/>
        </w:rPr>
        <w:t xml:space="preserve"> se </w:t>
      </w:r>
      <w:proofErr w:type="spellStart"/>
      <w:r w:rsidRPr="00F725E2">
        <w:rPr>
          <w:rFonts w:cs="Arial"/>
          <w:szCs w:val="24"/>
        </w:rPr>
        <w:t>limita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disponibilidade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recurso</w:t>
      </w:r>
      <w:proofErr w:type="spellEnd"/>
      <w:r w:rsidRPr="00F725E2">
        <w:rPr>
          <w:rFonts w:cs="Arial"/>
          <w:szCs w:val="24"/>
        </w:rPr>
        <w:t xml:space="preserve">, mas </w:t>
      </w:r>
      <w:proofErr w:type="spellStart"/>
      <w:r w:rsidRPr="00F725E2">
        <w:rPr>
          <w:rFonts w:cs="Arial"/>
          <w:szCs w:val="24"/>
        </w:rPr>
        <w:t>também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às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falhas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processos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instituições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encarregadas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sua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(Matos, 2020).</w:t>
      </w:r>
    </w:p>
    <w:p w14:paraId="6C29628A" w14:textId="77777777" w:rsidR="00BC3452" w:rsidRPr="00F725E2" w:rsidRDefault="00BC345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No </w:t>
      </w:r>
      <w:proofErr w:type="spellStart"/>
      <w:r w:rsidRPr="00F725E2">
        <w:rPr>
          <w:rFonts w:cs="Arial"/>
          <w:szCs w:val="24"/>
        </w:rPr>
        <w:t>contexto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semiárido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brasileiro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onde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está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localizada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grande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parte</w:t>
      </w:r>
      <w:proofErr w:type="spellEnd"/>
      <w:r w:rsidRPr="00F725E2">
        <w:rPr>
          <w:rFonts w:cs="Arial"/>
          <w:szCs w:val="24"/>
        </w:rPr>
        <w:t xml:space="preserve"> do Rio Grande do Norte,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escassez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chuvas</w:t>
      </w:r>
      <w:proofErr w:type="spellEnd"/>
      <w:r w:rsidRPr="00F725E2">
        <w:rPr>
          <w:rFonts w:cs="Arial"/>
          <w:szCs w:val="24"/>
        </w:rPr>
        <w:t xml:space="preserve"> e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irregularidade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impõem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desafios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significativos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se </w:t>
      </w:r>
      <w:proofErr w:type="spellStart"/>
      <w:r w:rsidRPr="00F725E2">
        <w:rPr>
          <w:rFonts w:cs="Arial"/>
          <w:szCs w:val="24"/>
        </w:rPr>
        <w:t>apresenta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solução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essencial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abastecimento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especialmente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comunidades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rurais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acesso</w:t>
      </w:r>
      <w:proofErr w:type="spellEnd"/>
      <w:r w:rsidRPr="00F725E2">
        <w:rPr>
          <w:rFonts w:cs="Arial"/>
          <w:szCs w:val="24"/>
        </w:rPr>
        <w:t xml:space="preserve"> a redes </w:t>
      </w:r>
      <w:proofErr w:type="spellStart"/>
      <w:r w:rsidRPr="00F725E2">
        <w:rPr>
          <w:rFonts w:cs="Arial"/>
          <w:szCs w:val="24"/>
        </w:rPr>
        <w:t>convencionais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distribuição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>.</w:t>
      </w:r>
    </w:p>
    <w:p w14:paraId="0AB63F46" w14:textId="77777777" w:rsidR="00BC3452" w:rsidRPr="00F725E2" w:rsidRDefault="00BC3452" w:rsidP="00F725E2">
      <w:pPr>
        <w:jc w:val="both"/>
        <w:rPr>
          <w:rFonts w:cs="Arial"/>
          <w:szCs w:val="24"/>
        </w:rPr>
      </w:pP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intervenção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estatal</w:t>
      </w:r>
      <w:proofErr w:type="spellEnd"/>
      <w:r w:rsidRPr="00F725E2">
        <w:rPr>
          <w:rFonts w:cs="Arial"/>
          <w:szCs w:val="24"/>
        </w:rPr>
        <w:t xml:space="preserve"> é fundamental para </w:t>
      </w:r>
      <w:proofErr w:type="spellStart"/>
      <w:r w:rsidRPr="00F725E2">
        <w:rPr>
          <w:rFonts w:cs="Arial"/>
          <w:szCs w:val="24"/>
        </w:rPr>
        <w:t>assegurar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acesso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equitativo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sustentável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reconhecida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direito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humano</w:t>
      </w:r>
      <w:proofErr w:type="spellEnd"/>
      <w:r w:rsidRPr="00F725E2">
        <w:rPr>
          <w:rFonts w:cs="Arial"/>
          <w:szCs w:val="24"/>
        </w:rPr>
        <w:t xml:space="preserve"> pela ONU (Slobodianik, 2024). No </w:t>
      </w:r>
      <w:proofErr w:type="spellStart"/>
      <w:r w:rsidRPr="00F725E2">
        <w:rPr>
          <w:rFonts w:cs="Arial"/>
          <w:szCs w:val="24"/>
        </w:rPr>
        <w:t>entanto</w:t>
      </w:r>
      <w:proofErr w:type="spellEnd"/>
      <w:r w:rsidRPr="00F725E2">
        <w:rPr>
          <w:rFonts w:cs="Arial"/>
          <w:szCs w:val="24"/>
        </w:rPr>
        <w:t xml:space="preserve">,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prestação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serviços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públicos</w:t>
      </w:r>
      <w:proofErr w:type="spellEnd"/>
      <w:r w:rsidRPr="00F725E2">
        <w:rPr>
          <w:rFonts w:cs="Arial"/>
          <w:szCs w:val="24"/>
        </w:rPr>
        <w:t xml:space="preserve"> varia </w:t>
      </w:r>
      <w:proofErr w:type="spellStart"/>
      <w:r w:rsidRPr="00F725E2">
        <w:rPr>
          <w:rFonts w:cs="Arial"/>
          <w:szCs w:val="24"/>
        </w:rPr>
        <w:t>consideravelmente</w:t>
      </w:r>
      <w:proofErr w:type="spellEnd"/>
      <w:r w:rsidRPr="00F725E2">
        <w:rPr>
          <w:rFonts w:cs="Arial"/>
          <w:szCs w:val="24"/>
        </w:rPr>
        <w:t xml:space="preserve"> entre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governos</w:t>
      </w:r>
      <w:proofErr w:type="spellEnd"/>
      <w:r w:rsidRPr="00F725E2">
        <w:rPr>
          <w:rFonts w:cs="Arial"/>
          <w:szCs w:val="24"/>
        </w:rPr>
        <w:t xml:space="preserve"> (Adam et al., 2014). Bartel e Schneider (1991) </w:t>
      </w:r>
      <w:proofErr w:type="spellStart"/>
      <w:r w:rsidRPr="00F725E2">
        <w:rPr>
          <w:rFonts w:cs="Arial"/>
          <w:szCs w:val="24"/>
        </w:rPr>
        <w:t>identificam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cinco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teorias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explicam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ineficiência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setor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</w:t>
      </w:r>
      <w:proofErr w:type="spellEnd"/>
      <w:r w:rsidRPr="00F725E2">
        <w:rPr>
          <w:rFonts w:cs="Arial"/>
          <w:szCs w:val="24"/>
        </w:rPr>
        <w:t>:</w:t>
      </w:r>
    </w:p>
    <w:p w14:paraId="0CA60CB7" w14:textId="77777777" w:rsidR="00BC3452" w:rsidRPr="00F725E2" w:rsidRDefault="00BC3452" w:rsidP="00BC3452">
      <w:pPr>
        <w:pStyle w:val="PargrafodaLista"/>
        <w:numPr>
          <w:ilvl w:val="0"/>
          <w:numId w:val="16"/>
        </w:num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Teoria dos </w:t>
      </w:r>
      <w:proofErr w:type="spellStart"/>
      <w:r w:rsidRPr="00F725E2">
        <w:rPr>
          <w:rFonts w:cs="Arial"/>
          <w:szCs w:val="24"/>
        </w:rPr>
        <w:t>direitos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propriedade</w:t>
      </w:r>
      <w:proofErr w:type="spellEnd"/>
      <w:r w:rsidRPr="00F725E2">
        <w:rPr>
          <w:rFonts w:cs="Arial"/>
          <w:szCs w:val="24"/>
        </w:rPr>
        <w:t xml:space="preserve"> (</w:t>
      </w:r>
      <w:proofErr w:type="spellStart"/>
      <w:r w:rsidRPr="00F725E2">
        <w:rPr>
          <w:rFonts w:cs="Arial"/>
          <w:szCs w:val="24"/>
        </w:rPr>
        <w:t>Alchian</w:t>
      </w:r>
      <w:proofErr w:type="spellEnd"/>
      <w:r w:rsidRPr="00F725E2">
        <w:rPr>
          <w:rFonts w:cs="Arial"/>
          <w:szCs w:val="24"/>
        </w:rPr>
        <w:t xml:space="preserve">, 1965; </w:t>
      </w:r>
      <w:proofErr w:type="spellStart"/>
      <w:r w:rsidRPr="00F725E2">
        <w:rPr>
          <w:rFonts w:cs="Arial"/>
          <w:szCs w:val="24"/>
        </w:rPr>
        <w:t>Alchian</w:t>
      </w:r>
      <w:proofErr w:type="spellEnd"/>
      <w:r w:rsidRPr="00F725E2">
        <w:rPr>
          <w:rFonts w:cs="Arial"/>
          <w:szCs w:val="24"/>
        </w:rPr>
        <w:t xml:space="preserve"> &amp; </w:t>
      </w:r>
      <w:proofErr w:type="spellStart"/>
      <w:r w:rsidRPr="00F725E2">
        <w:rPr>
          <w:rFonts w:cs="Arial"/>
          <w:szCs w:val="24"/>
        </w:rPr>
        <w:t>Demsetz</w:t>
      </w:r>
      <w:proofErr w:type="spellEnd"/>
      <w:r w:rsidRPr="00F725E2">
        <w:rPr>
          <w:rFonts w:cs="Arial"/>
          <w:szCs w:val="24"/>
        </w:rPr>
        <w:t xml:space="preserve">, 1972) – </w:t>
      </w:r>
      <w:proofErr w:type="spellStart"/>
      <w:r w:rsidRPr="00F725E2">
        <w:rPr>
          <w:rFonts w:cs="Arial"/>
          <w:szCs w:val="24"/>
        </w:rPr>
        <w:t>Examina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controle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sobre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influencia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>.</w:t>
      </w:r>
    </w:p>
    <w:p w14:paraId="5942895E" w14:textId="77777777" w:rsidR="00BC3452" w:rsidRPr="00F725E2" w:rsidRDefault="00BC3452" w:rsidP="00BC3452">
      <w:pPr>
        <w:pStyle w:val="PargrafodaLista"/>
        <w:numPr>
          <w:ilvl w:val="0"/>
          <w:numId w:val="16"/>
        </w:num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Abordagem</w:t>
      </w:r>
      <w:proofErr w:type="spellEnd"/>
      <w:r w:rsidRPr="00F725E2">
        <w:rPr>
          <w:rFonts w:cs="Arial"/>
          <w:szCs w:val="24"/>
        </w:rPr>
        <w:t xml:space="preserve"> da X-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(Leibenstein, 1966, 1978) – </w:t>
      </w:r>
      <w:proofErr w:type="spellStart"/>
      <w:r w:rsidRPr="00F725E2">
        <w:rPr>
          <w:rFonts w:cs="Arial"/>
          <w:szCs w:val="24"/>
        </w:rPr>
        <w:t>Destaca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otimização</w:t>
      </w:r>
      <w:proofErr w:type="spellEnd"/>
      <w:r w:rsidRPr="00F725E2">
        <w:rPr>
          <w:rFonts w:cs="Arial"/>
          <w:szCs w:val="24"/>
        </w:rPr>
        <w:t xml:space="preserve"> no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fatores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produtivos</w:t>
      </w:r>
      <w:proofErr w:type="spellEnd"/>
      <w:r w:rsidRPr="00F725E2">
        <w:rPr>
          <w:rFonts w:cs="Arial"/>
          <w:szCs w:val="24"/>
        </w:rPr>
        <w:t>.</w:t>
      </w:r>
    </w:p>
    <w:p w14:paraId="689CC086" w14:textId="77777777" w:rsidR="00BC3452" w:rsidRPr="00F725E2" w:rsidRDefault="00BC3452" w:rsidP="00BC3452">
      <w:pPr>
        <w:pStyle w:val="PargrafodaLista"/>
        <w:numPr>
          <w:ilvl w:val="0"/>
          <w:numId w:val="16"/>
        </w:num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lastRenderedPageBreak/>
        <w:t xml:space="preserve">Teoria </w:t>
      </w:r>
      <w:proofErr w:type="spellStart"/>
      <w:r w:rsidRPr="00F725E2">
        <w:rPr>
          <w:rFonts w:cs="Arial"/>
          <w:szCs w:val="24"/>
        </w:rPr>
        <w:t>econômica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burocracia</w:t>
      </w:r>
      <w:proofErr w:type="spellEnd"/>
      <w:r w:rsidRPr="00F725E2">
        <w:rPr>
          <w:rFonts w:cs="Arial"/>
          <w:szCs w:val="24"/>
        </w:rPr>
        <w:t xml:space="preserve"> (Niskanen, 1971, 1975) – </w:t>
      </w:r>
      <w:proofErr w:type="spellStart"/>
      <w:r w:rsidRPr="00F725E2">
        <w:rPr>
          <w:rFonts w:cs="Arial"/>
          <w:szCs w:val="24"/>
        </w:rPr>
        <w:t>Sugere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burocratas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buscam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maximizar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orçamentos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seu</w:t>
      </w:r>
      <w:proofErr w:type="spellEnd"/>
      <w:r w:rsidRPr="00F725E2">
        <w:rPr>
          <w:rFonts w:cs="Arial"/>
          <w:szCs w:val="24"/>
        </w:rPr>
        <w:t xml:space="preserve"> favor.</w:t>
      </w:r>
    </w:p>
    <w:p w14:paraId="6092CBAA" w14:textId="77777777" w:rsidR="00BC3452" w:rsidRPr="00F725E2" w:rsidRDefault="00BC3452" w:rsidP="00BC3452">
      <w:pPr>
        <w:pStyle w:val="PargrafodaLista"/>
        <w:numPr>
          <w:ilvl w:val="0"/>
          <w:numId w:val="16"/>
        </w:num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Abordagem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escolha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</w:t>
      </w:r>
      <w:proofErr w:type="spellEnd"/>
      <w:r w:rsidRPr="00F725E2">
        <w:rPr>
          <w:rFonts w:cs="Arial"/>
          <w:szCs w:val="24"/>
        </w:rPr>
        <w:t xml:space="preserve"> (Olson, 1965; Moe, 1980; Mueller, 1980) – Analisa o </w:t>
      </w:r>
      <w:proofErr w:type="spellStart"/>
      <w:r w:rsidRPr="00F725E2">
        <w:rPr>
          <w:rFonts w:cs="Arial"/>
          <w:szCs w:val="24"/>
        </w:rPr>
        <w:t>comportamento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político</w:t>
      </w:r>
      <w:proofErr w:type="spellEnd"/>
      <w:r w:rsidRPr="00F725E2">
        <w:rPr>
          <w:rFonts w:cs="Arial"/>
          <w:szCs w:val="24"/>
        </w:rPr>
        <w:t xml:space="preserve"> sob a </w:t>
      </w:r>
      <w:proofErr w:type="spellStart"/>
      <w:r w:rsidRPr="00F725E2">
        <w:rPr>
          <w:rFonts w:cs="Arial"/>
          <w:szCs w:val="24"/>
        </w:rPr>
        <w:t>ótica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economia</w:t>
      </w:r>
      <w:proofErr w:type="spellEnd"/>
      <w:r w:rsidRPr="00F725E2">
        <w:rPr>
          <w:rFonts w:cs="Arial"/>
          <w:szCs w:val="24"/>
        </w:rPr>
        <w:t>.</w:t>
      </w:r>
    </w:p>
    <w:p w14:paraId="7A9C23AD" w14:textId="77777777" w:rsidR="00BC3452" w:rsidRPr="00F725E2" w:rsidRDefault="00BC3452" w:rsidP="00BC3452">
      <w:pPr>
        <w:pStyle w:val="PargrafodaLista"/>
        <w:numPr>
          <w:ilvl w:val="0"/>
          <w:numId w:val="16"/>
        </w:num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Economia das </w:t>
      </w:r>
      <w:proofErr w:type="spellStart"/>
      <w:r w:rsidRPr="00F725E2">
        <w:rPr>
          <w:rFonts w:cs="Arial"/>
          <w:szCs w:val="24"/>
        </w:rPr>
        <w:t>empresas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dominadas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pelo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trabalho</w:t>
      </w:r>
      <w:proofErr w:type="spellEnd"/>
      <w:r w:rsidRPr="00F725E2">
        <w:rPr>
          <w:rFonts w:cs="Arial"/>
          <w:szCs w:val="24"/>
        </w:rPr>
        <w:t xml:space="preserve"> (Addison &amp; Barnett, 1982) – </w:t>
      </w:r>
      <w:proofErr w:type="spellStart"/>
      <w:r w:rsidRPr="00F725E2">
        <w:rPr>
          <w:rFonts w:cs="Arial"/>
          <w:szCs w:val="24"/>
        </w:rPr>
        <w:t>Relaciona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baixa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</w:t>
      </w:r>
      <w:proofErr w:type="spellEnd"/>
      <w:r w:rsidRPr="00F725E2">
        <w:rPr>
          <w:rFonts w:cs="Arial"/>
          <w:szCs w:val="24"/>
        </w:rPr>
        <w:t xml:space="preserve"> a altos </w:t>
      </w:r>
      <w:proofErr w:type="spellStart"/>
      <w:r w:rsidRPr="00F725E2">
        <w:rPr>
          <w:rFonts w:cs="Arial"/>
          <w:szCs w:val="24"/>
        </w:rPr>
        <w:t>salários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produtividade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reduzida</w:t>
      </w:r>
      <w:proofErr w:type="spellEnd"/>
      <w:r w:rsidRPr="00F725E2">
        <w:rPr>
          <w:rFonts w:cs="Arial"/>
          <w:szCs w:val="24"/>
        </w:rPr>
        <w:t>.</w:t>
      </w:r>
    </w:p>
    <w:p w14:paraId="5311ABC4" w14:textId="726AEB64" w:rsidR="00BC3452" w:rsidRPr="00F725E2" w:rsidRDefault="00BC345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Para </w:t>
      </w:r>
      <w:proofErr w:type="spellStart"/>
      <w:r w:rsidRPr="00F725E2">
        <w:rPr>
          <w:rFonts w:cs="Arial"/>
          <w:szCs w:val="24"/>
        </w:rPr>
        <w:t>aprimorar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financeira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setor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</w:t>
      </w:r>
      <w:proofErr w:type="spellEnd"/>
      <w:r w:rsidRPr="00F725E2">
        <w:rPr>
          <w:rFonts w:cs="Arial"/>
          <w:szCs w:val="24"/>
        </w:rPr>
        <w:t xml:space="preserve">, a Lei de </w:t>
      </w:r>
      <w:proofErr w:type="spellStart"/>
      <w:r w:rsidRPr="00F725E2">
        <w:rPr>
          <w:rFonts w:cs="Arial"/>
          <w:szCs w:val="24"/>
        </w:rPr>
        <w:t>Responsabilidade</w:t>
      </w:r>
      <w:proofErr w:type="spellEnd"/>
      <w:r w:rsidRPr="00F725E2">
        <w:rPr>
          <w:rFonts w:cs="Arial"/>
          <w:szCs w:val="24"/>
        </w:rPr>
        <w:t xml:space="preserve"> Fiscal </w:t>
      </w:r>
      <w:proofErr w:type="spellStart"/>
      <w:r w:rsidRPr="00F725E2">
        <w:rPr>
          <w:rFonts w:cs="Arial"/>
          <w:szCs w:val="24"/>
        </w:rPr>
        <w:t>estabelece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diretrizes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controle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transparência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gastos</w:t>
      </w:r>
      <w:proofErr w:type="spellEnd"/>
      <w:r w:rsidRPr="00F725E2">
        <w:rPr>
          <w:rFonts w:cs="Arial"/>
          <w:szCs w:val="24"/>
        </w:rPr>
        <w:t xml:space="preserve"> (Zago, 2006). Lanis e Bueno (2020) </w:t>
      </w:r>
      <w:proofErr w:type="spellStart"/>
      <w:r w:rsidRPr="00F725E2">
        <w:rPr>
          <w:rFonts w:cs="Arial"/>
          <w:szCs w:val="24"/>
        </w:rPr>
        <w:t>indicam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fatores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políticos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econômicos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sociais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influenciam</w:t>
      </w:r>
      <w:proofErr w:type="spellEnd"/>
      <w:r w:rsidRPr="00F725E2">
        <w:rPr>
          <w:rFonts w:cs="Arial"/>
          <w:szCs w:val="24"/>
        </w:rPr>
        <w:t xml:space="preserve"> </w:t>
      </w:r>
      <w:r w:rsidR="00D0376E" w:rsidRPr="00F725E2">
        <w:rPr>
          <w:rFonts w:cs="Arial"/>
          <w:szCs w:val="24"/>
        </w:rPr>
        <w:t>à</w:t>
      </w:r>
      <w:r w:rsidRPr="00F725E2">
        <w:rPr>
          <w:rFonts w:cs="Arial"/>
          <w:szCs w:val="24"/>
        </w:rPr>
        <w:t xml:space="preserve"> e</w:t>
      </w:r>
      <w:proofErr w:type="spellStart"/>
      <w:r w:rsidRPr="00F725E2">
        <w:rPr>
          <w:rFonts w:cs="Arial"/>
          <w:szCs w:val="24"/>
        </w:rPr>
        <w:t>ficiência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demonstrado</w:t>
      </w:r>
      <w:proofErr w:type="spellEnd"/>
      <w:r w:rsidRPr="00F725E2">
        <w:rPr>
          <w:rFonts w:cs="Arial"/>
          <w:szCs w:val="24"/>
        </w:rPr>
        <w:t xml:space="preserve"> no Quadro 1.</w:t>
      </w:r>
    </w:p>
    <w:p w14:paraId="67F76B39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 w:firstLine="720"/>
        <w:jc w:val="both"/>
        <w:rPr>
          <w:rFonts w:eastAsia="Times New Roman" w:cs="Arial"/>
          <w:color w:val="000000"/>
          <w:sz w:val="20"/>
          <w:szCs w:val="20"/>
        </w:rPr>
      </w:pPr>
    </w:p>
    <w:p w14:paraId="19D94E90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 w:firstLine="720"/>
        <w:jc w:val="center"/>
        <w:rPr>
          <w:rFonts w:eastAsia="Times New Roman" w:cs="Arial"/>
          <w:color w:val="000000"/>
          <w:sz w:val="20"/>
          <w:szCs w:val="20"/>
        </w:rPr>
      </w:pPr>
      <w:r w:rsidRPr="00F725E2">
        <w:rPr>
          <w:rFonts w:eastAsia="Times New Roman" w:cs="Arial"/>
          <w:color w:val="000000"/>
          <w:sz w:val="20"/>
          <w:szCs w:val="20"/>
        </w:rPr>
        <w:t xml:space="preserve">Quadro 1 –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Fatores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que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influenciam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na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gestão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do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orçamento</w:t>
      </w:r>
      <w:proofErr w:type="spellEnd"/>
    </w:p>
    <w:tbl>
      <w:tblPr>
        <w:tblW w:w="7656" w:type="dxa"/>
        <w:jc w:val="center"/>
        <w:tblLayout w:type="fixed"/>
        <w:tblLook w:val="0400" w:firstRow="0" w:lastRow="0" w:firstColumn="0" w:lastColumn="0" w:noHBand="0" w:noVBand="1"/>
      </w:tblPr>
      <w:tblGrid>
        <w:gridCol w:w="2296"/>
        <w:gridCol w:w="5360"/>
      </w:tblGrid>
      <w:tr w:rsidR="00BC3452" w:rsidRPr="00F725E2" w14:paraId="3566FB24" w14:textId="77777777" w:rsidTr="00A663EF">
        <w:trPr>
          <w:trHeight w:val="300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7B085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Fatores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BBFB8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Descrição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3452" w:rsidRPr="00F725E2" w14:paraId="7BD92183" w14:textId="77777777" w:rsidTr="00A663EF">
        <w:trPr>
          <w:trHeight w:val="53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D7350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Fatores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Políticos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98BB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Condições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Governabilidade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; Partido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esquerda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ou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direita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Nível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Escolaridade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do Gestor; </w:t>
            </w:r>
          </w:p>
        </w:tc>
      </w:tr>
      <w:tr w:rsidR="00BC3452" w:rsidRPr="00F725E2" w14:paraId="68F01CD3" w14:textId="77777777" w:rsidTr="00A663EF">
        <w:trPr>
          <w:trHeight w:val="53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787CA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Fatores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Econômicos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12B1E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PIB per capita;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Índice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Firjan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Gestão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Fiscal - IFGF;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Inflação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período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BC3452" w:rsidRPr="00F725E2" w14:paraId="264BA272" w14:textId="77777777" w:rsidTr="00A663EF">
        <w:trPr>
          <w:trHeight w:val="53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EBF77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Fatores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Sociais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418E4" w14:textId="77777777" w:rsidR="00BC3452" w:rsidRPr="00F725E2" w:rsidRDefault="00BC3452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População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Índice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Desenvolvimento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Humano - IDH;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índice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Firjan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Desenvolvimento</w:t>
            </w:r>
            <w:proofErr w:type="spellEnd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 xml:space="preserve"> Municipal - IFDM</w:t>
            </w:r>
          </w:p>
        </w:tc>
      </w:tr>
    </w:tbl>
    <w:p w14:paraId="3EA3AB0F" w14:textId="159881C5" w:rsidR="00BC3452" w:rsidRPr="00F725E2" w:rsidRDefault="00D0376E" w:rsidP="00D03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/>
        <w:rPr>
          <w:rFonts w:eastAsia="Times New Roman" w:cs="Arial"/>
          <w:color w:val="000000"/>
          <w:sz w:val="20"/>
          <w:szCs w:val="20"/>
        </w:rPr>
      </w:pPr>
      <w:r w:rsidRPr="00F725E2">
        <w:rPr>
          <w:rFonts w:eastAsia="Times New Roman" w:cs="Arial"/>
          <w:color w:val="000000"/>
          <w:sz w:val="20"/>
          <w:szCs w:val="20"/>
        </w:rPr>
        <w:t xml:space="preserve">      </w:t>
      </w:r>
      <w:r w:rsidR="00BC3452" w:rsidRPr="00F725E2">
        <w:rPr>
          <w:rFonts w:eastAsia="Times New Roman" w:cs="Arial"/>
          <w:color w:val="000000"/>
          <w:sz w:val="20"/>
          <w:szCs w:val="20"/>
        </w:rPr>
        <w:t xml:space="preserve">Fonte: </w:t>
      </w:r>
      <w:proofErr w:type="spellStart"/>
      <w:r w:rsidR="00BC3452" w:rsidRPr="00F725E2">
        <w:rPr>
          <w:rFonts w:eastAsia="Times New Roman" w:cs="Arial"/>
          <w:color w:val="000000"/>
          <w:sz w:val="20"/>
          <w:szCs w:val="20"/>
        </w:rPr>
        <w:t>Adaptado</w:t>
      </w:r>
      <w:proofErr w:type="spellEnd"/>
      <w:r w:rsidR="00BC3452" w:rsidRPr="00F725E2">
        <w:rPr>
          <w:rFonts w:eastAsia="Times New Roman" w:cs="Arial"/>
          <w:color w:val="000000"/>
          <w:sz w:val="20"/>
          <w:szCs w:val="20"/>
        </w:rPr>
        <w:t xml:space="preserve"> de Lanis &amp; Bueno (2020).</w:t>
      </w:r>
    </w:p>
    <w:p w14:paraId="27E62868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" w:firstLine="720"/>
        <w:jc w:val="both"/>
        <w:rPr>
          <w:rFonts w:eastAsia="Times New Roman" w:cs="Arial"/>
          <w:color w:val="000000"/>
          <w:sz w:val="20"/>
          <w:szCs w:val="20"/>
        </w:rPr>
      </w:pPr>
    </w:p>
    <w:p w14:paraId="43A8DBF9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 w:firstLine="720"/>
        <w:jc w:val="both"/>
        <w:rPr>
          <w:rFonts w:eastAsia="Times New Roman" w:cs="Arial"/>
          <w:color w:val="000000"/>
          <w:szCs w:val="24"/>
        </w:rPr>
      </w:pPr>
    </w:p>
    <w:p w14:paraId="400BB028" w14:textId="7FCB2707" w:rsidR="00BC3452" w:rsidRPr="00F725E2" w:rsidRDefault="00BC3452" w:rsidP="008836E5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No </w:t>
      </w:r>
      <w:proofErr w:type="spellStart"/>
      <w:r w:rsidRPr="00F725E2">
        <w:rPr>
          <w:rFonts w:cs="Arial"/>
          <w:szCs w:val="24"/>
        </w:rPr>
        <w:t>âmbito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hídrica</w:t>
      </w:r>
      <w:proofErr w:type="spellEnd"/>
      <w:r w:rsidRPr="00F725E2">
        <w:rPr>
          <w:rFonts w:cs="Arial"/>
          <w:szCs w:val="24"/>
        </w:rPr>
        <w:t xml:space="preserve">, Hao e Guo (2012) </w:t>
      </w:r>
      <w:proofErr w:type="spellStart"/>
      <w:r w:rsidRPr="00F725E2">
        <w:rPr>
          <w:rFonts w:cs="Arial"/>
          <w:szCs w:val="24"/>
        </w:rPr>
        <w:t>introduzem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conceito</w:t>
      </w:r>
      <w:proofErr w:type="spellEnd"/>
      <w:r w:rsidRPr="00F725E2">
        <w:rPr>
          <w:rFonts w:cs="Arial"/>
          <w:szCs w:val="24"/>
        </w:rPr>
        <w:t xml:space="preserve"> de "</w:t>
      </w:r>
      <w:proofErr w:type="spellStart"/>
      <w:r w:rsidRPr="00F725E2">
        <w:rPr>
          <w:rFonts w:cs="Arial"/>
          <w:szCs w:val="24"/>
        </w:rPr>
        <w:t>custeio</w:t>
      </w:r>
      <w:proofErr w:type="spellEnd"/>
      <w:r w:rsidRPr="00F725E2">
        <w:rPr>
          <w:rFonts w:cs="Arial"/>
          <w:szCs w:val="24"/>
        </w:rPr>
        <w:t xml:space="preserve"> total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", que </w:t>
      </w:r>
      <w:proofErr w:type="spellStart"/>
      <w:r w:rsidRPr="00F725E2">
        <w:rPr>
          <w:rFonts w:cs="Arial"/>
          <w:szCs w:val="24"/>
        </w:rPr>
        <w:t>considera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custos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dos </w:t>
      </w:r>
      <w:proofErr w:type="spellStart"/>
      <w:r w:rsidRPr="00F725E2">
        <w:rPr>
          <w:rFonts w:cs="Arial"/>
          <w:szCs w:val="24"/>
        </w:rPr>
        <w:t>projetos</w:t>
      </w:r>
      <w:proofErr w:type="spellEnd"/>
      <w:r w:rsidRPr="00F725E2">
        <w:rPr>
          <w:rFonts w:cs="Arial"/>
          <w:szCs w:val="24"/>
        </w:rPr>
        <w:t xml:space="preserve"> e do </w:t>
      </w:r>
      <w:proofErr w:type="spellStart"/>
      <w:r w:rsidRPr="00F725E2">
        <w:rPr>
          <w:rFonts w:cs="Arial"/>
          <w:szCs w:val="24"/>
        </w:rPr>
        <w:t>meio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ambiente</w:t>
      </w:r>
      <w:proofErr w:type="spellEnd"/>
      <w:r w:rsidRPr="00F725E2">
        <w:rPr>
          <w:rFonts w:cs="Arial"/>
          <w:szCs w:val="24"/>
        </w:rPr>
        <w:t xml:space="preserve">. Devido à </w:t>
      </w:r>
      <w:proofErr w:type="spellStart"/>
      <w:r w:rsidRPr="00F725E2">
        <w:rPr>
          <w:rFonts w:cs="Arial"/>
          <w:szCs w:val="24"/>
        </w:rPr>
        <w:t>complexidade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setor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recomenda</w:t>
      </w:r>
      <w:proofErr w:type="spellEnd"/>
      <w:r w:rsidRPr="00F725E2">
        <w:rPr>
          <w:rFonts w:cs="Arial"/>
          <w:szCs w:val="24"/>
        </w:rPr>
        <w:t xml:space="preserve">-se a </w:t>
      </w:r>
      <w:proofErr w:type="spellStart"/>
      <w:r w:rsidRPr="00F725E2">
        <w:rPr>
          <w:rFonts w:cs="Arial"/>
          <w:szCs w:val="24"/>
        </w:rPr>
        <w:t>utilização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custeio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baseado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atividades</w:t>
      </w:r>
      <w:proofErr w:type="spellEnd"/>
      <w:r w:rsidRPr="00F725E2">
        <w:rPr>
          <w:rFonts w:cs="Arial"/>
          <w:szCs w:val="24"/>
        </w:rPr>
        <w:t xml:space="preserve"> (ABC) para </w:t>
      </w:r>
      <w:proofErr w:type="spellStart"/>
      <w:r w:rsidRPr="00F725E2">
        <w:rPr>
          <w:rFonts w:cs="Arial"/>
          <w:szCs w:val="24"/>
        </w:rPr>
        <w:t>alocação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precisa</w:t>
      </w:r>
      <w:proofErr w:type="spellEnd"/>
      <w:r w:rsidRPr="00F725E2">
        <w:rPr>
          <w:rFonts w:cs="Arial"/>
          <w:szCs w:val="24"/>
        </w:rPr>
        <w:t xml:space="preserve"> dos custos </w:t>
      </w:r>
      <w:proofErr w:type="spellStart"/>
      <w:r w:rsidRPr="00F725E2">
        <w:rPr>
          <w:rFonts w:cs="Arial"/>
          <w:szCs w:val="24"/>
        </w:rPr>
        <w:t>indiretos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garantindo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sustentabilidade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ambiental</w:t>
      </w:r>
      <w:proofErr w:type="spellEnd"/>
      <w:r w:rsidRPr="00F725E2">
        <w:rPr>
          <w:rFonts w:cs="Arial"/>
          <w:szCs w:val="24"/>
        </w:rPr>
        <w:t>.</w:t>
      </w:r>
    </w:p>
    <w:p w14:paraId="1B71BA10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 w:firstLine="720"/>
        <w:jc w:val="both"/>
        <w:rPr>
          <w:rFonts w:eastAsia="Times New Roman" w:cs="Arial"/>
          <w:szCs w:val="24"/>
        </w:rPr>
      </w:pPr>
    </w:p>
    <w:p w14:paraId="74FBAEE2" w14:textId="77777777" w:rsidR="00BC3452" w:rsidRPr="00F725E2" w:rsidRDefault="00BC3452" w:rsidP="00BC3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>2.2 ABORDAGENS DA GESTÃO PÚBLICA</w:t>
      </w:r>
    </w:p>
    <w:p w14:paraId="684D86E0" w14:textId="77777777" w:rsidR="00BC3452" w:rsidRPr="00F725E2" w:rsidRDefault="00BC3452" w:rsidP="008836E5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Desde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século</w:t>
      </w:r>
      <w:proofErr w:type="spellEnd"/>
      <w:r w:rsidRPr="00F725E2">
        <w:rPr>
          <w:rFonts w:cs="Arial"/>
          <w:szCs w:val="24"/>
        </w:rPr>
        <w:t xml:space="preserve"> XIX, </w:t>
      </w:r>
      <w:proofErr w:type="spellStart"/>
      <w:r w:rsidRPr="00F725E2">
        <w:rPr>
          <w:rFonts w:cs="Arial"/>
          <w:szCs w:val="24"/>
        </w:rPr>
        <w:t>observa</w:t>
      </w:r>
      <w:proofErr w:type="spellEnd"/>
      <w:r w:rsidRPr="00F725E2">
        <w:rPr>
          <w:rFonts w:cs="Arial"/>
          <w:szCs w:val="24"/>
        </w:rPr>
        <w:t xml:space="preserve">-se um </w:t>
      </w:r>
      <w:proofErr w:type="spellStart"/>
      <w:r w:rsidRPr="00F725E2">
        <w:rPr>
          <w:rFonts w:cs="Arial"/>
          <w:szCs w:val="24"/>
        </w:rPr>
        <w:t>esforço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contínuo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aproximar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Administração</w:t>
      </w:r>
      <w:proofErr w:type="spellEnd"/>
      <w:r w:rsidRPr="00F725E2">
        <w:rPr>
          <w:rFonts w:cs="Arial"/>
          <w:szCs w:val="24"/>
        </w:rPr>
        <w:t xml:space="preserve"> Pública dos </w:t>
      </w:r>
      <w:proofErr w:type="spellStart"/>
      <w:r w:rsidRPr="00F725E2">
        <w:rPr>
          <w:rFonts w:cs="Arial"/>
          <w:szCs w:val="24"/>
        </w:rPr>
        <w:t>modelos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setor</w:t>
      </w:r>
      <w:proofErr w:type="spellEnd"/>
      <w:r w:rsidRPr="00F725E2">
        <w:rPr>
          <w:rFonts w:cs="Arial"/>
          <w:szCs w:val="24"/>
        </w:rPr>
        <w:t xml:space="preserve"> privado. Essa </w:t>
      </w:r>
      <w:proofErr w:type="spellStart"/>
      <w:r w:rsidRPr="00F725E2">
        <w:rPr>
          <w:rFonts w:cs="Arial"/>
          <w:szCs w:val="24"/>
        </w:rPr>
        <w:t>ideia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embora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debatida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longo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décadas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raramente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implementada</w:t>
      </w:r>
      <w:proofErr w:type="spellEnd"/>
      <w:r w:rsidRPr="00F725E2">
        <w:rPr>
          <w:rFonts w:cs="Arial"/>
          <w:szCs w:val="24"/>
        </w:rPr>
        <w:t xml:space="preserve"> de forma </w:t>
      </w:r>
      <w:proofErr w:type="spellStart"/>
      <w:r w:rsidRPr="00F725E2">
        <w:rPr>
          <w:rFonts w:cs="Arial"/>
          <w:szCs w:val="24"/>
        </w:rPr>
        <w:t>abrangente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ganhou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força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últimas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décadas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século</w:t>
      </w:r>
      <w:proofErr w:type="spellEnd"/>
      <w:r w:rsidRPr="00F725E2">
        <w:rPr>
          <w:rFonts w:cs="Arial"/>
          <w:szCs w:val="24"/>
        </w:rPr>
        <w:t xml:space="preserve"> XX com o </w:t>
      </w:r>
      <w:proofErr w:type="spellStart"/>
      <w:r w:rsidRPr="00F725E2">
        <w:rPr>
          <w:rFonts w:cs="Arial"/>
          <w:szCs w:val="24"/>
        </w:rPr>
        <w:t>surgimento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nova </w:t>
      </w:r>
      <w:proofErr w:type="spellStart"/>
      <w:r w:rsidRPr="00F725E2">
        <w:rPr>
          <w:rFonts w:cs="Arial"/>
          <w:szCs w:val="24"/>
        </w:rPr>
        <w:t>abordagem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gerencial</w:t>
      </w:r>
      <w:proofErr w:type="spellEnd"/>
      <w:r w:rsidRPr="00F725E2">
        <w:rPr>
          <w:rFonts w:cs="Arial"/>
          <w:szCs w:val="24"/>
        </w:rPr>
        <w:t xml:space="preserve">. </w:t>
      </w:r>
      <w:proofErr w:type="spellStart"/>
      <w:r w:rsidRPr="00F725E2">
        <w:rPr>
          <w:rFonts w:cs="Arial"/>
          <w:szCs w:val="24"/>
        </w:rPr>
        <w:t>Conhecida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r w:rsidRPr="00F725E2">
        <w:rPr>
          <w:rFonts w:cs="Arial"/>
          <w:i/>
          <w:iCs/>
          <w:szCs w:val="24"/>
        </w:rPr>
        <w:t>New Public Management</w:t>
      </w:r>
      <w:r w:rsidRPr="00F725E2">
        <w:rPr>
          <w:rFonts w:cs="Arial"/>
          <w:szCs w:val="24"/>
        </w:rPr>
        <w:t xml:space="preserve"> (NPM), </w:t>
      </w:r>
      <w:proofErr w:type="spellStart"/>
      <w:r w:rsidRPr="00F725E2">
        <w:rPr>
          <w:rFonts w:cs="Arial"/>
          <w:szCs w:val="24"/>
        </w:rPr>
        <w:t>essa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proposta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buscava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transformar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Administração</w:t>
      </w:r>
      <w:proofErr w:type="spellEnd"/>
      <w:r w:rsidRPr="00F725E2">
        <w:rPr>
          <w:rFonts w:cs="Arial"/>
          <w:szCs w:val="24"/>
        </w:rPr>
        <w:t xml:space="preserve"> Pública, </w:t>
      </w:r>
      <w:proofErr w:type="spellStart"/>
      <w:r w:rsidRPr="00F725E2">
        <w:rPr>
          <w:rFonts w:cs="Arial"/>
          <w:szCs w:val="24"/>
        </w:rPr>
        <w:t>tornando</w:t>
      </w:r>
      <w:proofErr w:type="spellEnd"/>
      <w:r w:rsidRPr="00F725E2">
        <w:rPr>
          <w:rFonts w:cs="Arial"/>
          <w:szCs w:val="24"/>
        </w:rPr>
        <w:t xml:space="preserve">-a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eficiente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reduzindo</w:t>
      </w:r>
      <w:proofErr w:type="spellEnd"/>
      <w:r w:rsidRPr="00F725E2">
        <w:rPr>
          <w:rFonts w:cs="Arial"/>
          <w:szCs w:val="24"/>
        </w:rPr>
        <w:t xml:space="preserve"> custos e </w:t>
      </w:r>
      <w:proofErr w:type="spellStart"/>
      <w:r w:rsidRPr="00F725E2">
        <w:rPr>
          <w:rFonts w:cs="Arial"/>
          <w:szCs w:val="24"/>
        </w:rPr>
        <w:t>aprimorando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qualidade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serviços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prestados</w:t>
      </w:r>
      <w:proofErr w:type="spellEnd"/>
      <w:r w:rsidRPr="00F725E2">
        <w:rPr>
          <w:rFonts w:cs="Arial"/>
          <w:szCs w:val="24"/>
        </w:rPr>
        <w:t xml:space="preserve"> (Motta, 2013).</w:t>
      </w:r>
    </w:p>
    <w:p w14:paraId="013C2D99" w14:textId="77777777" w:rsidR="00BC3452" w:rsidRPr="00F725E2" w:rsidRDefault="00BC3452" w:rsidP="008836E5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Segundo Motta (2013), o NPM </w:t>
      </w:r>
      <w:proofErr w:type="spellStart"/>
      <w:r w:rsidRPr="00F725E2">
        <w:rPr>
          <w:rFonts w:cs="Arial"/>
          <w:szCs w:val="24"/>
        </w:rPr>
        <w:t>fundamenta</w:t>
      </w:r>
      <w:proofErr w:type="spellEnd"/>
      <w:r w:rsidRPr="00F725E2">
        <w:rPr>
          <w:rFonts w:cs="Arial"/>
          <w:szCs w:val="24"/>
        </w:rPr>
        <w:t xml:space="preserve">-se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três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pilares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principais</w:t>
      </w:r>
      <w:proofErr w:type="spellEnd"/>
      <w:r w:rsidRPr="00F725E2">
        <w:rPr>
          <w:rFonts w:cs="Arial"/>
          <w:szCs w:val="24"/>
        </w:rPr>
        <w:t>:</w:t>
      </w:r>
    </w:p>
    <w:p w14:paraId="7CAE0179" w14:textId="77777777" w:rsidR="00BC3452" w:rsidRPr="00F725E2" w:rsidRDefault="00BC3452" w:rsidP="00BC345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Foco no </w:t>
      </w:r>
      <w:proofErr w:type="spellStart"/>
      <w:r w:rsidRPr="00F725E2">
        <w:rPr>
          <w:rFonts w:eastAsia="Times New Roman" w:cs="Arial"/>
          <w:color w:val="000000"/>
          <w:szCs w:val="24"/>
        </w:rPr>
        <w:t>cidadão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como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cliente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: </w:t>
      </w:r>
      <w:proofErr w:type="gramStart"/>
      <w:r w:rsidRPr="00F725E2">
        <w:rPr>
          <w:rFonts w:eastAsia="Times New Roman" w:cs="Arial"/>
          <w:color w:val="000000"/>
          <w:szCs w:val="24"/>
        </w:rPr>
        <w:t>a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passa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gramStart"/>
      <w:r w:rsidRPr="00F725E2">
        <w:rPr>
          <w:rFonts w:eastAsia="Times New Roman" w:cs="Arial"/>
          <w:color w:val="000000"/>
          <w:szCs w:val="24"/>
        </w:rPr>
        <w:t>a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enxergar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o </w:t>
      </w:r>
      <w:proofErr w:type="spellStart"/>
      <w:r w:rsidRPr="00F725E2">
        <w:rPr>
          <w:rFonts w:eastAsia="Times New Roman" w:cs="Arial"/>
          <w:color w:val="000000"/>
          <w:szCs w:val="24"/>
        </w:rPr>
        <w:lastRenderedPageBreak/>
        <w:t>cidadão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como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um </w:t>
      </w:r>
      <w:proofErr w:type="spellStart"/>
      <w:r w:rsidRPr="00F725E2">
        <w:rPr>
          <w:rFonts w:eastAsia="Times New Roman" w:cs="Arial"/>
          <w:color w:val="000000"/>
          <w:szCs w:val="24"/>
        </w:rPr>
        <w:t>cliente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buscando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atender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suas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necessidades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expectativas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maneira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proofErr w:type="gramStart"/>
      <w:r w:rsidRPr="00F725E2">
        <w:rPr>
          <w:rFonts w:eastAsia="Times New Roman" w:cs="Arial"/>
          <w:color w:val="000000"/>
          <w:szCs w:val="24"/>
        </w:rPr>
        <w:t>personalizada</w:t>
      </w:r>
      <w:proofErr w:type="spellEnd"/>
      <w:r w:rsidRPr="00F725E2">
        <w:rPr>
          <w:rFonts w:eastAsia="Times New Roman" w:cs="Arial"/>
          <w:color w:val="000000"/>
          <w:szCs w:val="24"/>
        </w:rPr>
        <w:t>;</w:t>
      </w:r>
      <w:proofErr w:type="gramEnd"/>
    </w:p>
    <w:p w14:paraId="3A7B7652" w14:textId="77777777" w:rsidR="00BC3452" w:rsidRPr="00F725E2" w:rsidRDefault="00BC3452" w:rsidP="00BC345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/>
        <w:jc w:val="both"/>
        <w:rPr>
          <w:rFonts w:eastAsia="Times New Roman" w:cs="Arial"/>
          <w:color w:val="000000"/>
          <w:szCs w:val="24"/>
        </w:rPr>
      </w:pPr>
      <w:proofErr w:type="spellStart"/>
      <w:r w:rsidRPr="00F725E2">
        <w:rPr>
          <w:rFonts w:eastAsia="Times New Roman" w:cs="Arial"/>
          <w:color w:val="000000"/>
          <w:szCs w:val="24"/>
        </w:rPr>
        <w:t>Autonomia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flexibilidade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na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: a </w:t>
      </w:r>
      <w:proofErr w:type="spellStart"/>
      <w:r w:rsidRPr="00F725E2">
        <w:rPr>
          <w:rFonts w:eastAsia="Times New Roman" w:cs="Arial"/>
          <w:color w:val="000000"/>
          <w:szCs w:val="24"/>
        </w:rPr>
        <w:t>descentralização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administrativa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permite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maior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liberdade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aos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gestores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para </w:t>
      </w:r>
      <w:proofErr w:type="spellStart"/>
      <w:r w:rsidRPr="00F725E2">
        <w:rPr>
          <w:rFonts w:eastAsia="Times New Roman" w:cs="Arial"/>
          <w:color w:val="000000"/>
          <w:szCs w:val="24"/>
        </w:rPr>
        <w:t>tomar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decisões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estratégicas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estabelecer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metas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formalizar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contratos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monitorar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o </w:t>
      </w:r>
      <w:proofErr w:type="spellStart"/>
      <w:r w:rsidRPr="00F725E2">
        <w:rPr>
          <w:rFonts w:eastAsia="Times New Roman" w:cs="Arial"/>
          <w:color w:val="000000"/>
          <w:szCs w:val="24"/>
        </w:rPr>
        <w:t>desempenho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organizacional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promovendo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uma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cultura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baseada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valores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proofErr w:type="gramStart"/>
      <w:r w:rsidRPr="00F725E2">
        <w:rPr>
          <w:rFonts w:eastAsia="Times New Roman" w:cs="Arial"/>
          <w:color w:val="000000"/>
          <w:szCs w:val="24"/>
        </w:rPr>
        <w:t>empresariais</w:t>
      </w:r>
      <w:proofErr w:type="spellEnd"/>
      <w:r w:rsidRPr="00F725E2">
        <w:rPr>
          <w:rFonts w:eastAsia="Times New Roman" w:cs="Arial"/>
          <w:color w:val="000000"/>
          <w:szCs w:val="24"/>
        </w:rPr>
        <w:t>;</w:t>
      </w:r>
      <w:proofErr w:type="gramEnd"/>
    </w:p>
    <w:p w14:paraId="7FF6C6F7" w14:textId="77777777" w:rsidR="008836E5" w:rsidRDefault="00BC3452" w:rsidP="008836E5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"/>
        <w:jc w:val="both"/>
        <w:rPr>
          <w:rFonts w:eastAsia="Times New Roman" w:cs="Arial"/>
          <w:color w:val="000000"/>
          <w:szCs w:val="24"/>
        </w:rPr>
      </w:pPr>
      <w:proofErr w:type="spellStart"/>
      <w:r w:rsidRPr="00F725E2">
        <w:rPr>
          <w:rFonts w:eastAsia="Times New Roman" w:cs="Arial"/>
          <w:color w:val="000000"/>
          <w:szCs w:val="24"/>
        </w:rPr>
        <w:t>Ênfase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resultados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: o </w:t>
      </w:r>
      <w:proofErr w:type="spellStart"/>
      <w:r w:rsidRPr="00F725E2">
        <w:rPr>
          <w:rFonts w:eastAsia="Times New Roman" w:cs="Arial"/>
          <w:color w:val="000000"/>
          <w:szCs w:val="24"/>
        </w:rPr>
        <w:t>uso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metas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indicadores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desempenho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comuns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no </w:t>
      </w:r>
      <w:proofErr w:type="spellStart"/>
      <w:r w:rsidRPr="00F725E2">
        <w:rPr>
          <w:rFonts w:eastAsia="Times New Roman" w:cs="Arial"/>
          <w:color w:val="000000"/>
          <w:szCs w:val="24"/>
        </w:rPr>
        <w:t>planejamento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estratégico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do </w:t>
      </w:r>
      <w:proofErr w:type="spellStart"/>
      <w:r w:rsidRPr="00F725E2">
        <w:rPr>
          <w:rFonts w:eastAsia="Times New Roman" w:cs="Arial"/>
          <w:color w:val="000000"/>
          <w:szCs w:val="24"/>
        </w:rPr>
        <w:t>setor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privado, </w:t>
      </w:r>
      <w:proofErr w:type="spellStart"/>
      <w:r w:rsidRPr="00F725E2">
        <w:rPr>
          <w:rFonts w:eastAsia="Times New Roman" w:cs="Arial"/>
          <w:color w:val="000000"/>
          <w:szCs w:val="24"/>
        </w:rPr>
        <w:t>passa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a ser </w:t>
      </w:r>
      <w:proofErr w:type="spellStart"/>
      <w:r w:rsidRPr="00F725E2">
        <w:rPr>
          <w:rFonts w:eastAsia="Times New Roman" w:cs="Arial"/>
          <w:color w:val="000000"/>
          <w:szCs w:val="24"/>
        </w:rPr>
        <w:t>incorporado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à </w:t>
      </w:r>
      <w:proofErr w:type="spellStart"/>
      <w:r w:rsidRPr="00F725E2">
        <w:rPr>
          <w:rFonts w:eastAsia="Times New Roman" w:cs="Arial"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Pública para </w:t>
      </w:r>
      <w:proofErr w:type="spellStart"/>
      <w:r w:rsidRPr="00F725E2">
        <w:rPr>
          <w:rFonts w:eastAsia="Times New Roman" w:cs="Arial"/>
          <w:color w:val="000000"/>
          <w:szCs w:val="24"/>
        </w:rPr>
        <w:t>garantir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maior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eficiência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accountability.</w:t>
      </w:r>
    </w:p>
    <w:p w14:paraId="478C65EC" w14:textId="7B5B7DD1" w:rsidR="00BC3452" w:rsidRPr="008836E5" w:rsidRDefault="00BC3452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Apesar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avanços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proporcionados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pelo</w:t>
      </w:r>
      <w:proofErr w:type="spellEnd"/>
      <w:r w:rsidRPr="008836E5">
        <w:rPr>
          <w:rFonts w:cs="Arial"/>
          <w:szCs w:val="24"/>
        </w:rPr>
        <w:t xml:space="preserve"> NPM, </w:t>
      </w:r>
      <w:proofErr w:type="spellStart"/>
      <w:r w:rsidRPr="008836E5">
        <w:rPr>
          <w:rFonts w:cs="Arial"/>
          <w:szCs w:val="24"/>
        </w:rPr>
        <w:t>essa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apresentou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desafios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limitações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fragmentação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administrativa</w:t>
      </w:r>
      <w:proofErr w:type="spellEnd"/>
      <w:r w:rsidRPr="008836E5">
        <w:rPr>
          <w:rFonts w:cs="Arial"/>
          <w:szCs w:val="24"/>
        </w:rPr>
        <w:t xml:space="preserve">, o </w:t>
      </w:r>
      <w:proofErr w:type="spellStart"/>
      <w:r w:rsidRPr="008836E5">
        <w:rPr>
          <w:rFonts w:cs="Arial"/>
          <w:szCs w:val="24"/>
        </w:rPr>
        <w:t>foco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excessivo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métricas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financeiras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pouca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atenção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aspectos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sociais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colaborativos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gestão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. Diante </w:t>
      </w:r>
      <w:proofErr w:type="spellStart"/>
      <w:r w:rsidRPr="008836E5">
        <w:rPr>
          <w:rFonts w:cs="Arial"/>
          <w:szCs w:val="24"/>
        </w:rPr>
        <w:t>disso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emergiram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novas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perspectivas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buscavam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superar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limitações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levando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desenvolvimento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conceito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governança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 (Adriano, 2024).</w:t>
      </w:r>
    </w:p>
    <w:p w14:paraId="702EE486" w14:textId="77777777" w:rsidR="00BC3452" w:rsidRPr="008836E5" w:rsidRDefault="00BC3452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Enquanto a </w:t>
      </w:r>
      <w:proofErr w:type="spellStart"/>
      <w:r w:rsidRPr="008836E5">
        <w:rPr>
          <w:rFonts w:cs="Arial"/>
          <w:szCs w:val="24"/>
        </w:rPr>
        <w:t>administração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tradicional</w:t>
      </w:r>
      <w:proofErr w:type="spellEnd"/>
      <w:r w:rsidRPr="008836E5">
        <w:rPr>
          <w:rFonts w:cs="Arial"/>
          <w:szCs w:val="24"/>
        </w:rPr>
        <w:t xml:space="preserve"> via o </w:t>
      </w:r>
      <w:proofErr w:type="spellStart"/>
      <w:r w:rsidRPr="008836E5">
        <w:rPr>
          <w:rFonts w:cs="Arial"/>
          <w:szCs w:val="24"/>
        </w:rPr>
        <w:t>usuário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mero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destinatário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serviços</w:t>
      </w:r>
      <w:proofErr w:type="spellEnd"/>
      <w:r w:rsidRPr="008836E5">
        <w:rPr>
          <w:rFonts w:cs="Arial"/>
          <w:szCs w:val="24"/>
        </w:rPr>
        <w:t xml:space="preserve">, e o NPM o </w:t>
      </w:r>
      <w:proofErr w:type="spellStart"/>
      <w:r w:rsidRPr="008836E5">
        <w:rPr>
          <w:rFonts w:cs="Arial"/>
          <w:szCs w:val="24"/>
        </w:rPr>
        <w:t>tratava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cliente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consumidor</w:t>
      </w:r>
      <w:proofErr w:type="spellEnd"/>
      <w:r w:rsidRPr="008836E5">
        <w:rPr>
          <w:rFonts w:cs="Arial"/>
          <w:szCs w:val="24"/>
        </w:rPr>
        <w:t xml:space="preserve">, a </w:t>
      </w:r>
      <w:proofErr w:type="spellStart"/>
      <w:r w:rsidRPr="008836E5">
        <w:rPr>
          <w:rFonts w:cs="Arial"/>
          <w:szCs w:val="24"/>
        </w:rPr>
        <w:t>governança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 redefine </w:t>
      </w:r>
      <w:proofErr w:type="spellStart"/>
      <w:r w:rsidRPr="008836E5">
        <w:rPr>
          <w:rFonts w:cs="Arial"/>
          <w:szCs w:val="24"/>
        </w:rPr>
        <w:t>esse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papel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posicionando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cidadão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ator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ativo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formulação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implementação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políticas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públicas</w:t>
      </w:r>
      <w:proofErr w:type="spellEnd"/>
      <w:r w:rsidRPr="008836E5">
        <w:rPr>
          <w:rFonts w:cs="Arial"/>
          <w:szCs w:val="24"/>
        </w:rPr>
        <w:t xml:space="preserve">. Nesse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, a </w:t>
      </w:r>
      <w:proofErr w:type="spellStart"/>
      <w:r w:rsidRPr="008836E5">
        <w:rPr>
          <w:rFonts w:cs="Arial"/>
          <w:szCs w:val="24"/>
        </w:rPr>
        <w:t>participação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cidadã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torna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essencial</w:t>
      </w:r>
      <w:proofErr w:type="spellEnd"/>
      <w:r w:rsidRPr="008836E5">
        <w:rPr>
          <w:rFonts w:cs="Arial"/>
          <w:szCs w:val="24"/>
        </w:rPr>
        <w:t xml:space="preserve"> para a </w:t>
      </w:r>
      <w:proofErr w:type="spellStart"/>
      <w:r w:rsidRPr="008836E5">
        <w:rPr>
          <w:rFonts w:cs="Arial"/>
          <w:szCs w:val="24"/>
        </w:rPr>
        <w:t>construção</w:t>
      </w:r>
      <w:proofErr w:type="spellEnd"/>
      <w:r w:rsidRPr="008836E5">
        <w:rPr>
          <w:rFonts w:cs="Arial"/>
          <w:szCs w:val="24"/>
        </w:rPr>
        <w:t xml:space="preserve"> do valor </w:t>
      </w:r>
      <w:proofErr w:type="spellStart"/>
      <w:r w:rsidRPr="008836E5">
        <w:rPr>
          <w:rFonts w:cs="Arial"/>
          <w:szCs w:val="24"/>
        </w:rPr>
        <w:t>público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ampliando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transparência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legitimidade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decisões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governamentais</w:t>
      </w:r>
      <w:proofErr w:type="spellEnd"/>
      <w:r w:rsidRPr="008836E5">
        <w:rPr>
          <w:rFonts w:cs="Arial"/>
          <w:szCs w:val="24"/>
        </w:rPr>
        <w:t xml:space="preserve"> (Cavalcante, 2017).</w:t>
      </w:r>
    </w:p>
    <w:p w14:paraId="5201E80F" w14:textId="77777777" w:rsidR="00BC3452" w:rsidRPr="008836E5" w:rsidRDefault="00BC3452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No </w:t>
      </w:r>
      <w:proofErr w:type="spellStart"/>
      <w:r w:rsidRPr="008836E5">
        <w:rPr>
          <w:rFonts w:cs="Arial"/>
          <w:szCs w:val="24"/>
        </w:rPr>
        <w:t>contexto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pós</w:t>
      </w:r>
      <w:proofErr w:type="spellEnd"/>
      <w:r w:rsidRPr="008836E5">
        <w:rPr>
          <w:rFonts w:cs="Arial"/>
          <w:szCs w:val="24"/>
        </w:rPr>
        <w:t xml:space="preserve">-NPM,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</w:t>
      </w:r>
      <w:proofErr w:type="spellEnd"/>
      <w:r w:rsidRPr="008836E5">
        <w:rPr>
          <w:rFonts w:cs="Arial"/>
          <w:szCs w:val="24"/>
        </w:rPr>
        <w:t xml:space="preserve"> assume um </w:t>
      </w:r>
      <w:proofErr w:type="spellStart"/>
      <w:r w:rsidRPr="008836E5">
        <w:rPr>
          <w:rFonts w:cs="Arial"/>
          <w:szCs w:val="24"/>
        </w:rPr>
        <w:t>papel</w:t>
      </w:r>
      <w:proofErr w:type="spellEnd"/>
      <w:r w:rsidRPr="008836E5">
        <w:rPr>
          <w:rFonts w:cs="Arial"/>
          <w:szCs w:val="24"/>
        </w:rPr>
        <w:t xml:space="preserve"> central, pois </w:t>
      </w:r>
      <w:proofErr w:type="spellStart"/>
      <w:r w:rsidRPr="008836E5">
        <w:rPr>
          <w:rFonts w:cs="Arial"/>
          <w:szCs w:val="24"/>
        </w:rPr>
        <w:t>reflete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mudança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paradigmática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gestão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. Cavalcante (2017) </w:t>
      </w:r>
      <w:proofErr w:type="spellStart"/>
      <w:r w:rsidRPr="008836E5">
        <w:rPr>
          <w:rFonts w:cs="Arial"/>
          <w:szCs w:val="24"/>
        </w:rPr>
        <w:t>destaca</w:t>
      </w:r>
      <w:proofErr w:type="spellEnd"/>
      <w:r w:rsidRPr="008836E5">
        <w:rPr>
          <w:rFonts w:cs="Arial"/>
          <w:szCs w:val="24"/>
        </w:rPr>
        <w:t xml:space="preserve"> que, </w:t>
      </w:r>
      <w:proofErr w:type="spellStart"/>
      <w:r w:rsidRPr="008836E5">
        <w:rPr>
          <w:rFonts w:cs="Arial"/>
          <w:szCs w:val="24"/>
        </w:rPr>
        <w:t>enquanto</w:t>
      </w:r>
      <w:proofErr w:type="spellEnd"/>
      <w:r w:rsidRPr="008836E5">
        <w:rPr>
          <w:rFonts w:cs="Arial"/>
          <w:szCs w:val="24"/>
        </w:rPr>
        <w:t xml:space="preserve"> o NPM </w:t>
      </w:r>
      <w:proofErr w:type="spellStart"/>
      <w:r w:rsidRPr="008836E5">
        <w:rPr>
          <w:rFonts w:cs="Arial"/>
          <w:szCs w:val="24"/>
        </w:rPr>
        <w:t>priorizava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redução</w:t>
      </w:r>
      <w:proofErr w:type="spellEnd"/>
      <w:r w:rsidRPr="008836E5">
        <w:rPr>
          <w:rFonts w:cs="Arial"/>
          <w:szCs w:val="24"/>
        </w:rPr>
        <w:t xml:space="preserve"> de custos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meio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lógica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mercadológica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competitiva</w:t>
      </w:r>
      <w:proofErr w:type="spellEnd"/>
      <w:r w:rsidRPr="008836E5">
        <w:rPr>
          <w:rFonts w:cs="Arial"/>
          <w:szCs w:val="24"/>
        </w:rPr>
        <w:t xml:space="preserve">, o </w:t>
      </w:r>
      <w:proofErr w:type="spellStart"/>
      <w:r w:rsidRPr="008836E5">
        <w:rPr>
          <w:rFonts w:cs="Arial"/>
          <w:szCs w:val="24"/>
        </w:rPr>
        <w:t>pós</w:t>
      </w:r>
      <w:proofErr w:type="spellEnd"/>
      <w:r w:rsidRPr="008836E5">
        <w:rPr>
          <w:rFonts w:cs="Arial"/>
          <w:szCs w:val="24"/>
        </w:rPr>
        <w:t xml:space="preserve">-NPM </w:t>
      </w:r>
      <w:proofErr w:type="spellStart"/>
      <w:r w:rsidRPr="008836E5">
        <w:rPr>
          <w:rFonts w:cs="Arial"/>
          <w:szCs w:val="24"/>
        </w:rPr>
        <w:t>busca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equilibrar</w:t>
      </w:r>
      <w:proofErr w:type="spellEnd"/>
      <w:r w:rsidRPr="008836E5">
        <w:rPr>
          <w:rFonts w:cs="Arial"/>
          <w:szCs w:val="24"/>
        </w:rPr>
        <w:t xml:space="preserve"> esses </w:t>
      </w:r>
      <w:proofErr w:type="spellStart"/>
      <w:r w:rsidRPr="008836E5">
        <w:rPr>
          <w:rFonts w:cs="Arial"/>
          <w:szCs w:val="24"/>
        </w:rPr>
        <w:t>aspectos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visão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integrada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colaborativa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administração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>.</w:t>
      </w:r>
    </w:p>
    <w:p w14:paraId="2E305933" w14:textId="77777777" w:rsidR="00BC3452" w:rsidRPr="008836E5" w:rsidRDefault="00BC3452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Dessa forma,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pós</w:t>
      </w:r>
      <w:proofErr w:type="spellEnd"/>
      <w:r w:rsidRPr="008836E5">
        <w:rPr>
          <w:rFonts w:cs="Arial"/>
          <w:szCs w:val="24"/>
        </w:rPr>
        <w:t xml:space="preserve">-NPM </w:t>
      </w:r>
      <w:proofErr w:type="spellStart"/>
      <w:r w:rsidRPr="008836E5">
        <w:rPr>
          <w:rFonts w:cs="Arial"/>
          <w:szCs w:val="24"/>
        </w:rPr>
        <w:t>configura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ferramenta </w:t>
      </w:r>
      <w:proofErr w:type="spellStart"/>
      <w:r w:rsidRPr="008836E5">
        <w:rPr>
          <w:rFonts w:cs="Arial"/>
          <w:szCs w:val="24"/>
        </w:rPr>
        <w:t>estratégica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promover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governança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inclusiva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transparente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comprometida</w:t>
      </w:r>
      <w:proofErr w:type="spellEnd"/>
      <w:r w:rsidRPr="008836E5">
        <w:rPr>
          <w:rFonts w:cs="Arial"/>
          <w:szCs w:val="24"/>
        </w:rPr>
        <w:t xml:space="preserve"> com o </w:t>
      </w:r>
      <w:proofErr w:type="spellStart"/>
      <w:r w:rsidRPr="008836E5">
        <w:rPr>
          <w:rFonts w:cs="Arial"/>
          <w:szCs w:val="24"/>
        </w:rPr>
        <w:t>bem-estar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coletivo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Além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assegurar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alocação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essa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enfatiza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justiça</w:t>
      </w:r>
      <w:proofErr w:type="spellEnd"/>
      <w:r w:rsidRPr="008836E5">
        <w:rPr>
          <w:rFonts w:cs="Arial"/>
          <w:szCs w:val="24"/>
        </w:rPr>
        <w:t xml:space="preserve"> social e a </w:t>
      </w:r>
      <w:proofErr w:type="spellStart"/>
      <w:r w:rsidRPr="008836E5">
        <w:rPr>
          <w:rFonts w:cs="Arial"/>
          <w:szCs w:val="24"/>
        </w:rPr>
        <w:t>participação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ativa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cidadãos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políticas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fortalecendo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compromisso</w:t>
      </w:r>
      <w:proofErr w:type="spellEnd"/>
      <w:r w:rsidRPr="008836E5">
        <w:rPr>
          <w:rFonts w:cs="Arial"/>
          <w:szCs w:val="24"/>
        </w:rPr>
        <w:t xml:space="preserve"> com a </w:t>
      </w:r>
      <w:proofErr w:type="spellStart"/>
      <w:r w:rsidRPr="008836E5">
        <w:rPr>
          <w:rFonts w:cs="Arial"/>
          <w:szCs w:val="24"/>
        </w:rPr>
        <w:t>criação</w:t>
      </w:r>
      <w:proofErr w:type="spellEnd"/>
      <w:r w:rsidRPr="008836E5">
        <w:rPr>
          <w:rFonts w:cs="Arial"/>
          <w:szCs w:val="24"/>
        </w:rPr>
        <w:t xml:space="preserve"> de valor </w:t>
      </w:r>
      <w:proofErr w:type="spellStart"/>
      <w:r w:rsidRPr="008836E5">
        <w:rPr>
          <w:rFonts w:cs="Arial"/>
          <w:szCs w:val="24"/>
        </w:rPr>
        <w:t>público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sustentabilidade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administrativa</w:t>
      </w:r>
      <w:proofErr w:type="spellEnd"/>
      <w:r w:rsidRPr="008836E5">
        <w:rPr>
          <w:rFonts w:cs="Arial"/>
          <w:szCs w:val="24"/>
        </w:rPr>
        <w:t>.</w:t>
      </w:r>
    </w:p>
    <w:p w14:paraId="24383617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lastRenderedPageBreak/>
        <w:t>3. Metodologia</w:t>
      </w:r>
    </w:p>
    <w:p w14:paraId="2B273EB4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Esta </w:t>
      </w:r>
      <w:proofErr w:type="spellStart"/>
      <w:r w:rsidRPr="008836E5">
        <w:rPr>
          <w:rFonts w:cs="Arial"/>
          <w:szCs w:val="24"/>
        </w:rPr>
        <w:t>pesquisa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caracteriza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estudo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caso</w:t>
      </w:r>
      <w:proofErr w:type="spellEnd"/>
      <w:r w:rsidRPr="008836E5">
        <w:rPr>
          <w:rFonts w:cs="Arial"/>
          <w:szCs w:val="24"/>
        </w:rPr>
        <w:t xml:space="preserve">, tendo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foco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Secretaria</w:t>
      </w:r>
      <w:proofErr w:type="spellEnd"/>
      <w:r w:rsidRPr="008836E5">
        <w:rPr>
          <w:rFonts w:cs="Arial"/>
          <w:szCs w:val="24"/>
        </w:rPr>
        <w:t xml:space="preserve"> de Estado do Meio </w:t>
      </w:r>
      <w:proofErr w:type="spellStart"/>
      <w:r w:rsidRPr="008836E5">
        <w:rPr>
          <w:rFonts w:cs="Arial"/>
          <w:szCs w:val="24"/>
        </w:rPr>
        <w:t>Ambiente</w:t>
      </w:r>
      <w:proofErr w:type="spellEnd"/>
      <w:r w:rsidRPr="008836E5">
        <w:rPr>
          <w:rFonts w:cs="Arial"/>
          <w:szCs w:val="24"/>
        </w:rPr>
        <w:t xml:space="preserve"> e dos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Hídricos</w:t>
      </w:r>
      <w:proofErr w:type="spellEnd"/>
      <w:r w:rsidRPr="008836E5">
        <w:rPr>
          <w:rFonts w:cs="Arial"/>
          <w:szCs w:val="24"/>
        </w:rPr>
        <w:t xml:space="preserve"> do Rio Grande do Norte (SEMARH/RN). Em </w:t>
      </w:r>
      <w:proofErr w:type="spellStart"/>
      <w:r w:rsidRPr="008836E5">
        <w:rPr>
          <w:rFonts w:cs="Arial"/>
          <w:szCs w:val="24"/>
        </w:rPr>
        <w:t>termos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metodológicos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classifica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descritiva</w:t>
      </w:r>
      <w:proofErr w:type="spellEnd"/>
      <w:r w:rsidRPr="008836E5">
        <w:rPr>
          <w:rFonts w:cs="Arial"/>
          <w:szCs w:val="24"/>
        </w:rPr>
        <w:t xml:space="preserve"> e documental </w:t>
      </w:r>
      <w:proofErr w:type="spellStart"/>
      <w:r w:rsidRPr="008836E5">
        <w:rPr>
          <w:rFonts w:cs="Arial"/>
          <w:szCs w:val="24"/>
        </w:rPr>
        <w:t>quanto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procedimentos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adotados</w:t>
      </w:r>
      <w:proofErr w:type="spellEnd"/>
      <w:r w:rsidRPr="008836E5">
        <w:rPr>
          <w:rFonts w:cs="Arial"/>
          <w:szCs w:val="24"/>
        </w:rPr>
        <w:t xml:space="preserve">, e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quantitativa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qualitativa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à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problema</w:t>
      </w:r>
      <w:proofErr w:type="spellEnd"/>
      <w:r w:rsidRPr="008836E5">
        <w:rPr>
          <w:rFonts w:cs="Arial"/>
          <w:szCs w:val="24"/>
        </w:rPr>
        <w:t>.</w:t>
      </w:r>
    </w:p>
    <w:p w14:paraId="1B9D3B09" w14:textId="040AB140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Para </w:t>
      </w:r>
      <w:proofErr w:type="spellStart"/>
      <w:r w:rsidRPr="008836E5">
        <w:rPr>
          <w:rFonts w:cs="Arial"/>
          <w:szCs w:val="24"/>
        </w:rPr>
        <w:t>analisar</w:t>
      </w:r>
      <w:proofErr w:type="spellEnd"/>
      <w:r w:rsidRPr="008836E5">
        <w:rPr>
          <w:rFonts w:cs="Arial"/>
          <w:szCs w:val="24"/>
        </w:rPr>
        <w:t xml:space="preserve"> </w:t>
      </w:r>
      <w:r w:rsidRPr="008836E5">
        <w:rPr>
          <w:rFonts w:cs="Arial"/>
          <w:szCs w:val="24"/>
        </w:rPr>
        <w:t>à</w:t>
      </w:r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construção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instalação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coordenada</w:t>
      </w:r>
      <w:proofErr w:type="spellEnd"/>
      <w:r w:rsidRPr="008836E5">
        <w:rPr>
          <w:rFonts w:cs="Arial"/>
          <w:szCs w:val="24"/>
        </w:rPr>
        <w:t xml:space="preserve"> pela SEMARH/RN,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estabelecido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regressão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baseado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Araújo (2017). Esse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objetivo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verificar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entre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considerando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correntes</w:t>
      </w:r>
      <w:proofErr w:type="spellEnd"/>
      <w:r w:rsidRPr="008836E5">
        <w:rPr>
          <w:rFonts w:cs="Arial"/>
          <w:szCs w:val="24"/>
        </w:rPr>
        <w:t xml:space="preserve">) e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de capital), e a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construídos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trimestre</w:t>
      </w:r>
      <w:proofErr w:type="spellEnd"/>
      <w:r w:rsidRPr="008836E5">
        <w:rPr>
          <w:rFonts w:cs="Arial"/>
          <w:szCs w:val="24"/>
        </w:rPr>
        <w:t xml:space="preserve">.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equação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é </w:t>
      </w:r>
      <w:proofErr w:type="spellStart"/>
      <w:r w:rsidRPr="008836E5">
        <w:rPr>
          <w:rFonts w:cs="Arial"/>
          <w:szCs w:val="24"/>
        </w:rPr>
        <w:t>apresentada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fórmula</w:t>
      </w:r>
      <w:proofErr w:type="spellEnd"/>
      <w:r w:rsidRPr="008836E5">
        <w:rPr>
          <w:rFonts w:cs="Arial"/>
          <w:szCs w:val="24"/>
        </w:rPr>
        <w:t xml:space="preserve">: </w:t>
      </w:r>
      <w:proofErr w:type="spellStart"/>
      <w:r w:rsidRPr="008836E5">
        <w:rPr>
          <w:rFonts w:cs="Arial"/>
          <w:szCs w:val="24"/>
        </w:rPr>
        <w:t>θit</w:t>
      </w:r>
      <w:proofErr w:type="spellEnd"/>
      <w:r w:rsidRPr="008836E5">
        <w:rPr>
          <w:rFonts w:cs="Arial"/>
          <w:szCs w:val="24"/>
        </w:rPr>
        <w:t xml:space="preserve"> ​= β0​+β1​</w:t>
      </w:r>
      <w:proofErr w:type="spellStart"/>
      <w:r w:rsidRPr="008836E5">
        <w:rPr>
          <w:rFonts w:cs="Arial"/>
          <w:szCs w:val="24"/>
        </w:rPr>
        <w:t>Operit</w:t>
      </w:r>
      <w:proofErr w:type="spellEnd"/>
      <w:r w:rsidRPr="008836E5">
        <w:rPr>
          <w:rFonts w:cs="Arial"/>
          <w:szCs w:val="24"/>
        </w:rPr>
        <w:t>​+β2​</w:t>
      </w:r>
      <w:proofErr w:type="spellStart"/>
      <w:r w:rsidRPr="008836E5">
        <w:rPr>
          <w:rFonts w:cs="Arial"/>
          <w:szCs w:val="24"/>
        </w:rPr>
        <w:t>Investit</w:t>
      </w:r>
      <w:proofErr w:type="spellEnd"/>
      <w:r w:rsidRPr="008836E5">
        <w:rPr>
          <w:rFonts w:cs="Arial"/>
          <w:szCs w:val="24"/>
        </w:rPr>
        <w:t>​+ε. Onde:</w:t>
      </w:r>
    </w:p>
    <w:p w14:paraId="79EE9238" w14:textId="77777777" w:rsidR="00D0376E" w:rsidRPr="008836E5" w:rsidRDefault="00D0376E" w:rsidP="008836E5">
      <w:pPr>
        <w:pStyle w:val="PargrafodaLista"/>
        <w:numPr>
          <w:ilvl w:val="0"/>
          <w:numId w:val="18"/>
        </w:num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θit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representa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construídos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trimestre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contínua</w:t>
      </w:r>
      <w:proofErr w:type="spellEnd"/>
      <w:proofErr w:type="gramStart"/>
      <w:r w:rsidRPr="008836E5">
        <w:rPr>
          <w:rFonts w:cs="Arial"/>
          <w:szCs w:val="24"/>
        </w:rPr>
        <w:t>);</w:t>
      </w:r>
      <w:proofErr w:type="gramEnd"/>
    </w:p>
    <w:p w14:paraId="506C7943" w14:textId="77777777" w:rsidR="00D0376E" w:rsidRPr="008836E5" w:rsidRDefault="00D0376E" w:rsidP="008836E5">
      <w:pPr>
        <w:pStyle w:val="PargrafodaLista"/>
        <w:numPr>
          <w:ilvl w:val="0"/>
          <w:numId w:val="18"/>
        </w:num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Operit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corresponde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total das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incluindo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contínua</w:t>
      </w:r>
      <w:proofErr w:type="spellEnd"/>
      <w:proofErr w:type="gramStart"/>
      <w:r w:rsidRPr="008836E5">
        <w:rPr>
          <w:rFonts w:cs="Arial"/>
          <w:szCs w:val="24"/>
        </w:rPr>
        <w:t>);</w:t>
      </w:r>
      <w:proofErr w:type="gramEnd"/>
    </w:p>
    <w:p w14:paraId="6C74D02F" w14:textId="77777777" w:rsidR="00D0376E" w:rsidRPr="008836E5" w:rsidRDefault="00D0376E" w:rsidP="008836E5">
      <w:pPr>
        <w:pStyle w:val="PargrafodaLista"/>
        <w:numPr>
          <w:ilvl w:val="0"/>
          <w:numId w:val="18"/>
        </w:num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Investit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representa</w:t>
      </w:r>
      <w:proofErr w:type="spellEnd"/>
      <w:r w:rsidRPr="008836E5">
        <w:rPr>
          <w:rFonts w:cs="Arial"/>
          <w:szCs w:val="24"/>
        </w:rPr>
        <w:t xml:space="preserve"> o total de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destinadas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contínua</w:t>
      </w:r>
      <w:proofErr w:type="spellEnd"/>
      <w:r w:rsidRPr="008836E5">
        <w:rPr>
          <w:rFonts w:cs="Arial"/>
          <w:szCs w:val="24"/>
        </w:rPr>
        <w:t xml:space="preserve">). De </w:t>
      </w:r>
      <w:proofErr w:type="spellStart"/>
      <w:r w:rsidRPr="008836E5">
        <w:rPr>
          <w:rFonts w:cs="Arial"/>
          <w:szCs w:val="24"/>
        </w:rPr>
        <w:t>acordo</w:t>
      </w:r>
      <w:proofErr w:type="spellEnd"/>
      <w:r w:rsidRPr="008836E5">
        <w:rPr>
          <w:rFonts w:cs="Arial"/>
          <w:szCs w:val="24"/>
        </w:rPr>
        <w:t xml:space="preserve"> com a Lei nº 4.320/1964, que </w:t>
      </w:r>
      <w:proofErr w:type="spellStart"/>
      <w:r w:rsidRPr="008836E5">
        <w:rPr>
          <w:rFonts w:cs="Arial"/>
          <w:szCs w:val="24"/>
        </w:rPr>
        <w:t>estabelece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normas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gerais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direito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financeiro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elaboração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controle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orçamentos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balanços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União</w:t>
      </w:r>
      <w:proofErr w:type="spellEnd"/>
      <w:r w:rsidRPr="008836E5">
        <w:rPr>
          <w:rFonts w:cs="Arial"/>
          <w:szCs w:val="24"/>
        </w:rPr>
        <w:t xml:space="preserve">, dos </w:t>
      </w:r>
      <w:proofErr w:type="spellStart"/>
      <w:r w:rsidRPr="008836E5">
        <w:rPr>
          <w:rFonts w:cs="Arial"/>
          <w:szCs w:val="24"/>
        </w:rPr>
        <w:t>Estados</w:t>
      </w:r>
      <w:proofErr w:type="spellEnd"/>
      <w:r w:rsidRPr="008836E5">
        <w:rPr>
          <w:rFonts w:cs="Arial"/>
          <w:szCs w:val="24"/>
        </w:rPr>
        <w:t xml:space="preserve">, dos </w:t>
      </w:r>
      <w:proofErr w:type="spellStart"/>
      <w:r w:rsidRPr="008836E5">
        <w:rPr>
          <w:rFonts w:cs="Arial"/>
          <w:szCs w:val="24"/>
        </w:rPr>
        <w:t>Municípios</w:t>
      </w:r>
      <w:proofErr w:type="spellEnd"/>
      <w:r w:rsidRPr="008836E5">
        <w:rPr>
          <w:rFonts w:cs="Arial"/>
          <w:szCs w:val="24"/>
        </w:rPr>
        <w:t xml:space="preserve"> e do Distrito Federal, as </w:t>
      </w:r>
      <w:proofErr w:type="spellStart"/>
      <w:r w:rsidRPr="008836E5">
        <w:rPr>
          <w:rFonts w:cs="Arial"/>
          <w:szCs w:val="24"/>
        </w:rPr>
        <w:t>obras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classificadas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despesa</w:t>
      </w:r>
      <w:proofErr w:type="spellEnd"/>
      <w:r w:rsidRPr="008836E5">
        <w:rPr>
          <w:rFonts w:cs="Arial"/>
          <w:szCs w:val="24"/>
        </w:rPr>
        <w:t xml:space="preserve"> de capital,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especificamente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categoria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>.</w:t>
      </w:r>
    </w:p>
    <w:p w14:paraId="4581B4C7" w14:textId="77777777" w:rsidR="008836E5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A </w:t>
      </w:r>
      <w:proofErr w:type="spellStart"/>
      <w:r w:rsidRPr="008836E5">
        <w:rPr>
          <w:rFonts w:cs="Arial"/>
          <w:szCs w:val="24"/>
        </w:rPr>
        <w:t>utilização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Linear </w:t>
      </w:r>
      <w:proofErr w:type="spellStart"/>
      <w:r w:rsidRPr="008836E5">
        <w:rPr>
          <w:rFonts w:cs="Arial"/>
          <w:szCs w:val="24"/>
        </w:rPr>
        <w:t>Generalizado</w:t>
      </w:r>
      <w:proofErr w:type="spellEnd"/>
      <w:r w:rsidRPr="008836E5">
        <w:rPr>
          <w:rFonts w:cs="Arial"/>
          <w:szCs w:val="24"/>
        </w:rPr>
        <w:t xml:space="preserve"> (GLM)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considerada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apropriada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essa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regressão</w:t>
      </w:r>
      <w:proofErr w:type="spellEnd"/>
      <w:r w:rsidRPr="008836E5">
        <w:rPr>
          <w:rFonts w:cs="Arial"/>
          <w:szCs w:val="24"/>
        </w:rPr>
        <w:t xml:space="preserve">, pois </w:t>
      </w:r>
      <w:proofErr w:type="spellStart"/>
      <w:r w:rsidRPr="008836E5">
        <w:rPr>
          <w:rFonts w:cs="Arial"/>
          <w:szCs w:val="24"/>
        </w:rPr>
        <w:t>permite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trabalhar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diferentes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distribuições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normal, binomial e Poisson. Esse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é </w:t>
      </w:r>
      <w:proofErr w:type="spellStart"/>
      <w:r w:rsidRPr="008836E5">
        <w:rPr>
          <w:rFonts w:cs="Arial"/>
          <w:szCs w:val="24"/>
        </w:rPr>
        <w:t>particularmente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útil</w:t>
      </w:r>
      <w:proofErr w:type="spellEnd"/>
      <w:r w:rsidRPr="008836E5">
        <w:rPr>
          <w:rFonts w:cs="Arial"/>
          <w:szCs w:val="24"/>
        </w:rPr>
        <w:t xml:space="preserve"> para dados </w:t>
      </w:r>
      <w:proofErr w:type="spellStart"/>
      <w:r w:rsidRPr="008836E5">
        <w:rPr>
          <w:rFonts w:cs="Arial"/>
          <w:szCs w:val="24"/>
        </w:rPr>
        <w:t>longitudinais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que 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segue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distribuição</w:t>
      </w:r>
      <w:proofErr w:type="spellEnd"/>
      <w:r w:rsidRPr="008836E5">
        <w:rPr>
          <w:rFonts w:cs="Arial"/>
          <w:szCs w:val="24"/>
        </w:rPr>
        <w:t xml:space="preserve"> normal </w:t>
      </w:r>
      <w:proofErr w:type="spellStart"/>
      <w:r w:rsidRPr="008836E5">
        <w:rPr>
          <w:rFonts w:cs="Arial"/>
          <w:szCs w:val="24"/>
        </w:rPr>
        <w:t>tradicional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Além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disso</w:t>
      </w:r>
      <w:proofErr w:type="spellEnd"/>
      <w:r w:rsidRPr="008836E5">
        <w:rPr>
          <w:rFonts w:cs="Arial"/>
          <w:szCs w:val="24"/>
        </w:rPr>
        <w:t xml:space="preserve">, o GLM é </w:t>
      </w:r>
      <w:proofErr w:type="spellStart"/>
      <w:r w:rsidRPr="008836E5">
        <w:rPr>
          <w:rFonts w:cs="Arial"/>
          <w:szCs w:val="24"/>
        </w:rPr>
        <w:t>adequado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situações</w:t>
      </w:r>
      <w:proofErr w:type="spellEnd"/>
      <w:r w:rsidRPr="008836E5">
        <w:rPr>
          <w:rFonts w:cs="Arial"/>
          <w:szCs w:val="24"/>
        </w:rPr>
        <w:t xml:space="preserve"> com um </w:t>
      </w:r>
      <w:proofErr w:type="spellStart"/>
      <w:r w:rsidRPr="008836E5">
        <w:rPr>
          <w:rFonts w:cs="Arial"/>
          <w:szCs w:val="24"/>
        </w:rPr>
        <w:t>número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reduzido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observações</w:t>
      </w:r>
      <w:proofErr w:type="spellEnd"/>
      <w:r w:rsidRPr="008836E5">
        <w:rPr>
          <w:rFonts w:cs="Arial"/>
          <w:szCs w:val="24"/>
        </w:rPr>
        <w:t xml:space="preserve">, pois </w:t>
      </w:r>
      <w:proofErr w:type="spellStart"/>
      <w:r w:rsidRPr="008836E5">
        <w:rPr>
          <w:rFonts w:cs="Arial"/>
          <w:szCs w:val="24"/>
        </w:rPr>
        <w:t>permite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estimativas</w:t>
      </w:r>
      <w:proofErr w:type="spellEnd"/>
      <w:r w:rsidRPr="008836E5">
        <w:rPr>
          <w:rFonts w:cs="Arial"/>
          <w:szCs w:val="24"/>
        </w:rPr>
        <w:t xml:space="preserve"> robustas </w:t>
      </w:r>
      <w:proofErr w:type="spellStart"/>
      <w:r w:rsidRPr="008836E5">
        <w:rPr>
          <w:rFonts w:cs="Arial"/>
          <w:szCs w:val="24"/>
        </w:rPr>
        <w:t>mesmo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conjuntos de dados </w:t>
      </w:r>
      <w:proofErr w:type="spellStart"/>
      <w:r w:rsidRPr="008836E5">
        <w:rPr>
          <w:rFonts w:cs="Arial"/>
          <w:szCs w:val="24"/>
        </w:rPr>
        <w:t>pequenos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garantindo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bom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ajuste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violação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pressupostos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estatísticos</w:t>
      </w:r>
      <w:proofErr w:type="spellEnd"/>
      <w:r w:rsidRPr="008836E5">
        <w:rPr>
          <w:rFonts w:cs="Arial"/>
          <w:szCs w:val="24"/>
        </w:rPr>
        <w:t>.</w:t>
      </w:r>
    </w:p>
    <w:p w14:paraId="003A6544" w14:textId="451B5B13" w:rsidR="00D0376E" w:rsidRPr="008836E5" w:rsidRDefault="00D0376E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dados </w:t>
      </w:r>
      <w:proofErr w:type="spellStart"/>
      <w:r w:rsidRPr="008836E5">
        <w:rPr>
          <w:rFonts w:cs="Arial"/>
          <w:szCs w:val="24"/>
        </w:rPr>
        <w:t>utilizados</w:t>
      </w:r>
      <w:proofErr w:type="spellEnd"/>
      <w:r w:rsidRPr="008836E5">
        <w:rPr>
          <w:rFonts w:cs="Arial"/>
          <w:szCs w:val="24"/>
        </w:rPr>
        <w:t xml:space="preserve"> para </w:t>
      </w:r>
      <w:r w:rsidRPr="008836E5">
        <w:rPr>
          <w:rFonts w:cs="Arial"/>
          <w:szCs w:val="24"/>
        </w:rPr>
        <w:t>à</w:t>
      </w:r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referem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aos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entre 2022 e 2024 e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fornecidos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Coordenadoria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Hidrogeologia</w:t>
      </w:r>
      <w:proofErr w:type="spellEnd"/>
      <w:r w:rsidRPr="008836E5">
        <w:rPr>
          <w:rFonts w:cs="Arial"/>
          <w:szCs w:val="24"/>
        </w:rPr>
        <w:t xml:space="preserve"> (COHIDRO) da SEMARH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26 de </w:t>
      </w:r>
      <w:proofErr w:type="spellStart"/>
      <w:r w:rsidRPr="008836E5">
        <w:rPr>
          <w:rFonts w:cs="Arial"/>
          <w:szCs w:val="24"/>
        </w:rPr>
        <w:t>agosto</w:t>
      </w:r>
      <w:proofErr w:type="spellEnd"/>
      <w:r w:rsidRPr="008836E5">
        <w:rPr>
          <w:rFonts w:cs="Arial"/>
          <w:szCs w:val="24"/>
        </w:rPr>
        <w:t xml:space="preserve"> de 2024. No </w:t>
      </w:r>
      <w:proofErr w:type="spellStart"/>
      <w:r w:rsidRPr="008836E5">
        <w:rPr>
          <w:rFonts w:cs="Arial"/>
          <w:szCs w:val="24"/>
        </w:rPr>
        <w:t>entanto</w:t>
      </w:r>
      <w:proofErr w:type="spellEnd"/>
      <w:r w:rsidRPr="008836E5">
        <w:rPr>
          <w:rFonts w:cs="Arial"/>
          <w:szCs w:val="24"/>
        </w:rPr>
        <w:t xml:space="preserve">, o </w:t>
      </w:r>
      <w:proofErr w:type="spellStart"/>
      <w:r w:rsidRPr="008836E5">
        <w:rPr>
          <w:rFonts w:cs="Arial"/>
          <w:szCs w:val="24"/>
        </w:rPr>
        <w:t>quantitativo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agosto</w:t>
      </w:r>
      <w:proofErr w:type="spellEnd"/>
      <w:r w:rsidRPr="008836E5">
        <w:rPr>
          <w:rFonts w:cs="Arial"/>
          <w:szCs w:val="24"/>
        </w:rPr>
        <w:t xml:space="preserve"> de 2024 </w:t>
      </w:r>
      <w:proofErr w:type="spellStart"/>
      <w:r w:rsidRPr="008836E5">
        <w:rPr>
          <w:rFonts w:cs="Arial"/>
          <w:szCs w:val="24"/>
        </w:rPr>
        <w:t>ainda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proofErr w:type="gramStart"/>
      <w:r w:rsidRPr="008836E5">
        <w:rPr>
          <w:rFonts w:cs="Arial"/>
          <w:szCs w:val="24"/>
        </w:rPr>
        <w:t>não</w:t>
      </w:r>
      <w:proofErr w:type="spellEnd"/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consolidado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momento</w:t>
      </w:r>
      <w:proofErr w:type="spellEnd"/>
      <w:r w:rsidRPr="008836E5">
        <w:rPr>
          <w:rFonts w:cs="Arial"/>
          <w:szCs w:val="24"/>
        </w:rPr>
        <w:t xml:space="preserve"> da coleta. O </w:t>
      </w:r>
      <w:proofErr w:type="spellStart"/>
      <w:r w:rsidRPr="008836E5">
        <w:rPr>
          <w:rFonts w:cs="Arial"/>
          <w:szCs w:val="24"/>
        </w:rPr>
        <w:t>estudo</w:t>
      </w:r>
      <w:proofErr w:type="spellEnd"/>
      <w:r w:rsidRPr="008836E5">
        <w:rPr>
          <w:rFonts w:cs="Arial"/>
          <w:szCs w:val="24"/>
        </w:rPr>
        <w:t xml:space="preserve"> de Araújo (2017) </w:t>
      </w:r>
      <w:proofErr w:type="spellStart"/>
      <w:r w:rsidRPr="008836E5">
        <w:rPr>
          <w:rFonts w:cs="Arial"/>
          <w:szCs w:val="24"/>
        </w:rPr>
        <w:t>serviu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referência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avaliar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alocação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com base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dados </w:t>
      </w:r>
      <w:proofErr w:type="spellStart"/>
      <w:r w:rsidRPr="008836E5">
        <w:rPr>
          <w:rFonts w:cs="Arial"/>
          <w:szCs w:val="24"/>
        </w:rPr>
        <w:t>orçamentários</w:t>
      </w:r>
      <w:proofErr w:type="spellEnd"/>
      <w:r w:rsidRPr="008836E5">
        <w:rPr>
          <w:rFonts w:cs="Arial"/>
          <w:szCs w:val="24"/>
        </w:rPr>
        <w:t>.</w:t>
      </w:r>
    </w:p>
    <w:p w14:paraId="5B4B90E8" w14:textId="26FC6E26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Para </w:t>
      </w:r>
      <w:proofErr w:type="spellStart"/>
      <w:r w:rsidRPr="008836E5">
        <w:rPr>
          <w:rFonts w:cs="Arial"/>
          <w:szCs w:val="24"/>
        </w:rPr>
        <w:t>complementar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quantitativa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proporcionar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contextualização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ampla</w:t>
      </w:r>
      <w:proofErr w:type="spellEnd"/>
      <w:r w:rsidRPr="008836E5">
        <w:rPr>
          <w:rFonts w:cs="Arial"/>
          <w:szCs w:val="24"/>
        </w:rPr>
        <w:t xml:space="preserve"> dos dados,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realizadas</w:t>
      </w:r>
      <w:proofErr w:type="spellEnd"/>
      <w:r w:rsidRPr="008836E5">
        <w:rPr>
          <w:rFonts w:cs="Arial"/>
          <w:szCs w:val="24"/>
        </w:rPr>
        <w:t xml:space="preserve"> duas </w:t>
      </w:r>
      <w:proofErr w:type="spellStart"/>
      <w:r w:rsidRPr="008836E5">
        <w:rPr>
          <w:rFonts w:cs="Arial"/>
          <w:szCs w:val="24"/>
        </w:rPr>
        <w:t>entrevistas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estruturadas</w:t>
      </w:r>
      <w:proofErr w:type="spellEnd"/>
      <w:r w:rsidRPr="008836E5">
        <w:rPr>
          <w:rFonts w:cs="Arial"/>
          <w:szCs w:val="24"/>
        </w:rPr>
        <w:t xml:space="preserve">, a </w:t>
      </w:r>
      <w:proofErr w:type="spellStart"/>
      <w:r w:rsidRPr="008836E5">
        <w:rPr>
          <w:rFonts w:cs="Arial"/>
          <w:szCs w:val="24"/>
        </w:rPr>
        <w:t>fim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averiguar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ações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visem</w:t>
      </w:r>
      <w:proofErr w:type="spellEnd"/>
      <w:r w:rsidRPr="008836E5">
        <w:rPr>
          <w:rFonts w:cs="Arial"/>
          <w:szCs w:val="24"/>
        </w:rPr>
        <w:t xml:space="preserve"> </w:t>
      </w:r>
      <w:r w:rsidRPr="008836E5">
        <w:rPr>
          <w:rFonts w:cs="Arial"/>
          <w:szCs w:val="24"/>
        </w:rPr>
        <w:t>à</w:t>
      </w:r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construção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lastRenderedPageBreak/>
        <w:t>instalação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. Essa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permitiu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flexibilidade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coleta de </w:t>
      </w:r>
      <w:proofErr w:type="spellStart"/>
      <w:r w:rsidRPr="008836E5">
        <w:rPr>
          <w:rFonts w:cs="Arial"/>
          <w:szCs w:val="24"/>
        </w:rPr>
        <w:t>informações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qualitativas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sobre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processo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perfuração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participantes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selecionados</w:t>
      </w:r>
      <w:proofErr w:type="spellEnd"/>
      <w:r w:rsidRPr="008836E5">
        <w:rPr>
          <w:rFonts w:cs="Arial"/>
          <w:szCs w:val="24"/>
        </w:rPr>
        <w:t xml:space="preserve"> com base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conhecimento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sobre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tema</w:t>
      </w:r>
      <w:proofErr w:type="spellEnd"/>
      <w:r w:rsidRPr="008836E5">
        <w:rPr>
          <w:rFonts w:cs="Arial"/>
          <w:szCs w:val="24"/>
        </w:rPr>
        <w:t xml:space="preserve">. A </w:t>
      </w:r>
      <w:proofErr w:type="spellStart"/>
      <w:r w:rsidRPr="008836E5">
        <w:rPr>
          <w:rFonts w:cs="Arial"/>
          <w:szCs w:val="24"/>
        </w:rPr>
        <w:t>primeira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entrevista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conduzida</w:t>
      </w:r>
      <w:proofErr w:type="spellEnd"/>
      <w:r w:rsidRPr="008836E5">
        <w:rPr>
          <w:rFonts w:cs="Arial"/>
          <w:szCs w:val="24"/>
        </w:rPr>
        <w:t xml:space="preserve"> via WhatsApp com o </w:t>
      </w:r>
      <w:proofErr w:type="spellStart"/>
      <w:r w:rsidRPr="008836E5">
        <w:rPr>
          <w:rFonts w:cs="Arial"/>
          <w:szCs w:val="24"/>
        </w:rPr>
        <w:t>Colaborador</w:t>
      </w:r>
      <w:proofErr w:type="spellEnd"/>
      <w:r w:rsidRPr="008836E5">
        <w:rPr>
          <w:rFonts w:cs="Arial"/>
          <w:szCs w:val="24"/>
        </w:rPr>
        <w:t xml:space="preserve"> 1 para </w:t>
      </w:r>
      <w:proofErr w:type="spellStart"/>
      <w:r w:rsidRPr="008836E5">
        <w:rPr>
          <w:rFonts w:cs="Arial"/>
          <w:szCs w:val="24"/>
        </w:rPr>
        <w:t>esclarecer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dúvida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pontual</w:t>
      </w:r>
      <w:proofErr w:type="spellEnd"/>
      <w:r w:rsidRPr="008836E5">
        <w:rPr>
          <w:rFonts w:cs="Arial"/>
          <w:szCs w:val="24"/>
        </w:rPr>
        <w:t xml:space="preserve">. A </w:t>
      </w:r>
      <w:proofErr w:type="spellStart"/>
      <w:r w:rsidRPr="008836E5">
        <w:rPr>
          <w:rFonts w:cs="Arial"/>
          <w:szCs w:val="24"/>
        </w:rPr>
        <w:t>segunda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entrevista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ocorreu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presencialmente</w:t>
      </w:r>
      <w:proofErr w:type="spellEnd"/>
      <w:r w:rsidRPr="008836E5">
        <w:rPr>
          <w:rFonts w:cs="Arial"/>
          <w:szCs w:val="24"/>
        </w:rPr>
        <w:t xml:space="preserve"> com o </w:t>
      </w:r>
      <w:proofErr w:type="spellStart"/>
      <w:r w:rsidRPr="008836E5">
        <w:rPr>
          <w:rFonts w:cs="Arial"/>
          <w:szCs w:val="24"/>
        </w:rPr>
        <w:t>Colaborador</w:t>
      </w:r>
      <w:proofErr w:type="spellEnd"/>
      <w:r w:rsidRPr="008836E5">
        <w:rPr>
          <w:rFonts w:cs="Arial"/>
          <w:szCs w:val="24"/>
        </w:rPr>
        <w:t xml:space="preserve"> 2 e </w:t>
      </w:r>
      <w:proofErr w:type="spellStart"/>
      <w:r w:rsidRPr="008836E5">
        <w:rPr>
          <w:rFonts w:cs="Arial"/>
          <w:szCs w:val="24"/>
        </w:rPr>
        <w:t>abordou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funcionamento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geral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ações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setor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contexto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perfuração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>.</w:t>
      </w:r>
    </w:p>
    <w:p w14:paraId="76F41E9B" w14:textId="2B42506C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obtidas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meio</w:t>
      </w:r>
      <w:proofErr w:type="spellEnd"/>
      <w:r w:rsidRPr="008836E5">
        <w:rPr>
          <w:rFonts w:cs="Arial"/>
          <w:szCs w:val="24"/>
        </w:rPr>
        <w:t xml:space="preserve"> do Sistema </w:t>
      </w:r>
      <w:proofErr w:type="spellStart"/>
      <w:r w:rsidRPr="008836E5">
        <w:rPr>
          <w:rFonts w:cs="Arial"/>
          <w:szCs w:val="24"/>
        </w:rPr>
        <w:t>Integrado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Planejamento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Gestão</w:t>
      </w:r>
      <w:proofErr w:type="spellEnd"/>
      <w:r w:rsidRPr="008836E5">
        <w:rPr>
          <w:rFonts w:cs="Arial"/>
          <w:szCs w:val="24"/>
        </w:rPr>
        <w:t xml:space="preserve"> Fiscal (SIGEF). Para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estatística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optou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pelo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uso</w:t>
      </w:r>
      <w:proofErr w:type="spellEnd"/>
      <w:r w:rsidRPr="008836E5">
        <w:rPr>
          <w:rFonts w:cs="Arial"/>
          <w:szCs w:val="24"/>
        </w:rPr>
        <w:t xml:space="preserve"> de dados </w:t>
      </w:r>
      <w:proofErr w:type="spellStart"/>
      <w:r w:rsidRPr="008836E5">
        <w:rPr>
          <w:rFonts w:cs="Arial"/>
          <w:szCs w:val="24"/>
        </w:rPr>
        <w:t>trimestrais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vez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gastos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terceiros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ocorrem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mensalmente</w:t>
      </w:r>
      <w:proofErr w:type="spellEnd"/>
      <w:r w:rsidRPr="008836E5">
        <w:rPr>
          <w:rFonts w:cs="Arial"/>
          <w:szCs w:val="24"/>
        </w:rPr>
        <w:t xml:space="preserve"> e as </w:t>
      </w:r>
      <w:proofErr w:type="spellStart"/>
      <w:r w:rsidRPr="008836E5">
        <w:rPr>
          <w:rFonts w:cs="Arial"/>
          <w:szCs w:val="24"/>
        </w:rPr>
        <w:t>empresas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necessitam</w:t>
      </w:r>
      <w:proofErr w:type="spellEnd"/>
      <w:r w:rsidRPr="008836E5">
        <w:rPr>
          <w:rFonts w:cs="Arial"/>
          <w:szCs w:val="24"/>
        </w:rPr>
        <w:t xml:space="preserve"> de um </w:t>
      </w:r>
      <w:proofErr w:type="spellStart"/>
      <w:r w:rsidRPr="008836E5">
        <w:rPr>
          <w:rFonts w:cs="Arial"/>
          <w:szCs w:val="24"/>
        </w:rPr>
        <w:t>período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apresentar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notas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fiscais</w:t>
      </w:r>
      <w:proofErr w:type="spellEnd"/>
      <w:r w:rsidRPr="008836E5">
        <w:rPr>
          <w:rFonts w:cs="Arial"/>
          <w:szCs w:val="24"/>
        </w:rPr>
        <w:t xml:space="preserve">. Como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gastos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tiveram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início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segundo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trimestre</w:t>
      </w:r>
      <w:proofErr w:type="spellEnd"/>
      <w:r w:rsidRPr="008836E5">
        <w:rPr>
          <w:rFonts w:cs="Arial"/>
          <w:szCs w:val="24"/>
        </w:rPr>
        <w:t xml:space="preserve"> de 2022,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amostra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contempla</w:t>
      </w:r>
      <w:proofErr w:type="spellEnd"/>
      <w:r w:rsidRPr="008836E5">
        <w:rPr>
          <w:rFonts w:cs="Arial"/>
          <w:szCs w:val="24"/>
        </w:rPr>
        <w:t xml:space="preserve"> um total de 10 </w:t>
      </w:r>
      <w:proofErr w:type="spellStart"/>
      <w:r w:rsidRPr="008836E5">
        <w:rPr>
          <w:rFonts w:cs="Arial"/>
          <w:szCs w:val="24"/>
        </w:rPr>
        <w:t>observações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conforme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detalhado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Tabela</w:t>
      </w:r>
      <w:proofErr w:type="spellEnd"/>
      <w:r w:rsidRPr="008836E5">
        <w:rPr>
          <w:rFonts w:cs="Arial"/>
          <w:szCs w:val="24"/>
        </w:rPr>
        <w:t xml:space="preserve"> 1.</w:t>
      </w:r>
    </w:p>
    <w:p w14:paraId="38A539E3" w14:textId="77777777" w:rsidR="00D0376E" w:rsidRPr="00F725E2" w:rsidRDefault="00D0376E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0E47211D" w14:textId="77777777" w:rsidR="00D0376E" w:rsidRPr="00F725E2" w:rsidRDefault="00D0376E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</w:rPr>
      </w:pP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Tabela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1 –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Observações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da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amostra</w:t>
      </w:r>
      <w:proofErr w:type="spellEnd"/>
    </w:p>
    <w:tbl>
      <w:tblPr>
        <w:tblW w:w="5726" w:type="dxa"/>
        <w:tblInd w:w="1361" w:type="dxa"/>
        <w:tblLayout w:type="fixed"/>
        <w:tblLook w:val="04A0" w:firstRow="1" w:lastRow="0" w:firstColumn="1" w:lastColumn="0" w:noHBand="0" w:noVBand="1"/>
      </w:tblPr>
      <w:tblGrid>
        <w:gridCol w:w="1156"/>
        <w:gridCol w:w="1518"/>
        <w:gridCol w:w="1799"/>
        <w:gridCol w:w="1253"/>
      </w:tblGrid>
      <w:tr w:rsidR="00D0376E" w:rsidRPr="00F725E2" w14:paraId="76F230E6" w14:textId="77777777" w:rsidTr="00A663EF">
        <w:tc>
          <w:tcPr>
            <w:tcW w:w="1157" w:type="dxa"/>
            <w:tcBorders>
              <w:top w:val="single" w:sz="4" w:space="0" w:color="000000"/>
            </w:tcBorders>
          </w:tcPr>
          <w:p w14:paraId="59CE124D" w14:textId="77777777" w:rsidR="00D0376E" w:rsidRPr="00F725E2" w:rsidRDefault="00D0376E" w:rsidP="00A663EF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Trimestre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/>
            </w:tcBorders>
          </w:tcPr>
          <w:p w14:paraId="51A0F9B9" w14:textId="77777777" w:rsidR="00D0376E" w:rsidRPr="00F725E2" w:rsidRDefault="00D0376E" w:rsidP="00A663EF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Diárias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Tri (R$)</w:t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14:paraId="279921AC" w14:textId="77777777" w:rsidR="00D0376E" w:rsidRPr="00F725E2" w:rsidRDefault="00D0376E" w:rsidP="00A663EF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Investimento Tri (</w:t>
            </w:r>
            <w:r w:rsidRPr="00F725E2">
              <w:rPr>
                <w:rFonts w:eastAsia="Times New Roman" w:cs="Arial"/>
                <w:b/>
                <w:sz w:val="20"/>
                <w:szCs w:val="20"/>
              </w:rPr>
              <w:t>R$)</w:t>
            </w:r>
          </w:p>
        </w:tc>
        <w:tc>
          <w:tcPr>
            <w:tcW w:w="1253" w:type="dxa"/>
            <w:tcBorders>
              <w:top w:val="single" w:sz="4" w:space="0" w:color="000000"/>
            </w:tcBorders>
          </w:tcPr>
          <w:p w14:paraId="38AD99CD" w14:textId="77777777" w:rsidR="00D0376E" w:rsidRPr="00F725E2" w:rsidRDefault="00D0376E" w:rsidP="00A663EF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Poços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Tri</w:t>
            </w:r>
          </w:p>
        </w:tc>
      </w:tr>
      <w:tr w:rsidR="00D0376E" w:rsidRPr="00F725E2" w14:paraId="12832E80" w14:textId="77777777" w:rsidTr="00A663EF">
        <w:tc>
          <w:tcPr>
            <w:tcW w:w="1157" w:type="dxa"/>
          </w:tcPr>
          <w:p w14:paraId="444AE92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2022.2</w:t>
            </w:r>
          </w:p>
        </w:tc>
        <w:tc>
          <w:tcPr>
            <w:tcW w:w="1518" w:type="dxa"/>
          </w:tcPr>
          <w:p w14:paraId="08E06CD8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R$ 161.630,00</w:t>
            </w:r>
          </w:p>
        </w:tc>
        <w:tc>
          <w:tcPr>
            <w:tcW w:w="1799" w:type="dxa"/>
          </w:tcPr>
          <w:p w14:paraId="24BC59DC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R$ 455.041,64</w:t>
            </w:r>
          </w:p>
        </w:tc>
        <w:tc>
          <w:tcPr>
            <w:tcW w:w="1253" w:type="dxa"/>
          </w:tcPr>
          <w:p w14:paraId="68D01A05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74</w:t>
            </w:r>
          </w:p>
        </w:tc>
      </w:tr>
      <w:tr w:rsidR="00D0376E" w:rsidRPr="00F725E2" w14:paraId="532CA708" w14:textId="77777777" w:rsidTr="00A663EF">
        <w:tc>
          <w:tcPr>
            <w:tcW w:w="1157" w:type="dxa"/>
          </w:tcPr>
          <w:p w14:paraId="4D9BA191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2022.3</w:t>
            </w:r>
          </w:p>
        </w:tc>
        <w:tc>
          <w:tcPr>
            <w:tcW w:w="1518" w:type="dxa"/>
          </w:tcPr>
          <w:p w14:paraId="669212F0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R$ 180.725,00</w:t>
            </w:r>
          </w:p>
        </w:tc>
        <w:tc>
          <w:tcPr>
            <w:tcW w:w="1799" w:type="dxa"/>
          </w:tcPr>
          <w:p w14:paraId="0CED642C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R$ 1.703.322,46</w:t>
            </w:r>
          </w:p>
        </w:tc>
        <w:tc>
          <w:tcPr>
            <w:tcW w:w="1253" w:type="dxa"/>
          </w:tcPr>
          <w:p w14:paraId="0A289D71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93</w:t>
            </w:r>
          </w:p>
        </w:tc>
      </w:tr>
      <w:tr w:rsidR="00D0376E" w:rsidRPr="00F725E2" w14:paraId="7EBEA07C" w14:textId="77777777" w:rsidTr="00A663EF">
        <w:tc>
          <w:tcPr>
            <w:tcW w:w="1157" w:type="dxa"/>
          </w:tcPr>
          <w:p w14:paraId="7310B379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2022.4</w:t>
            </w:r>
          </w:p>
        </w:tc>
        <w:tc>
          <w:tcPr>
            <w:tcW w:w="1518" w:type="dxa"/>
          </w:tcPr>
          <w:p w14:paraId="62C2136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R$ 185.840,00</w:t>
            </w:r>
          </w:p>
        </w:tc>
        <w:tc>
          <w:tcPr>
            <w:tcW w:w="1799" w:type="dxa"/>
          </w:tcPr>
          <w:p w14:paraId="4A704125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R$ 651.215,00</w:t>
            </w:r>
          </w:p>
        </w:tc>
        <w:tc>
          <w:tcPr>
            <w:tcW w:w="1253" w:type="dxa"/>
          </w:tcPr>
          <w:p w14:paraId="4F800EA5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58</w:t>
            </w:r>
          </w:p>
        </w:tc>
      </w:tr>
      <w:tr w:rsidR="00D0376E" w:rsidRPr="00F725E2" w14:paraId="49D4A535" w14:textId="77777777" w:rsidTr="00A663EF">
        <w:tc>
          <w:tcPr>
            <w:tcW w:w="1157" w:type="dxa"/>
          </w:tcPr>
          <w:p w14:paraId="721FBF5D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2023.1</w:t>
            </w:r>
          </w:p>
        </w:tc>
        <w:tc>
          <w:tcPr>
            <w:tcW w:w="1518" w:type="dxa"/>
          </w:tcPr>
          <w:p w14:paraId="46FD389D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R$ 14.162,00</w:t>
            </w:r>
          </w:p>
        </w:tc>
        <w:tc>
          <w:tcPr>
            <w:tcW w:w="1799" w:type="dxa"/>
          </w:tcPr>
          <w:p w14:paraId="7B71B32D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253" w:type="dxa"/>
          </w:tcPr>
          <w:p w14:paraId="53F3C4E0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D0376E" w:rsidRPr="00F725E2" w14:paraId="18BD1155" w14:textId="77777777" w:rsidTr="00A663EF">
        <w:tc>
          <w:tcPr>
            <w:tcW w:w="1157" w:type="dxa"/>
          </w:tcPr>
          <w:p w14:paraId="7DD2C84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2023.2</w:t>
            </w:r>
          </w:p>
        </w:tc>
        <w:tc>
          <w:tcPr>
            <w:tcW w:w="1518" w:type="dxa"/>
          </w:tcPr>
          <w:p w14:paraId="1A5B4150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799" w:type="dxa"/>
          </w:tcPr>
          <w:p w14:paraId="39E55FF9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R$ 4.653,06</w:t>
            </w:r>
          </w:p>
        </w:tc>
        <w:tc>
          <w:tcPr>
            <w:tcW w:w="1253" w:type="dxa"/>
          </w:tcPr>
          <w:p w14:paraId="2F9F98F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41</w:t>
            </w:r>
          </w:p>
        </w:tc>
      </w:tr>
      <w:tr w:rsidR="00D0376E" w:rsidRPr="00F725E2" w14:paraId="5CBD4ACF" w14:textId="77777777" w:rsidTr="00A663EF">
        <w:tc>
          <w:tcPr>
            <w:tcW w:w="1157" w:type="dxa"/>
          </w:tcPr>
          <w:p w14:paraId="284EA12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2023.3</w:t>
            </w:r>
          </w:p>
        </w:tc>
        <w:tc>
          <w:tcPr>
            <w:tcW w:w="1518" w:type="dxa"/>
          </w:tcPr>
          <w:p w14:paraId="6B8A1722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R$ 205.465,00</w:t>
            </w:r>
          </w:p>
        </w:tc>
        <w:tc>
          <w:tcPr>
            <w:tcW w:w="1799" w:type="dxa"/>
          </w:tcPr>
          <w:p w14:paraId="2BA660C0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R$ 112.173,49</w:t>
            </w:r>
          </w:p>
        </w:tc>
        <w:tc>
          <w:tcPr>
            <w:tcW w:w="1253" w:type="dxa"/>
          </w:tcPr>
          <w:p w14:paraId="28DA60B8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97</w:t>
            </w:r>
          </w:p>
        </w:tc>
      </w:tr>
      <w:tr w:rsidR="00D0376E" w:rsidRPr="00F725E2" w14:paraId="38E1EE5B" w14:textId="77777777" w:rsidTr="00A663EF">
        <w:tc>
          <w:tcPr>
            <w:tcW w:w="1157" w:type="dxa"/>
          </w:tcPr>
          <w:p w14:paraId="64EBCA7A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2023.4</w:t>
            </w:r>
          </w:p>
        </w:tc>
        <w:tc>
          <w:tcPr>
            <w:tcW w:w="1518" w:type="dxa"/>
          </w:tcPr>
          <w:p w14:paraId="44C39E02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R$ 182.910,00</w:t>
            </w:r>
          </w:p>
        </w:tc>
        <w:tc>
          <w:tcPr>
            <w:tcW w:w="1799" w:type="dxa"/>
          </w:tcPr>
          <w:p w14:paraId="1F919DF4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R$ 549.258,61</w:t>
            </w:r>
          </w:p>
        </w:tc>
        <w:tc>
          <w:tcPr>
            <w:tcW w:w="1253" w:type="dxa"/>
          </w:tcPr>
          <w:p w14:paraId="30654A58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67</w:t>
            </w:r>
          </w:p>
        </w:tc>
      </w:tr>
      <w:tr w:rsidR="00D0376E" w:rsidRPr="00F725E2" w14:paraId="62F62A89" w14:textId="77777777" w:rsidTr="00A663EF">
        <w:tc>
          <w:tcPr>
            <w:tcW w:w="1157" w:type="dxa"/>
          </w:tcPr>
          <w:p w14:paraId="4E81F179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</w:t>
            </w:r>
            <w:r w:rsidRPr="00F725E2">
              <w:rPr>
                <w:rFonts w:eastAsia="Times New Roman" w:cs="Arial"/>
                <w:sz w:val="20"/>
                <w:szCs w:val="20"/>
              </w:rPr>
              <w:t>4</w:t>
            </w: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518" w:type="dxa"/>
          </w:tcPr>
          <w:p w14:paraId="6A1995A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R$ 40.295,00</w:t>
            </w:r>
          </w:p>
        </w:tc>
        <w:tc>
          <w:tcPr>
            <w:tcW w:w="1799" w:type="dxa"/>
          </w:tcPr>
          <w:p w14:paraId="72903589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-</w:t>
            </w:r>
          </w:p>
        </w:tc>
        <w:tc>
          <w:tcPr>
            <w:tcW w:w="1253" w:type="dxa"/>
          </w:tcPr>
          <w:p w14:paraId="2162B63E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D0376E" w:rsidRPr="00F725E2" w14:paraId="1D4294DB" w14:textId="77777777" w:rsidTr="00A663EF">
        <w:tc>
          <w:tcPr>
            <w:tcW w:w="1157" w:type="dxa"/>
          </w:tcPr>
          <w:p w14:paraId="18CAA496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</w:t>
            </w:r>
            <w:r w:rsidRPr="00F725E2">
              <w:rPr>
                <w:rFonts w:eastAsia="Times New Roman" w:cs="Arial"/>
                <w:sz w:val="20"/>
                <w:szCs w:val="20"/>
              </w:rPr>
              <w:t>4</w:t>
            </w: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518" w:type="dxa"/>
          </w:tcPr>
          <w:p w14:paraId="3118C7AA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R$ 217.780,00</w:t>
            </w:r>
          </w:p>
        </w:tc>
        <w:tc>
          <w:tcPr>
            <w:tcW w:w="1799" w:type="dxa"/>
          </w:tcPr>
          <w:p w14:paraId="1EB08EF0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R$ 129.040,40</w:t>
            </w:r>
          </w:p>
        </w:tc>
        <w:tc>
          <w:tcPr>
            <w:tcW w:w="1253" w:type="dxa"/>
          </w:tcPr>
          <w:p w14:paraId="76686048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53</w:t>
            </w:r>
          </w:p>
        </w:tc>
      </w:tr>
      <w:tr w:rsidR="00D0376E" w:rsidRPr="00F725E2" w14:paraId="65123A07" w14:textId="77777777" w:rsidTr="00A663EF">
        <w:tc>
          <w:tcPr>
            <w:tcW w:w="1157" w:type="dxa"/>
            <w:tcBorders>
              <w:bottom w:val="single" w:sz="4" w:space="0" w:color="000000"/>
            </w:tcBorders>
          </w:tcPr>
          <w:p w14:paraId="1E556236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202</w:t>
            </w:r>
            <w:r w:rsidRPr="00F725E2">
              <w:rPr>
                <w:rFonts w:eastAsia="Times New Roman" w:cs="Arial"/>
                <w:sz w:val="20"/>
                <w:szCs w:val="20"/>
              </w:rPr>
              <w:t>4</w:t>
            </w: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4CA5847D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R$ 89.690,00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14:paraId="04D88535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R$ 1.123,20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 w14:paraId="017AF4E9" w14:textId="77777777" w:rsidR="00D0376E" w:rsidRPr="00F725E2" w:rsidRDefault="00D0376E" w:rsidP="00A663E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</w:tr>
    </w:tbl>
    <w:p w14:paraId="0748FEE8" w14:textId="77777777" w:rsidR="00D0376E" w:rsidRPr="00F725E2" w:rsidRDefault="00D0376E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</w:rPr>
      </w:pPr>
      <w:r w:rsidRPr="00F725E2">
        <w:rPr>
          <w:rFonts w:eastAsia="Times New Roman" w:cs="Arial"/>
          <w:color w:val="000000"/>
          <w:sz w:val="20"/>
          <w:szCs w:val="20"/>
        </w:rPr>
        <w:t xml:space="preserve">                           Fonte: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Autores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(2025)</w:t>
      </w:r>
    </w:p>
    <w:p w14:paraId="1667B97D" w14:textId="77777777" w:rsidR="00D0376E" w:rsidRPr="00F725E2" w:rsidRDefault="00D0376E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 </w:t>
      </w:r>
    </w:p>
    <w:p w14:paraId="2443B486" w14:textId="77777777" w:rsidR="00D0376E" w:rsidRPr="008836E5" w:rsidRDefault="00D0376E" w:rsidP="008836E5">
      <w:pPr>
        <w:jc w:val="both"/>
        <w:rPr>
          <w:rFonts w:cs="Arial"/>
          <w:szCs w:val="24"/>
        </w:rPr>
      </w:pP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avaliação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realizada</w:t>
      </w:r>
      <w:proofErr w:type="spellEnd"/>
      <w:r w:rsidRPr="008836E5">
        <w:rPr>
          <w:rFonts w:cs="Arial"/>
          <w:szCs w:val="24"/>
        </w:rPr>
        <w:t xml:space="preserve"> com base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critérios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amplamente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reconhecidos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o Akaike Information Criterion (AIC), o Bayesian Information Criterion (BIC) e a log-</w:t>
      </w:r>
      <w:proofErr w:type="spellStart"/>
      <w:r w:rsidRPr="008836E5">
        <w:rPr>
          <w:rFonts w:cs="Arial"/>
          <w:szCs w:val="24"/>
        </w:rPr>
        <w:t>verossimilhança</w:t>
      </w:r>
      <w:proofErr w:type="spellEnd"/>
      <w:r w:rsidRPr="008836E5">
        <w:rPr>
          <w:rFonts w:cs="Arial"/>
          <w:szCs w:val="24"/>
        </w:rPr>
        <w:t xml:space="preserve"> (log-likelihood). O </w:t>
      </w:r>
      <w:r w:rsidRPr="008836E5">
        <w:rPr>
          <w:rFonts w:cs="Arial"/>
          <w:szCs w:val="24"/>
        </w:rPr>
        <w:lastRenderedPageBreak/>
        <w:t xml:space="preserve">AIC </w:t>
      </w:r>
      <w:proofErr w:type="spellStart"/>
      <w:r w:rsidRPr="008836E5">
        <w:rPr>
          <w:rFonts w:cs="Arial"/>
          <w:szCs w:val="24"/>
        </w:rPr>
        <w:t>obtido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9,1219, </w:t>
      </w:r>
      <w:proofErr w:type="spellStart"/>
      <w:r w:rsidRPr="008836E5">
        <w:rPr>
          <w:rFonts w:cs="Arial"/>
          <w:szCs w:val="24"/>
        </w:rPr>
        <w:t>indicando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bom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equilíbrio</w:t>
      </w:r>
      <w:proofErr w:type="spellEnd"/>
      <w:r w:rsidRPr="008836E5">
        <w:rPr>
          <w:rFonts w:cs="Arial"/>
          <w:szCs w:val="24"/>
        </w:rPr>
        <w:t xml:space="preserve"> entre </w:t>
      </w:r>
      <w:proofErr w:type="spellStart"/>
      <w:r w:rsidRPr="008836E5">
        <w:rPr>
          <w:rFonts w:cs="Arial"/>
          <w:szCs w:val="24"/>
        </w:rPr>
        <w:t>ajuste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complexidade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. O BIC, </w:t>
      </w:r>
      <w:proofErr w:type="spellStart"/>
      <w:r w:rsidRPr="008836E5">
        <w:rPr>
          <w:rFonts w:cs="Arial"/>
          <w:szCs w:val="24"/>
        </w:rPr>
        <w:t>embora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maior</w:t>
      </w:r>
      <w:proofErr w:type="spellEnd"/>
      <w:r w:rsidRPr="008836E5">
        <w:rPr>
          <w:rFonts w:cs="Arial"/>
          <w:szCs w:val="24"/>
        </w:rPr>
        <w:t xml:space="preserve"> (2925,227), </w:t>
      </w:r>
      <w:proofErr w:type="spellStart"/>
      <w:r w:rsidRPr="008836E5">
        <w:rPr>
          <w:rFonts w:cs="Arial"/>
          <w:szCs w:val="24"/>
        </w:rPr>
        <w:t>reflete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penalização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rigorosa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modelos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poucos</w:t>
      </w:r>
      <w:proofErr w:type="spellEnd"/>
      <w:r w:rsidRPr="008836E5">
        <w:rPr>
          <w:rFonts w:cs="Arial"/>
          <w:szCs w:val="24"/>
        </w:rPr>
        <w:t xml:space="preserve"> dados, o que é </w:t>
      </w:r>
      <w:proofErr w:type="spellStart"/>
      <w:r w:rsidRPr="008836E5">
        <w:rPr>
          <w:rFonts w:cs="Arial"/>
          <w:szCs w:val="24"/>
        </w:rPr>
        <w:t>esperado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amostras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pequenas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Além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disso</w:t>
      </w:r>
      <w:proofErr w:type="spellEnd"/>
      <w:r w:rsidRPr="008836E5">
        <w:rPr>
          <w:rFonts w:cs="Arial"/>
          <w:szCs w:val="24"/>
        </w:rPr>
        <w:t>, a log-</w:t>
      </w:r>
      <w:proofErr w:type="spellStart"/>
      <w:r w:rsidRPr="008836E5">
        <w:rPr>
          <w:rFonts w:cs="Arial"/>
          <w:szCs w:val="24"/>
        </w:rPr>
        <w:t>verossimilhança</w:t>
      </w:r>
      <w:proofErr w:type="spellEnd"/>
      <w:r w:rsidRPr="008836E5">
        <w:rPr>
          <w:rFonts w:cs="Arial"/>
          <w:szCs w:val="24"/>
        </w:rPr>
        <w:t xml:space="preserve"> de -42,609571 </w:t>
      </w:r>
      <w:proofErr w:type="spellStart"/>
      <w:r w:rsidRPr="008836E5">
        <w:rPr>
          <w:rFonts w:cs="Arial"/>
          <w:szCs w:val="24"/>
        </w:rPr>
        <w:t>sugere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explica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razoavelmente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bem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dados </w:t>
      </w:r>
      <w:proofErr w:type="spellStart"/>
      <w:r w:rsidRPr="008836E5">
        <w:rPr>
          <w:rFonts w:cs="Arial"/>
          <w:szCs w:val="24"/>
        </w:rPr>
        <w:t>observados</w:t>
      </w:r>
      <w:proofErr w:type="spellEnd"/>
      <w:r w:rsidRPr="008836E5">
        <w:rPr>
          <w:rFonts w:cs="Arial"/>
          <w:szCs w:val="24"/>
        </w:rPr>
        <w:t>.</w:t>
      </w:r>
    </w:p>
    <w:p w14:paraId="5471306D" w14:textId="77777777" w:rsidR="00D0376E" w:rsidRPr="008836E5" w:rsidRDefault="00D0376E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resultados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indicam</w:t>
      </w:r>
      <w:proofErr w:type="spellEnd"/>
      <w:r w:rsidRPr="008836E5">
        <w:rPr>
          <w:rFonts w:cs="Arial"/>
          <w:szCs w:val="24"/>
        </w:rPr>
        <w:t xml:space="preserve"> que, </w:t>
      </w:r>
      <w:proofErr w:type="spellStart"/>
      <w:r w:rsidRPr="008836E5">
        <w:rPr>
          <w:rFonts w:cs="Arial"/>
          <w:szCs w:val="24"/>
        </w:rPr>
        <w:t>apesar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tamanho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reduzido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amostra</w:t>
      </w:r>
      <w:proofErr w:type="spellEnd"/>
      <w:r w:rsidRPr="008836E5">
        <w:rPr>
          <w:rFonts w:cs="Arial"/>
          <w:szCs w:val="24"/>
        </w:rPr>
        <w:t xml:space="preserve">, 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apresenta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ajuste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adequado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mantendo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bom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poder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preditivo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incluir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parâmetros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desnecessários</w:t>
      </w:r>
      <w:proofErr w:type="spellEnd"/>
      <w:r w:rsidRPr="008836E5">
        <w:rPr>
          <w:rFonts w:cs="Arial"/>
          <w:szCs w:val="24"/>
        </w:rPr>
        <w:t xml:space="preserve">. Dessa forma, </w:t>
      </w:r>
      <w:proofErr w:type="spellStart"/>
      <w:r w:rsidRPr="008836E5">
        <w:rPr>
          <w:rFonts w:cs="Arial"/>
          <w:szCs w:val="24"/>
        </w:rPr>
        <w:t>ele</w:t>
      </w:r>
      <w:proofErr w:type="spellEnd"/>
      <w:r w:rsidRPr="008836E5">
        <w:rPr>
          <w:rFonts w:cs="Arial"/>
          <w:szCs w:val="24"/>
        </w:rPr>
        <w:t xml:space="preserve"> se </w:t>
      </w:r>
      <w:proofErr w:type="spellStart"/>
      <w:r w:rsidRPr="008836E5">
        <w:rPr>
          <w:rFonts w:cs="Arial"/>
          <w:szCs w:val="24"/>
        </w:rPr>
        <w:t>mostra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adequado</w:t>
      </w:r>
      <w:proofErr w:type="spellEnd"/>
      <w:r w:rsidRPr="008836E5">
        <w:rPr>
          <w:rFonts w:cs="Arial"/>
          <w:szCs w:val="24"/>
        </w:rPr>
        <w:t xml:space="preserve"> para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inferência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dentro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contexto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estudado</w:t>
      </w:r>
      <w:proofErr w:type="spellEnd"/>
      <w:r w:rsidRPr="008836E5">
        <w:rPr>
          <w:rFonts w:cs="Arial"/>
          <w:szCs w:val="24"/>
        </w:rPr>
        <w:t>.</w:t>
      </w:r>
    </w:p>
    <w:p w14:paraId="125173FB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t>4. Análise e Discussão dos Resultados</w:t>
      </w:r>
    </w:p>
    <w:p w14:paraId="76A9ED0C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Para </w:t>
      </w:r>
      <w:proofErr w:type="spellStart"/>
      <w:r w:rsidRPr="008836E5">
        <w:rPr>
          <w:rFonts w:cs="Arial"/>
          <w:szCs w:val="24"/>
        </w:rPr>
        <w:t>compreender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dinâmica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execução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atividades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perfuração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pela SEMARH/RN, é </w:t>
      </w:r>
      <w:proofErr w:type="spellStart"/>
      <w:r w:rsidRPr="008836E5">
        <w:rPr>
          <w:rFonts w:cs="Arial"/>
          <w:szCs w:val="24"/>
        </w:rPr>
        <w:t>necessário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analisar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distribuição</w:t>
      </w:r>
      <w:proofErr w:type="spellEnd"/>
      <w:r w:rsidRPr="008836E5">
        <w:rPr>
          <w:rFonts w:cs="Arial"/>
          <w:szCs w:val="24"/>
        </w:rPr>
        <w:t xml:space="preserve"> temporal </w:t>
      </w:r>
      <w:proofErr w:type="spellStart"/>
      <w:r w:rsidRPr="008836E5">
        <w:rPr>
          <w:rFonts w:cs="Arial"/>
          <w:szCs w:val="24"/>
        </w:rPr>
        <w:t>desses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anos</w:t>
      </w:r>
      <w:proofErr w:type="spellEnd"/>
      <w:r w:rsidRPr="008836E5">
        <w:rPr>
          <w:rFonts w:cs="Arial"/>
          <w:szCs w:val="24"/>
        </w:rPr>
        <w:t xml:space="preserve">. Essa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permite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observar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variações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bem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entender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fatores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influenciam</w:t>
      </w:r>
      <w:proofErr w:type="spellEnd"/>
      <w:r w:rsidRPr="008836E5">
        <w:rPr>
          <w:rFonts w:cs="Arial"/>
          <w:szCs w:val="24"/>
        </w:rPr>
        <w:t xml:space="preserve"> esses </w:t>
      </w:r>
      <w:proofErr w:type="spellStart"/>
      <w:r w:rsidRPr="008836E5">
        <w:rPr>
          <w:rFonts w:cs="Arial"/>
          <w:szCs w:val="24"/>
        </w:rPr>
        <w:t>números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questões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dinâmica</w:t>
      </w:r>
      <w:proofErr w:type="spellEnd"/>
      <w:r w:rsidRPr="008836E5">
        <w:rPr>
          <w:rFonts w:cs="Arial"/>
          <w:szCs w:val="24"/>
        </w:rPr>
        <w:t xml:space="preserve"> interna da </w:t>
      </w:r>
      <w:proofErr w:type="spellStart"/>
      <w:r w:rsidRPr="008836E5">
        <w:rPr>
          <w:rFonts w:cs="Arial"/>
          <w:szCs w:val="24"/>
        </w:rPr>
        <w:t>instituição</w:t>
      </w:r>
      <w:proofErr w:type="spellEnd"/>
      <w:r w:rsidRPr="008836E5">
        <w:rPr>
          <w:rFonts w:cs="Arial"/>
          <w:szCs w:val="24"/>
        </w:rPr>
        <w:t xml:space="preserve">. A </w:t>
      </w:r>
      <w:proofErr w:type="spellStart"/>
      <w:r w:rsidRPr="008836E5">
        <w:rPr>
          <w:rFonts w:cs="Arial"/>
          <w:szCs w:val="24"/>
        </w:rPr>
        <w:t>seguir</w:t>
      </w:r>
      <w:proofErr w:type="spellEnd"/>
      <w:r w:rsidRPr="008836E5">
        <w:rPr>
          <w:rFonts w:cs="Arial"/>
          <w:szCs w:val="24"/>
        </w:rPr>
        <w:t xml:space="preserve">, é </w:t>
      </w:r>
      <w:proofErr w:type="spellStart"/>
      <w:r w:rsidRPr="008836E5">
        <w:rPr>
          <w:rFonts w:cs="Arial"/>
          <w:szCs w:val="24"/>
        </w:rPr>
        <w:t>apresentada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Tabela</w:t>
      </w:r>
      <w:proofErr w:type="spellEnd"/>
      <w:r w:rsidRPr="008836E5">
        <w:rPr>
          <w:rFonts w:cs="Arial"/>
          <w:szCs w:val="24"/>
        </w:rPr>
        <w:t xml:space="preserve"> 2, que </w:t>
      </w:r>
      <w:proofErr w:type="spellStart"/>
      <w:r w:rsidRPr="008836E5">
        <w:rPr>
          <w:rFonts w:cs="Arial"/>
          <w:szCs w:val="24"/>
        </w:rPr>
        <w:t>detalha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quantitativo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pela SEMARH </w:t>
      </w:r>
      <w:proofErr w:type="spellStart"/>
      <w:r w:rsidRPr="008836E5">
        <w:rPr>
          <w:rFonts w:cs="Arial"/>
          <w:szCs w:val="24"/>
        </w:rPr>
        <w:t>durante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período</w:t>
      </w:r>
      <w:proofErr w:type="spellEnd"/>
      <w:r w:rsidRPr="008836E5">
        <w:rPr>
          <w:rFonts w:cs="Arial"/>
          <w:szCs w:val="24"/>
        </w:rPr>
        <w:t xml:space="preserve"> de 2021 a 2024.</w:t>
      </w:r>
    </w:p>
    <w:p w14:paraId="6FF7CBA2" w14:textId="77777777" w:rsidR="00D0376E" w:rsidRPr="00F725E2" w:rsidRDefault="00D0376E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104C03CF" w14:textId="5706A593" w:rsidR="00D0376E" w:rsidRPr="00F725E2" w:rsidRDefault="003A7F11" w:rsidP="00D03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</w:rPr>
      </w:pPr>
      <w:proofErr w:type="spellStart"/>
      <w:r w:rsidRPr="00F725E2">
        <w:rPr>
          <w:rFonts w:eastAsia="Times New Roman" w:cs="Arial"/>
          <w:sz w:val="20"/>
          <w:szCs w:val="20"/>
        </w:rPr>
        <w:t>Tabela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2 –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Poços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Perfurados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no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período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de 2021 a 20</w:t>
      </w:r>
      <w:r w:rsidR="00D0376E" w:rsidRPr="00F725E2">
        <w:rPr>
          <w:rFonts w:eastAsia="Times New Roman" w:cs="Arial"/>
          <w:color w:val="000000"/>
          <w:sz w:val="20"/>
          <w:szCs w:val="20"/>
        </w:rPr>
        <w:t>24</w:t>
      </w:r>
    </w:p>
    <w:tbl>
      <w:tblPr>
        <w:tblW w:w="5160" w:type="dxa"/>
        <w:tblInd w:w="1609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8"/>
        <w:gridCol w:w="778"/>
        <w:gridCol w:w="778"/>
        <w:gridCol w:w="778"/>
        <w:gridCol w:w="778"/>
      </w:tblGrid>
      <w:tr w:rsidR="00D0376E" w:rsidRPr="00F725E2" w14:paraId="20321B05" w14:textId="77777777" w:rsidTr="003A7F11">
        <w:trPr>
          <w:trHeight w:val="300"/>
        </w:trPr>
        <w:tc>
          <w:tcPr>
            <w:tcW w:w="51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3ADCB6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Poços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Perfurados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no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período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2021-2024</w:t>
            </w:r>
          </w:p>
        </w:tc>
      </w:tr>
      <w:tr w:rsidR="00D0376E" w:rsidRPr="00F725E2" w14:paraId="10012238" w14:textId="77777777" w:rsidTr="003A7F11">
        <w:trPr>
          <w:trHeight w:val="300"/>
        </w:trPr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434DAF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proofErr w:type="gram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Meses</w:t>
            </w:r>
            <w:proofErr w:type="gram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/ Ano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07F54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8D823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68BDE3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97B05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D0376E" w:rsidRPr="00F725E2" w14:paraId="41AE916A" w14:textId="77777777" w:rsidTr="003A7F11">
        <w:trPr>
          <w:trHeight w:val="300"/>
        </w:trPr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8A890D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Janeiro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B86EDE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822EDD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4CA390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B858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D0376E" w:rsidRPr="00F725E2" w14:paraId="2524B50F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610D75A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Fevereiro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5C66B7CB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BA5CED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52FC3397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305417E0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D0376E" w:rsidRPr="00F725E2" w14:paraId="50C09A23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0C42BB45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Março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7717101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AD1543E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5B999B2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2EE2E03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D0376E" w:rsidRPr="00F725E2" w14:paraId="3B33227F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07E609B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F101CAF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8291F9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CACEE2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138CD9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D0376E" w:rsidRPr="00F725E2" w14:paraId="4310C562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33BF2E6A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Maio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8646EE6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FFF57F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1DE02C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0D1D960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</w:tr>
      <w:tr w:rsidR="00D0376E" w:rsidRPr="00F725E2" w14:paraId="624AFE42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757127B3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Junho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10CFBD6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3A25F35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5CF45B91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2569AE2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36</w:t>
            </w:r>
          </w:p>
        </w:tc>
      </w:tr>
      <w:tr w:rsidR="00D0376E" w:rsidRPr="00F725E2" w14:paraId="14609E77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72091FF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Julho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631D09F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C14600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4B422A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DA2A9FF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</w:tr>
      <w:tr w:rsidR="00D0376E" w:rsidRPr="00F725E2" w14:paraId="5736BB76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59ABF466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Agosto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34CBDD9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0C0109AE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EDD1C8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239CF383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D0376E" w:rsidRPr="00F725E2" w14:paraId="22C196A0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69C273A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Setembro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63DBF368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0815D4E5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48950F30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9746E8B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</w:p>
        </w:tc>
      </w:tr>
      <w:tr w:rsidR="00D0376E" w:rsidRPr="00F725E2" w14:paraId="59B8F899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77BC409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Outubro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0C06606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BAD4C52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7255DE1F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33740A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</w:p>
        </w:tc>
      </w:tr>
      <w:tr w:rsidR="00D0376E" w:rsidRPr="00F725E2" w14:paraId="1A897245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2825F7ED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Novembro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53A4F99E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7B08F6EA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21F56B0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5F17439B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</w:p>
        </w:tc>
      </w:tr>
      <w:tr w:rsidR="00D0376E" w:rsidRPr="00F725E2" w14:paraId="09BEADA2" w14:textId="77777777" w:rsidTr="003A7F11">
        <w:trPr>
          <w:trHeight w:val="300"/>
        </w:trPr>
        <w:tc>
          <w:tcPr>
            <w:tcW w:w="2048" w:type="dxa"/>
            <w:shd w:val="clear" w:color="auto" w:fill="auto"/>
            <w:vAlign w:val="bottom"/>
          </w:tcPr>
          <w:p w14:paraId="25F17631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Dezembro</w:t>
            </w:r>
            <w:proofErr w:type="spellEnd"/>
          </w:p>
        </w:tc>
        <w:tc>
          <w:tcPr>
            <w:tcW w:w="778" w:type="dxa"/>
            <w:shd w:val="clear" w:color="auto" w:fill="auto"/>
            <w:vAlign w:val="bottom"/>
          </w:tcPr>
          <w:p w14:paraId="3B500753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0835C69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1210FEC7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310AE34C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</w:p>
        </w:tc>
      </w:tr>
      <w:tr w:rsidR="00D0376E" w:rsidRPr="00F725E2" w14:paraId="2A50B397" w14:textId="77777777" w:rsidTr="003A7F11">
        <w:trPr>
          <w:trHeight w:val="300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17DD37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por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8E7E1D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9178B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5916D4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CD62B5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D0376E" w:rsidRPr="00F725E2" w14:paraId="63A0A426" w14:textId="77777777" w:rsidTr="003A7F11">
        <w:trPr>
          <w:trHeight w:val="300"/>
        </w:trPr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668AA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por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período</w:t>
            </w:r>
            <w:proofErr w:type="spellEnd"/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2021-2024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EA4689" w14:textId="77777777" w:rsidR="00D0376E" w:rsidRPr="00F725E2" w:rsidRDefault="00D0376E" w:rsidP="00A663E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F725E2">
              <w:rPr>
                <w:rFonts w:eastAsia="Times New Roman" w:cs="Arial"/>
                <w:b/>
                <w:color w:val="000000"/>
                <w:sz w:val="20"/>
                <w:szCs w:val="20"/>
              </w:rPr>
              <w:t>1131</w:t>
            </w:r>
          </w:p>
        </w:tc>
      </w:tr>
    </w:tbl>
    <w:p w14:paraId="24C6305B" w14:textId="1F858726" w:rsidR="00D0376E" w:rsidRPr="00F725E2" w:rsidRDefault="00D0376E" w:rsidP="00D0376E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F725E2">
        <w:rPr>
          <w:rFonts w:eastAsia="Times New Roman" w:cs="Arial"/>
          <w:color w:val="000000"/>
          <w:sz w:val="20"/>
          <w:szCs w:val="20"/>
        </w:rPr>
        <w:t xml:space="preserve">            Fonte: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Elaborada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pelos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autores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, com base </w:t>
      </w:r>
      <w:proofErr w:type="spellStart"/>
      <w:r w:rsidRPr="00F725E2">
        <w:rPr>
          <w:rFonts w:eastAsia="Times New Roman" w:cs="Arial"/>
          <w:color w:val="000000"/>
          <w:sz w:val="20"/>
          <w:szCs w:val="20"/>
        </w:rPr>
        <w:t>nos</w:t>
      </w:r>
      <w:proofErr w:type="spellEnd"/>
      <w:r w:rsidRPr="00F725E2">
        <w:rPr>
          <w:rFonts w:eastAsia="Times New Roman" w:cs="Arial"/>
          <w:color w:val="000000"/>
          <w:sz w:val="20"/>
          <w:szCs w:val="20"/>
        </w:rPr>
        <w:t xml:space="preserve"> dados do COHIDRO/SEMARH (2025)</w:t>
      </w:r>
    </w:p>
    <w:p w14:paraId="6239D1C6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5F31740A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73D9F0B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F725E2">
        <w:rPr>
          <w:rFonts w:eastAsia="Times New Roman" w:cs="Arial"/>
          <w:color w:val="000000"/>
          <w:sz w:val="20"/>
          <w:szCs w:val="20"/>
        </w:rPr>
        <w:tab/>
      </w:r>
      <w:r w:rsidRPr="008836E5">
        <w:rPr>
          <w:rFonts w:cs="Arial"/>
          <w:szCs w:val="24"/>
        </w:rPr>
        <w:t xml:space="preserve">Para </w:t>
      </w:r>
      <w:proofErr w:type="spellStart"/>
      <w:r w:rsidRPr="008836E5">
        <w:rPr>
          <w:rFonts w:cs="Arial"/>
          <w:szCs w:val="24"/>
        </w:rPr>
        <w:t>esta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consideradas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seguintes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variáveis</w:t>
      </w:r>
      <w:proofErr w:type="spellEnd"/>
      <w:r w:rsidRPr="008836E5">
        <w:rPr>
          <w:rFonts w:cs="Arial"/>
          <w:szCs w:val="24"/>
        </w:rPr>
        <w:t xml:space="preserve">: o </w:t>
      </w:r>
      <w:proofErr w:type="spellStart"/>
      <w:r w:rsidRPr="008836E5">
        <w:rPr>
          <w:rFonts w:cs="Arial"/>
          <w:szCs w:val="24"/>
        </w:rPr>
        <w:t>número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Poçostri</w:t>
      </w:r>
      <w:proofErr w:type="spellEnd"/>
      <w:r w:rsidRPr="008836E5">
        <w:rPr>
          <w:rFonts w:cs="Arial"/>
          <w:szCs w:val="24"/>
        </w:rPr>
        <w:t xml:space="preserve">), que </w:t>
      </w:r>
      <w:proofErr w:type="spellStart"/>
      <w:r w:rsidRPr="008836E5">
        <w:rPr>
          <w:rFonts w:cs="Arial"/>
          <w:szCs w:val="24"/>
        </w:rPr>
        <w:t>corresponde</w:t>
      </w:r>
      <w:proofErr w:type="spellEnd"/>
      <w:r w:rsidRPr="008836E5">
        <w:rPr>
          <w:rFonts w:cs="Arial"/>
          <w:szCs w:val="24"/>
        </w:rPr>
        <w:t xml:space="preserve"> à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construídos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mensalmente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durante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período</w:t>
      </w:r>
      <w:proofErr w:type="spellEnd"/>
      <w:r w:rsidRPr="008836E5">
        <w:rPr>
          <w:rFonts w:cs="Arial"/>
          <w:szCs w:val="24"/>
        </w:rPr>
        <w:t xml:space="preserve"> de 2021 a 2024; 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Diáriastri</w:t>
      </w:r>
      <w:proofErr w:type="spellEnd"/>
      <w:r w:rsidRPr="008836E5">
        <w:rPr>
          <w:rFonts w:cs="Arial"/>
          <w:szCs w:val="24"/>
        </w:rPr>
        <w:t xml:space="preserve">), que </w:t>
      </w:r>
      <w:proofErr w:type="spellStart"/>
      <w:r w:rsidRPr="008836E5">
        <w:rPr>
          <w:rFonts w:cs="Arial"/>
          <w:szCs w:val="24"/>
        </w:rPr>
        <w:t>englobam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gastos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deslocamento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alimentação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lastRenderedPageBreak/>
        <w:t>hospedagem</w:t>
      </w:r>
      <w:proofErr w:type="spellEnd"/>
      <w:r w:rsidRPr="008836E5">
        <w:rPr>
          <w:rFonts w:cs="Arial"/>
          <w:szCs w:val="24"/>
        </w:rPr>
        <w:t xml:space="preserve"> das equipes </w:t>
      </w:r>
      <w:proofErr w:type="spellStart"/>
      <w:r w:rsidRPr="008836E5">
        <w:rPr>
          <w:rFonts w:cs="Arial"/>
          <w:szCs w:val="24"/>
        </w:rPr>
        <w:t>responsáveis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pelos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trabalhos</w:t>
      </w:r>
      <w:proofErr w:type="spellEnd"/>
      <w:r w:rsidRPr="008836E5">
        <w:rPr>
          <w:rFonts w:cs="Arial"/>
          <w:szCs w:val="24"/>
        </w:rPr>
        <w:t xml:space="preserve"> de campo; e 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Investimentotri</w:t>
      </w:r>
      <w:proofErr w:type="spellEnd"/>
      <w:r w:rsidRPr="008836E5">
        <w:rPr>
          <w:rFonts w:cs="Arial"/>
          <w:szCs w:val="24"/>
        </w:rPr>
        <w:t xml:space="preserve">), que </w:t>
      </w:r>
      <w:proofErr w:type="spellStart"/>
      <w:r w:rsidRPr="008836E5">
        <w:rPr>
          <w:rFonts w:cs="Arial"/>
          <w:szCs w:val="24"/>
        </w:rPr>
        <w:t>representam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destinados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pagamento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empresas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responsáveis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aquisição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equipamentos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infraestrutura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outras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melhorias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garantem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operação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prazo</w:t>
      </w:r>
      <w:proofErr w:type="spellEnd"/>
      <w:r w:rsidRPr="008836E5">
        <w:rPr>
          <w:rFonts w:cs="Arial"/>
          <w:szCs w:val="24"/>
        </w:rPr>
        <w:t xml:space="preserve"> da SEMARH.</w:t>
      </w:r>
    </w:p>
    <w:p w14:paraId="620B22B0" w14:textId="77777777" w:rsidR="00D0376E" w:rsidRPr="008836E5" w:rsidRDefault="00D0376E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Observou</w:t>
      </w:r>
      <w:proofErr w:type="spellEnd"/>
      <w:r w:rsidRPr="008836E5">
        <w:rPr>
          <w:rFonts w:cs="Arial"/>
          <w:szCs w:val="24"/>
        </w:rPr>
        <w:t xml:space="preserve">-se que a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apresentou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tendência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diminuição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anos</w:t>
      </w:r>
      <w:proofErr w:type="spellEnd"/>
      <w:r w:rsidRPr="008836E5">
        <w:rPr>
          <w:rFonts w:cs="Arial"/>
          <w:szCs w:val="24"/>
        </w:rPr>
        <w:t xml:space="preserve">, com um </w:t>
      </w:r>
      <w:proofErr w:type="spellStart"/>
      <w:r w:rsidRPr="008836E5">
        <w:rPr>
          <w:rFonts w:cs="Arial"/>
          <w:szCs w:val="24"/>
        </w:rPr>
        <w:t>pico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2021, </w:t>
      </w:r>
      <w:proofErr w:type="spellStart"/>
      <w:r w:rsidRPr="008836E5">
        <w:rPr>
          <w:rFonts w:cs="Arial"/>
          <w:szCs w:val="24"/>
        </w:rPr>
        <w:t>justificado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retomada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atividades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estavam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paralisadas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devido</w:t>
      </w:r>
      <w:proofErr w:type="spellEnd"/>
      <w:r w:rsidRPr="008836E5">
        <w:rPr>
          <w:rFonts w:cs="Arial"/>
          <w:szCs w:val="24"/>
        </w:rPr>
        <w:t xml:space="preserve"> à pandemia de COVID-19. Nesse </w:t>
      </w:r>
      <w:proofErr w:type="spellStart"/>
      <w:r w:rsidRPr="008836E5">
        <w:rPr>
          <w:rFonts w:cs="Arial"/>
          <w:szCs w:val="24"/>
        </w:rPr>
        <w:t>ano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542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, o que </w:t>
      </w:r>
      <w:proofErr w:type="spellStart"/>
      <w:r w:rsidRPr="008836E5">
        <w:rPr>
          <w:rFonts w:cs="Arial"/>
          <w:szCs w:val="24"/>
        </w:rPr>
        <w:t>corresponde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cerca</w:t>
      </w:r>
      <w:proofErr w:type="spellEnd"/>
      <w:r w:rsidRPr="008836E5">
        <w:rPr>
          <w:rFonts w:cs="Arial"/>
          <w:szCs w:val="24"/>
        </w:rPr>
        <w:t xml:space="preserve"> de 48% do total do </w:t>
      </w:r>
      <w:proofErr w:type="spellStart"/>
      <w:r w:rsidRPr="008836E5">
        <w:rPr>
          <w:rFonts w:cs="Arial"/>
          <w:szCs w:val="24"/>
        </w:rPr>
        <w:t>período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meses de </w:t>
      </w:r>
      <w:proofErr w:type="spellStart"/>
      <w:r w:rsidRPr="008836E5">
        <w:rPr>
          <w:rFonts w:cs="Arial"/>
          <w:szCs w:val="24"/>
        </w:rPr>
        <w:t>agosto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novembro</w:t>
      </w:r>
      <w:proofErr w:type="spellEnd"/>
      <w:r w:rsidRPr="008836E5">
        <w:rPr>
          <w:rFonts w:cs="Arial"/>
          <w:szCs w:val="24"/>
        </w:rPr>
        <w:t xml:space="preserve"> de 2021 </w:t>
      </w:r>
      <w:proofErr w:type="spellStart"/>
      <w:r w:rsidRPr="008836E5">
        <w:rPr>
          <w:rFonts w:cs="Arial"/>
          <w:szCs w:val="24"/>
        </w:rPr>
        <w:t>destacaram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produtivos</w:t>
      </w:r>
      <w:proofErr w:type="spellEnd"/>
      <w:r w:rsidRPr="008836E5">
        <w:rPr>
          <w:rFonts w:cs="Arial"/>
          <w:szCs w:val="24"/>
        </w:rPr>
        <w:t xml:space="preserve">, com 92 e 77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respectivamente</w:t>
      </w:r>
      <w:proofErr w:type="spellEnd"/>
      <w:r w:rsidRPr="008836E5">
        <w:rPr>
          <w:rFonts w:cs="Arial"/>
          <w:szCs w:val="24"/>
        </w:rPr>
        <w:t>.</w:t>
      </w:r>
    </w:p>
    <w:p w14:paraId="603EB4E5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O </w:t>
      </w:r>
      <w:proofErr w:type="spellStart"/>
      <w:r w:rsidRPr="008836E5">
        <w:rPr>
          <w:rFonts w:cs="Arial"/>
          <w:szCs w:val="24"/>
        </w:rPr>
        <w:t>número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2021 </w:t>
      </w:r>
      <w:proofErr w:type="spellStart"/>
      <w:r w:rsidRPr="008836E5">
        <w:rPr>
          <w:rFonts w:cs="Arial"/>
          <w:szCs w:val="24"/>
        </w:rPr>
        <w:t>retrata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retomada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programa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RN+Água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desenvolvido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pelo</w:t>
      </w:r>
      <w:proofErr w:type="spellEnd"/>
      <w:r w:rsidRPr="008836E5">
        <w:rPr>
          <w:rFonts w:cs="Arial"/>
          <w:szCs w:val="24"/>
        </w:rPr>
        <w:t xml:space="preserve"> Governo do Estado do Rio Grande do Norte, tendo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foco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áreas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vulneráveis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termos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hídricos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priorizando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populações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dispersas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afetadas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seca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ou</w:t>
      </w:r>
      <w:proofErr w:type="spellEnd"/>
      <w:r w:rsidRPr="008836E5">
        <w:rPr>
          <w:rFonts w:cs="Arial"/>
          <w:szCs w:val="24"/>
        </w:rPr>
        <w:t xml:space="preserve"> pela </w:t>
      </w:r>
      <w:proofErr w:type="spellStart"/>
      <w:r w:rsidRPr="008836E5">
        <w:rPr>
          <w:rFonts w:cs="Arial"/>
          <w:szCs w:val="24"/>
        </w:rPr>
        <w:t>irregularidade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abastecimento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água</w:t>
      </w:r>
      <w:proofErr w:type="spellEnd"/>
      <w:r w:rsidRPr="008836E5">
        <w:rPr>
          <w:rFonts w:cs="Arial"/>
          <w:szCs w:val="24"/>
        </w:rPr>
        <w:t>.</w:t>
      </w:r>
    </w:p>
    <w:p w14:paraId="60AE91CD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Em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à </w:t>
      </w:r>
      <w:proofErr w:type="spellStart"/>
      <w:r w:rsidRPr="008836E5">
        <w:rPr>
          <w:rFonts w:cs="Arial"/>
          <w:szCs w:val="24"/>
        </w:rPr>
        <w:t>ausência</w:t>
      </w:r>
      <w:proofErr w:type="spellEnd"/>
      <w:r w:rsidRPr="008836E5">
        <w:rPr>
          <w:rFonts w:cs="Arial"/>
          <w:szCs w:val="24"/>
        </w:rPr>
        <w:t xml:space="preserve"> de dados </w:t>
      </w:r>
      <w:proofErr w:type="spellStart"/>
      <w:r w:rsidRPr="008836E5">
        <w:rPr>
          <w:rFonts w:cs="Arial"/>
          <w:szCs w:val="24"/>
        </w:rPr>
        <w:t>nos</w:t>
      </w:r>
      <w:proofErr w:type="spellEnd"/>
      <w:r w:rsidRPr="008836E5">
        <w:rPr>
          <w:rFonts w:cs="Arial"/>
          <w:szCs w:val="24"/>
        </w:rPr>
        <w:t xml:space="preserve"> meses de </w:t>
      </w:r>
      <w:proofErr w:type="spellStart"/>
      <w:r w:rsidRPr="008836E5">
        <w:rPr>
          <w:rFonts w:cs="Arial"/>
          <w:szCs w:val="24"/>
        </w:rPr>
        <w:t>abril</w:t>
      </w:r>
      <w:proofErr w:type="spellEnd"/>
      <w:r w:rsidRPr="008836E5">
        <w:rPr>
          <w:rFonts w:cs="Arial"/>
          <w:szCs w:val="24"/>
        </w:rPr>
        <w:t xml:space="preserve"> de 2021, 2023 e 2024,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ser </w:t>
      </w:r>
      <w:proofErr w:type="spellStart"/>
      <w:r w:rsidRPr="008836E5">
        <w:rPr>
          <w:rFonts w:cs="Arial"/>
          <w:szCs w:val="24"/>
        </w:rPr>
        <w:t>questionado</w:t>
      </w:r>
      <w:proofErr w:type="spellEnd"/>
      <w:r w:rsidRPr="008836E5">
        <w:rPr>
          <w:rFonts w:cs="Arial"/>
          <w:szCs w:val="24"/>
        </w:rPr>
        <w:t xml:space="preserve"> o </w:t>
      </w:r>
      <w:proofErr w:type="spellStart"/>
      <w:r w:rsidRPr="008836E5">
        <w:rPr>
          <w:rFonts w:cs="Arial"/>
          <w:szCs w:val="24"/>
        </w:rPr>
        <w:t>colaborador</w:t>
      </w:r>
      <w:proofErr w:type="spellEnd"/>
      <w:r w:rsidRPr="008836E5">
        <w:rPr>
          <w:rFonts w:cs="Arial"/>
          <w:szCs w:val="24"/>
        </w:rPr>
        <w:t xml:space="preserve"> 1, </w:t>
      </w:r>
      <w:proofErr w:type="spellStart"/>
      <w:r w:rsidRPr="008836E5">
        <w:rPr>
          <w:rFonts w:cs="Arial"/>
          <w:szCs w:val="24"/>
        </w:rPr>
        <w:t>acredita</w:t>
      </w:r>
      <w:proofErr w:type="spellEnd"/>
      <w:r w:rsidRPr="008836E5">
        <w:rPr>
          <w:rFonts w:cs="Arial"/>
          <w:szCs w:val="24"/>
        </w:rPr>
        <w:t xml:space="preserve">-se que </w:t>
      </w:r>
      <w:proofErr w:type="spellStart"/>
      <w:r w:rsidRPr="008836E5">
        <w:rPr>
          <w:rFonts w:cs="Arial"/>
          <w:szCs w:val="24"/>
        </w:rPr>
        <w:t>isso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ocorra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devido</w:t>
      </w:r>
      <w:proofErr w:type="spellEnd"/>
      <w:r w:rsidRPr="008836E5">
        <w:rPr>
          <w:rFonts w:cs="Arial"/>
          <w:szCs w:val="24"/>
        </w:rPr>
        <w:t xml:space="preserve"> à </w:t>
      </w:r>
      <w:proofErr w:type="spellStart"/>
      <w:r w:rsidRPr="008836E5">
        <w:rPr>
          <w:rFonts w:cs="Arial"/>
          <w:szCs w:val="24"/>
        </w:rPr>
        <w:t>manutenção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máquinas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realizada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nesse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período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ano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além</w:t>
      </w:r>
      <w:proofErr w:type="spellEnd"/>
      <w:r w:rsidRPr="008836E5">
        <w:rPr>
          <w:rFonts w:cs="Arial"/>
          <w:szCs w:val="24"/>
        </w:rPr>
        <w:t xml:space="preserve"> do </w:t>
      </w:r>
      <w:proofErr w:type="spellStart"/>
      <w:r w:rsidRPr="008836E5">
        <w:rPr>
          <w:rFonts w:cs="Arial"/>
          <w:szCs w:val="24"/>
        </w:rPr>
        <w:t>fato</w:t>
      </w:r>
      <w:proofErr w:type="spellEnd"/>
      <w:r w:rsidRPr="008836E5">
        <w:rPr>
          <w:rFonts w:cs="Arial"/>
          <w:szCs w:val="24"/>
        </w:rPr>
        <w:t xml:space="preserve"> de o </w:t>
      </w:r>
      <w:proofErr w:type="spellStart"/>
      <w:r w:rsidRPr="008836E5">
        <w:rPr>
          <w:rFonts w:cs="Arial"/>
          <w:szCs w:val="24"/>
        </w:rPr>
        <w:t>orçamento</w:t>
      </w:r>
      <w:proofErr w:type="spellEnd"/>
      <w:r w:rsidRPr="008836E5">
        <w:rPr>
          <w:rFonts w:cs="Arial"/>
          <w:szCs w:val="24"/>
        </w:rPr>
        <w:t xml:space="preserve"> da SEMARH </w:t>
      </w:r>
      <w:proofErr w:type="spellStart"/>
      <w:r w:rsidRPr="008836E5">
        <w:rPr>
          <w:rFonts w:cs="Arial"/>
          <w:szCs w:val="24"/>
        </w:rPr>
        <w:t>geralmente</w:t>
      </w:r>
      <w:proofErr w:type="spellEnd"/>
      <w:r w:rsidRPr="008836E5">
        <w:rPr>
          <w:rFonts w:cs="Arial"/>
          <w:szCs w:val="24"/>
        </w:rPr>
        <w:t xml:space="preserve"> ser </w:t>
      </w:r>
      <w:proofErr w:type="spellStart"/>
      <w:r w:rsidRPr="008836E5">
        <w:rPr>
          <w:rFonts w:cs="Arial"/>
          <w:szCs w:val="24"/>
        </w:rPr>
        <w:t>liberado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após</w:t>
      </w:r>
      <w:proofErr w:type="spellEnd"/>
      <w:r w:rsidRPr="008836E5">
        <w:rPr>
          <w:rFonts w:cs="Arial"/>
          <w:szCs w:val="24"/>
        </w:rPr>
        <w:t xml:space="preserve"> o Carnaval, com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execução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restos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pagar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primeiros</w:t>
      </w:r>
      <w:proofErr w:type="spellEnd"/>
      <w:r w:rsidRPr="008836E5">
        <w:rPr>
          <w:rFonts w:cs="Arial"/>
          <w:szCs w:val="24"/>
        </w:rPr>
        <w:t xml:space="preserve"> meses do </w:t>
      </w:r>
      <w:proofErr w:type="spellStart"/>
      <w:r w:rsidRPr="008836E5">
        <w:rPr>
          <w:rFonts w:cs="Arial"/>
          <w:szCs w:val="24"/>
        </w:rPr>
        <w:t>ano</w:t>
      </w:r>
      <w:proofErr w:type="spellEnd"/>
      <w:r w:rsidRPr="008836E5">
        <w:rPr>
          <w:rFonts w:cs="Arial"/>
          <w:szCs w:val="24"/>
        </w:rPr>
        <w:t>.</w:t>
      </w:r>
    </w:p>
    <w:p w14:paraId="241C52CC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O </w:t>
      </w:r>
      <w:proofErr w:type="spellStart"/>
      <w:r w:rsidRPr="008836E5">
        <w:rPr>
          <w:rFonts w:cs="Arial"/>
          <w:szCs w:val="24"/>
        </w:rPr>
        <w:t>colaborador</w:t>
      </w:r>
      <w:proofErr w:type="spellEnd"/>
      <w:r w:rsidRPr="008836E5">
        <w:rPr>
          <w:rFonts w:cs="Arial"/>
          <w:szCs w:val="24"/>
        </w:rPr>
        <w:t xml:space="preserve"> 2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destacou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setor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implementando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política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, com o </w:t>
      </w:r>
      <w:proofErr w:type="spellStart"/>
      <w:r w:rsidRPr="008836E5">
        <w:rPr>
          <w:rFonts w:cs="Arial"/>
          <w:szCs w:val="24"/>
        </w:rPr>
        <w:t>objetivo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reduzir</w:t>
      </w:r>
      <w:proofErr w:type="spellEnd"/>
      <w:r w:rsidRPr="008836E5">
        <w:rPr>
          <w:rFonts w:cs="Arial"/>
          <w:szCs w:val="24"/>
        </w:rPr>
        <w:t xml:space="preserve"> custos. Peter e Machado (2014) </w:t>
      </w:r>
      <w:proofErr w:type="spellStart"/>
      <w:r w:rsidRPr="008836E5">
        <w:rPr>
          <w:rFonts w:cs="Arial"/>
          <w:szCs w:val="24"/>
        </w:rPr>
        <w:t>afirmam</w:t>
      </w:r>
      <w:proofErr w:type="spellEnd"/>
      <w:r w:rsidRPr="008836E5">
        <w:rPr>
          <w:rFonts w:cs="Arial"/>
          <w:szCs w:val="24"/>
        </w:rPr>
        <w:t xml:space="preserve"> que,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formalizar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disciplinar</w:t>
      </w:r>
      <w:proofErr w:type="spellEnd"/>
      <w:r w:rsidRPr="008836E5">
        <w:rPr>
          <w:rFonts w:cs="Arial"/>
          <w:szCs w:val="24"/>
        </w:rPr>
        <w:t xml:space="preserve"> as </w:t>
      </w:r>
      <w:proofErr w:type="spellStart"/>
      <w:r w:rsidRPr="008836E5">
        <w:rPr>
          <w:rFonts w:cs="Arial"/>
          <w:szCs w:val="24"/>
        </w:rPr>
        <w:t>instruções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meio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instrumentos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eficazes</w:t>
      </w:r>
      <w:proofErr w:type="spellEnd"/>
      <w:r w:rsidRPr="008836E5">
        <w:rPr>
          <w:rFonts w:cs="Arial"/>
          <w:szCs w:val="24"/>
        </w:rPr>
        <w:t xml:space="preserve">,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administração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alcança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grau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segurança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adequado</w:t>
      </w:r>
      <w:proofErr w:type="spellEnd"/>
      <w:r w:rsidRPr="008836E5">
        <w:rPr>
          <w:rFonts w:cs="Arial"/>
          <w:szCs w:val="24"/>
        </w:rPr>
        <w:t xml:space="preserve">, o que </w:t>
      </w:r>
      <w:proofErr w:type="spellStart"/>
      <w:r w:rsidRPr="008836E5">
        <w:rPr>
          <w:rFonts w:cs="Arial"/>
          <w:szCs w:val="24"/>
        </w:rPr>
        <w:t>implica</w:t>
      </w:r>
      <w:proofErr w:type="spellEnd"/>
      <w:r w:rsidRPr="008836E5">
        <w:rPr>
          <w:rFonts w:cs="Arial"/>
          <w:szCs w:val="24"/>
        </w:rPr>
        <w:t xml:space="preserve"> que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associada</w:t>
      </w:r>
      <w:proofErr w:type="spellEnd"/>
      <w:r w:rsidRPr="008836E5">
        <w:rPr>
          <w:rFonts w:cs="Arial"/>
          <w:szCs w:val="24"/>
        </w:rPr>
        <w:t xml:space="preserve"> à </w:t>
      </w:r>
      <w:proofErr w:type="spellStart"/>
      <w:r w:rsidRPr="008836E5">
        <w:rPr>
          <w:rFonts w:cs="Arial"/>
          <w:szCs w:val="24"/>
        </w:rPr>
        <w:t>economicidade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racionalização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gastos</w:t>
      </w:r>
      <w:proofErr w:type="spellEnd"/>
      <w:r w:rsidRPr="008836E5">
        <w:rPr>
          <w:rFonts w:cs="Arial"/>
          <w:szCs w:val="24"/>
        </w:rPr>
        <w:t xml:space="preserve">, com </w:t>
      </w:r>
      <w:proofErr w:type="spellStart"/>
      <w:r w:rsidRPr="008836E5">
        <w:rPr>
          <w:rFonts w:cs="Arial"/>
          <w:szCs w:val="24"/>
        </w:rPr>
        <w:t>foco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meios</w:t>
      </w:r>
      <w:proofErr w:type="spellEnd"/>
      <w:r w:rsidRPr="008836E5">
        <w:rPr>
          <w:rFonts w:cs="Arial"/>
          <w:szCs w:val="24"/>
        </w:rPr>
        <w:t xml:space="preserve"> para se </w:t>
      </w:r>
      <w:proofErr w:type="spellStart"/>
      <w:r w:rsidRPr="008836E5">
        <w:rPr>
          <w:rFonts w:cs="Arial"/>
          <w:szCs w:val="24"/>
        </w:rPr>
        <w:t>chegar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aos</w:t>
      </w:r>
      <w:proofErr w:type="spellEnd"/>
      <w:r w:rsidRPr="008836E5">
        <w:rPr>
          <w:rFonts w:cs="Arial"/>
          <w:szCs w:val="24"/>
        </w:rPr>
        <w:t xml:space="preserve"> fins.</w:t>
      </w:r>
    </w:p>
    <w:p w14:paraId="6DA1101B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Uma das </w:t>
      </w:r>
      <w:proofErr w:type="spellStart"/>
      <w:r w:rsidRPr="008836E5">
        <w:rPr>
          <w:rFonts w:cs="Arial"/>
          <w:szCs w:val="24"/>
        </w:rPr>
        <w:t>ações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eficiência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mencionadas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entrevista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envolve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troca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manutenção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corretiva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manutenção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preventiva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máquinas</w:t>
      </w:r>
      <w:proofErr w:type="spellEnd"/>
      <w:r w:rsidRPr="008836E5">
        <w:rPr>
          <w:rFonts w:cs="Arial"/>
          <w:szCs w:val="24"/>
        </w:rPr>
        <w:t xml:space="preserve">. Essa </w:t>
      </w:r>
      <w:proofErr w:type="spellStart"/>
      <w:r w:rsidRPr="008836E5">
        <w:rPr>
          <w:rFonts w:cs="Arial"/>
          <w:szCs w:val="24"/>
        </w:rPr>
        <w:t>estratégia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só</w:t>
      </w:r>
      <w:proofErr w:type="spellEnd"/>
      <w:r w:rsidRPr="008836E5">
        <w:rPr>
          <w:rFonts w:cs="Arial"/>
          <w:szCs w:val="24"/>
        </w:rPr>
        <w:t xml:space="preserve"> é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econômica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segura</w:t>
      </w:r>
      <w:proofErr w:type="spellEnd"/>
      <w:r w:rsidRPr="008836E5">
        <w:rPr>
          <w:rFonts w:cs="Arial"/>
          <w:szCs w:val="24"/>
        </w:rPr>
        <w:t xml:space="preserve">, mas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promove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sustentabilidade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operações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prazo</w:t>
      </w:r>
      <w:proofErr w:type="spellEnd"/>
      <w:r w:rsidRPr="008836E5">
        <w:rPr>
          <w:rFonts w:cs="Arial"/>
          <w:szCs w:val="24"/>
        </w:rPr>
        <w:t xml:space="preserve">. A </w:t>
      </w:r>
      <w:proofErr w:type="spellStart"/>
      <w:r w:rsidRPr="008836E5">
        <w:rPr>
          <w:rFonts w:cs="Arial"/>
          <w:szCs w:val="24"/>
        </w:rPr>
        <w:t>manutenção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preventiva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ajuda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evitar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falhas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inesperadas</w:t>
      </w:r>
      <w:proofErr w:type="spellEnd"/>
      <w:r w:rsidRPr="008836E5">
        <w:rPr>
          <w:rFonts w:cs="Arial"/>
          <w:szCs w:val="24"/>
        </w:rPr>
        <w:t xml:space="preserve">, que </w:t>
      </w:r>
      <w:proofErr w:type="spellStart"/>
      <w:r w:rsidRPr="008836E5">
        <w:rPr>
          <w:rFonts w:cs="Arial"/>
          <w:szCs w:val="24"/>
        </w:rPr>
        <w:t>geralmente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acarretam</w:t>
      </w:r>
      <w:proofErr w:type="spellEnd"/>
      <w:r w:rsidRPr="008836E5">
        <w:rPr>
          <w:rFonts w:cs="Arial"/>
          <w:szCs w:val="24"/>
        </w:rPr>
        <w:t xml:space="preserve"> custos </w:t>
      </w:r>
      <w:proofErr w:type="spellStart"/>
      <w:r w:rsidRPr="008836E5">
        <w:rPr>
          <w:rFonts w:cs="Arial"/>
          <w:szCs w:val="24"/>
        </w:rPr>
        <w:t>elevados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reparos</w:t>
      </w:r>
      <w:proofErr w:type="spellEnd"/>
      <w:r w:rsidRPr="008836E5">
        <w:rPr>
          <w:rFonts w:cs="Arial"/>
          <w:szCs w:val="24"/>
        </w:rPr>
        <w:t>.</w:t>
      </w:r>
    </w:p>
    <w:p w14:paraId="56F3DE42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gestão</w:t>
      </w:r>
      <w:proofErr w:type="spellEnd"/>
      <w:r w:rsidRPr="008836E5">
        <w:rPr>
          <w:rFonts w:cs="Arial"/>
          <w:szCs w:val="24"/>
        </w:rPr>
        <w:t xml:space="preserve"> da SEMARH, que </w:t>
      </w:r>
      <w:proofErr w:type="spellStart"/>
      <w:r w:rsidRPr="008836E5">
        <w:rPr>
          <w:rFonts w:cs="Arial"/>
          <w:szCs w:val="24"/>
        </w:rPr>
        <w:t>busca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reduzir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custos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comprometer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execução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atividades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está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alinhado</w:t>
      </w:r>
      <w:proofErr w:type="spellEnd"/>
      <w:r w:rsidRPr="008836E5">
        <w:rPr>
          <w:rFonts w:cs="Arial"/>
          <w:szCs w:val="24"/>
        </w:rPr>
        <w:t xml:space="preserve"> com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ideia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racionalização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públicos</w:t>
      </w:r>
      <w:proofErr w:type="spellEnd"/>
      <w:r w:rsidRPr="008836E5">
        <w:rPr>
          <w:rFonts w:cs="Arial"/>
          <w:szCs w:val="24"/>
        </w:rPr>
        <w:t xml:space="preserve">. A Teoria Pós-NPM </w:t>
      </w:r>
      <w:proofErr w:type="spellStart"/>
      <w:r w:rsidRPr="008836E5">
        <w:rPr>
          <w:rFonts w:cs="Arial"/>
          <w:szCs w:val="24"/>
        </w:rPr>
        <w:t>sugere</w:t>
      </w:r>
      <w:proofErr w:type="spellEnd"/>
      <w:r w:rsidRPr="008836E5">
        <w:rPr>
          <w:rFonts w:cs="Arial"/>
          <w:szCs w:val="24"/>
        </w:rPr>
        <w:t xml:space="preserve"> que a </w:t>
      </w:r>
      <w:proofErr w:type="spellStart"/>
      <w:r w:rsidRPr="008836E5">
        <w:rPr>
          <w:rFonts w:cs="Arial"/>
          <w:szCs w:val="24"/>
        </w:rPr>
        <w:t>gestão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pública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deve</w:t>
      </w:r>
      <w:proofErr w:type="spellEnd"/>
      <w:r w:rsidRPr="008836E5">
        <w:rPr>
          <w:rFonts w:cs="Arial"/>
          <w:szCs w:val="24"/>
        </w:rPr>
        <w:t xml:space="preserve"> ser </w:t>
      </w:r>
      <w:proofErr w:type="spellStart"/>
      <w:r w:rsidRPr="008836E5">
        <w:rPr>
          <w:rFonts w:cs="Arial"/>
          <w:szCs w:val="24"/>
        </w:rPr>
        <w:t>apenas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eficiente</w:t>
      </w:r>
      <w:proofErr w:type="spellEnd"/>
      <w:r w:rsidRPr="008836E5">
        <w:rPr>
          <w:rFonts w:cs="Arial"/>
          <w:szCs w:val="24"/>
        </w:rPr>
        <w:t xml:space="preserve">, mas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sustentável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evitando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desperdícios</w:t>
      </w:r>
      <w:proofErr w:type="spellEnd"/>
      <w:r w:rsidRPr="008836E5">
        <w:rPr>
          <w:rFonts w:cs="Arial"/>
          <w:szCs w:val="24"/>
        </w:rPr>
        <w:t xml:space="preserve">, algo que a SEMARH </w:t>
      </w:r>
      <w:proofErr w:type="spellStart"/>
      <w:r w:rsidRPr="008836E5">
        <w:rPr>
          <w:rFonts w:cs="Arial"/>
          <w:szCs w:val="24"/>
        </w:rPr>
        <w:t>está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buscando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implementar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sua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abordagem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preventiva</w:t>
      </w:r>
      <w:proofErr w:type="spellEnd"/>
      <w:r w:rsidRPr="008836E5">
        <w:rPr>
          <w:rFonts w:cs="Arial"/>
          <w:szCs w:val="24"/>
        </w:rPr>
        <w:t>.</w:t>
      </w:r>
    </w:p>
    <w:p w14:paraId="64A26CF4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lastRenderedPageBreak/>
        <w:t xml:space="preserve">A </w:t>
      </w:r>
      <w:proofErr w:type="spellStart"/>
      <w:r w:rsidRPr="008836E5">
        <w:rPr>
          <w:rFonts w:cs="Arial"/>
          <w:szCs w:val="24"/>
        </w:rPr>
        <w:t>Tabela</w:t>
      </w:r>
      <w:proofErr w:type="spellEnd"/>
      <w:r w:rsidRPr="008836E5">
        <w:rPr>
          <w:rFonts w:cs="Arial"/>
          <w:szCs w:val="24"/>
        </w:rPr>
        <w:t xml:space="preserve"> 3 </w:t>
      </w:r>
      <w:proofErr w:type="spellStart"/>
      <w:r w:rsidRPr="008836E5">
        <w:rPr>
          <w:rFonts w:cs="Arial"/>
          <w:szCs w:val="24"/>
        </w:rPr>
        <w:t>apresenta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matriz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entre as </w:t>
      </w:r>
      <w:proofErr w:type="spellStart"/>
      <w:r w:rsidRPr="008836E5">
        <w:rPr>
          <w:rFonts w:cs="Arial"/>
          <w:szCs w:val="24"/>
        </w:rPr>
        <w:t>variáveis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analisadas</w:t>
      </w:r>
      <w:proofErr w:type="spellEnd"/>
      <w:r w:rsidRPr="008836E5">
        <w:rPr>
          <w:rFonts w:cs="Arial"/>
          <w:szCs w:val="24"/>
        </w:rPr>
        <w:t xml:space="preserve">: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construídos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Poçostri</w:t>
      </w:r>
      <w:proofErr w:type="spellEnd"/>
      <w:r w:rsidRPr="008836E5">
        <w:rPr>
          <w:rFonts w:cs="Arial"/>
          <w:szCs w:val="24"/>
        </w:rPr>
        <w:t xml:space="preserve">),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Diáriastri</w:t>
      </w:r>
      <w:proofErr w:type="spellEnd"/>
      <w:r w:rsidRPr="008836E5">
        <w:rPr>
          <w:rFonts w:cs="Arial"/>
          <w:szCs w:val="24"/>
        </w:rPr>
        <w:t xml:space="preserve">) e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Investimentotri</w:t>
      </w:r>
      <w:proofErr w:type="spellEnd"/>
      <w:r w:rsidRPr="008836E5">
        <w:rPr>
          <w:rFonts w:cs="Arial"/>
          <w:szCs w:val="24"/>
        </w:rPr>
        <w:t xml:space="preserve">).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coeficientes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foram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avaliados</w:t>
      </w:r>
      <w:proofErr w:type="spellEnd"/>
      <w:r w:rsidRPr="008836E5">
        <w:rPr>
          <w:rFonts w:cs="Arial"/>
          <w:szCs w:val="24"/>
        </w:rPr>
        <w:t xml:space="preserve"> com base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testes de </w:t>
      </w:r>
      <w:proofErr w:type="spellStart"/>
      <w:r w:rsidRPr="008836E5">
        <w:rPr>
          <w:rFonts w:cs="Arial"/>
          <w:szCs w:val="24"/>
        </w:rPr>
        <w:t>significância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estatística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destacando</w:t>
      </w:r>
      <w:proofErr w:type="spellEnd"/>
      <w:r w:rsidRPr="008836E5">
        <w:rPr>
          <w:rFonts w:cs="Arial"/>
          <w:szCs w:val="24"/>
        </w:rPr>
        <w:t xml:space="preserve">-se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valores</w:t>
      </w:r>
      <w:proofErr w:type="spellEnd"/>
      <w:r w:rsidRPr="008836E5">
        <w:rPr>
          <w:rFonts w:cs="Arial"/>
          <w:szCs w:val="24"/>
        </w:rPr>
        <w:t xml:space="preserve"> com p-valor inferior a 10% (*).</w:t>
      </w:r>
    </w:p>
    <w:p w14:paraId="463ACAD2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szCs w:val="24"/>
        </w:rPr>
      </w:pPr>
    </w:p>
    <w:p w14:paraId="36918C46" w14:textId="3C0B0F30" w:rsidR="002F0627" w:rsidRPr="00F725E2" w:rsidRDefault="003A7F11" w:rsidP="002F0627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proofErr w:type="spellStart"/>
      <w:r w:rsidRPr="00F725E2">
        <w:rPr>
          <w:rFonts w:eastAsia="Times New Roman" w:cs="Arial"/>
          <w:sz w:val="20"/>
          <w:szCs w:val="20"/>
        </w:rPr>
        <w:t>Tabela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3 –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Correlação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entre as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variávei</w:t>
      </w:r>
      <w:r w:rsidR="002F0627" w:rsidRPr="00F725E2">
        <w:rPr>
          <w:rFonts w:eastAsia="Times New Roman" w:cs="Arial"/>
          <w:sz w:val="20"/>
          <w:szCs w:val="20"/>
        </w:rPr>
        <w:t>s</w:t>
      </w:r>
      <w:proofErr w:type="spellEnd"/>
    </w:p>
    <w:tbl>
      <w:tblPr>
        <w:tblW w:w="6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660"/>
        <w:gridCol w:w="1500"/>
        <w:gridCol w:w="1760"/>
      </w:tblGrid>
      <w:tr w:rsidR="002F0627" w:rsidRPr="002F0627" w14:paraId="6002D911" w14:textId="77777777" w:rsidTr="002F0627">
        <w:trPr>
          <w:trHeight w:val="300"/>
          <w:jc w:val="center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F3FE57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Variável</w:t>
            </w:r>
            <w:proofErr w:type="spellEnd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71489D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Poços</w:t>
            </w:r>
            <w:proofErr w:type="spellEnd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Tri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FB965C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Diárias</w:t>
            </w:r>
            <w:proofErr w:type="spellEnd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C433C4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Investimento Tri</w:t>
            </w:r>
          </w:p>
        </w:tc>
      </w:tr>
      <w:tr w:rsidR="002F0627" w:rsidRPr="002F0627" w14:paraId="1375F550" w14:textId="77777777" w:rsidTr="002F0627">
        <w:trPr>
          <w:trHeight w:val="29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4C8C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Poços</w:t>
            </w:r>
            <w:proofErr w:type="spellEnd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7BDD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A16D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0.7853*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D220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0.5947*</w:t>
            </w:r>
          </w:p>
        </w:tc>
      </w:tr>
      <w:tr w:rsidR="002F0627" w:rsidRPr="002F0627" w14:paraId="06706CE1" w14:textId="77777777" w:rsidTr="002F0627">
        <w:trPr>
          <w:trHeight w:val="29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AFD1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Diárias</w:t>
            </w:r>
            <w:proofErr w:type="spellEnd"/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AFC7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0.7853*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50BD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4EA2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0.4812</w:t>
            </w:r>
          </w:p>
        </w:tc>
      </w:tr>
      <w:tr w:rsidR="002F0627" w:rsidRPr="002F0627" w14:paraId="7B9DA196" w14:textId="77777777" w:rsidTr="002F0627">
        <w:trPr>
          <w:trHeight w:val="300"/>
          <w:jc w:val="center"/>
        </w:trPr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0DA6EB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Investimento Tri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C93B2C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0.5947*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EFCA7F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0.4812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3836DE" w14:textId="77777777" w:rsidR="002F0627" w:rsidRPr="002F0627" w:rsidRDefault="002F0627" w:rsidP="002F06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2F062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14:paraId="493B7033" w14:textId="08BF2230" w:rsidR="00D0376E" w:rsidRPr="00F725E2" w:rsidRDefault="00D0376E" w:rsidP="002F0627">
      <w:pPr>
        <w:spacing w:after="0" w:line="240" w:lineRule="auto"/>
        <w:ind w:firstLine="720"/>
        <w:rPr>
          <w:rFonts w:eastAsia="Times New Roman" w:cs="Arial"/>
          <w:sz w:val="20"/>
          <w:szCs w:val="20"/>
        </w:rPr>
      </w:pPr>
      <w:r w:rsidRPr="00F725E2">
        <w:rPr>
          <w:rFonts w:eastAsia="Times New Roman" w:cs="Arial"/>
          <w:sz w:val="20"/>
          <w:szCs w:val="20"/>
        </w:rPr>
        <w:t xml:space="preserve">Fonte: </w:t>
      </w:r>
      <w:proofErr w:type="spellStart"/>
      <w:r w:rsidRPr="00F725E2">
        <w:rPr>
          <w:rFonts w:eastAsia="Times New Roman" w:cs="Arial"/>
          <w:sz w:val="20"/>
          <w:szCs w:val="20"/>
        </w:rPr>
        <w:t>Elaboração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sz w:val="20"/>
          <w:szCs w:val="20"/>
        </w:rPr>
        <w:t>própria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(2025)</w:t>
      </w:r>
    </w:p>
    <w:p w14:paraId="084C217C" w14:textId="69506C25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  <w:r w:rsidRPr="00F725E2">
        <w:rPr>
          <w:rFonts w:eastAsia="Times New Roman" w:cs="Arial"/>
          <w:sz w:val="20"/>
          <w:szCs w:val="20"/>
        </w:rPr>
        <w:t xml:space="preserve">             </w:t>
      </w:r>
      <w:proofErr w:type="spellStart"/>
      <w:r w:rsidRPr="00F725E2">
        <w:rPr>
          <w:rFonts w:eastAsia="Times New Roman" w:cs="Arial"/>
          <w:sz w:val="20"/>
          <w:szCs w:val="20"/>
        </w:rPr>
        <w:t>Nota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: * </w:t>
      </w:r>
      <w:proofErr w:type="spellStart"/>
      <w:r w:rsidRPr="00F725E2">
        <w:rPr>
          <w:rFonts w:eastAsia="Times New Roman" w:cs="Arial"/>
          <w:sz w:val="20"/>
          <w:szCs w:val="20"/>
        </w:rPr>
        <w:t>Estatisticamente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sz w:val="20"/>
          <w:szCs w:val="20"/>
        </w:rPr>
        <w:t>significante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a 10%</w:t>
      </w:r>
    </w:p>
    <w:p w14:paraId="6BAD3410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6EB3357B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6C17B0A2" w14:textId="77777777" w:rsidR="00D0376E" w:rsidRPr="008836E5" w:rsidRDefault="00D0376E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resultados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indicam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forte e </w:t>
      </w:r>
      <w:proofErr w:type="spellStart"/>
      <w:r w:rsidRPr="008836E5">
        <w:rPr>
          <w:rFonts w:cs="Arial"/>
          <w:szCs w:val="24"/>
        </w:rPr>
        <w:t>significativa</w:t>
      </w:r>
      <w:proofErr w:type="spellEnd"/>
      <w:r w:rsidRPr="008836E5">
        <w:rPr>
          <w:rFonts w:cs="Arial"/>
          <w:szCs w:val="24"/>
        </w:rPr>
        <w:t xml:space="preserve"> (r = 0,7853; p = 0,0071) entre </w:t>
      </w:r>
      <w:proofErr w:type="spellStart"/>
      <w:r w:rsidRPr="008836E5">
        <w:rPr>
          <w:rFonts w:cs="Arial"/>
          <w:szCs w:val="24"/>
        </w:rPr>
        <w:t>Poçostri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Diáriastri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sugerindo</w:t>
      </w:r>
      <w:proofErr w:type="spellEnd"/>
      <w:r w:rsidRPr="008836E5">
        <w:rPr>
          <w:rFonts w:cs="Arial"/>
          <w:szCs w:val="24"/>
        </w:rPr>
        <w:t xml:space="preserve"> que 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diretamente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relacionadas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aumento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construídos</w:t>
      </w:r>
      <w:proofErr w:type="spellEnd"/>
      <w:r w:rsidRPr="008836E5">
        <w:rPr>
          <w:rFonts w:cs="Arial"/>
          <w:szCs w:val="24"/>
        </w:rPr>
        <w:t xml:space="preserve">. Isso se </w:t>
      </w:r>
      <w:proofErr w:type="spellStart"/>
      <w:r w:rsidRPr="008836E5">
        <w:rPr>
          <w:rFonts w:cs="Arial"/>
          <w:szCs w:val="24"/>
        </w:rPr>
        <w:t>deve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fato</w:t>
      </w:r>
      <w:proofErr w:type="spellEnd"/>
      <w:r w:rsidRPr="008836E5">
        <w:rPr>
          <w:rFonts w:cs="Arial"/>
          <w:szCs w:val="24"/>
        </w:rPr>
        <w:t xml:space="preserve"> de que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execução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obras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mobilização</w:t>
      </w:r>
      <w:proofErr w:type="spellEnd"/>
      <w:r w:rsidRPr="008836E5">
        <w:rPr>
          <w:rFonts w:cs="Arial"/>
          <w:szCs w:val="24"/>
        </w:rPr>
        <w:t xml:space="preserve"> de equipes de campo, </w:t>
      </w:r>
      <w:proofErr w:type="spellStart"/>
      <w:r w:rsidRPr="008836E5">
        <w:rPr>
          <w:rFonts w:cs="Arial"/>
          <w:szCs w:val="24"/>
        </w:rPr>
        <w:t>cujos</w:t>
      </w:r>
      <w:proofErr w:type="spellEnd"/>
      <w:r w:rsidRPr="008836E5">
        <w:rPr>
          <w:rFonts w:cs="Arial"/>
          <w:szCs w:val="24"/>
        </w:rPr>
        <w:t xml:space="preserve"> custos com </w:t>
      </w:r>
      <w:proofErr w:type="spellStart"/>
      <w:r w:rsidRPr="008836E5">
        <w:rPr>
          <w:rFonts w:cs="Arial"/>
          <w:szCs w:val="24"/>
        </w:rPr>
        <w:t>deslocamento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estadia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impactam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diretamente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produção</w:t>
      </w:r>
      <w:proofErr w:type="spellEnd"/>
      <w:r w:rsidRPr="008836E5">
        <w:rPr>
          <w:rFonts w:cs="Arial"/>
          <w:szCs w:val="24"/>
        </w:rPr>
        <w:t>.</w:t>
      </w:r>
    </w:p>
    <w:p w14:paraId="63E027EB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A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entre </w:t>
      </w:r>
      <w:proofErr w:type="spellStart"/>
      <w:r w:rsidRPr="008836E5">
        <w:rPr>
          <w:rFonts w:cs="Arial"/>
          <w:szCs w:val="24"/>
        </w:rPr>
        <w:t>Poçostri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Investimentotri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moderada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significativa</w:t>
      </w:r>
      <w:proofErr w:type="spellEnd"/>
      <w:r w:rsidRPr="008836E5">
        <w:rPr>
          <w:rFonts w:cs="Arial"/>
          <w:szCs w:val="24"/>
        </w:rPr>
        <w:t xml:space="preserve"> (r = 0,5947; p = 0,0698), </w:t>
      </w:r>
      <w:proofErr w:type="spellStart"/>
      <w:r w:rsidRPr="008836E5">
        <w:rPr>
          <w:rFonts w:cs="Arial"/>
          <w:szCs w:val="24"/>
        </w:rPr>
        <w:t>indicando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também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influenciam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construção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, mas de forma </w:t>
      </w:r>
      <w:proofErr w:type="spellStart"/>
      <w:r w:rsidRPr="008836E5">
        <w:rPr>
          <w:rFonts w:cs="Arial"/>
          <w:szCs w:val="24"/>
        </w:rPr>
        <w:t>menos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intensa</w:t>
      </w:r>
      <w:proofErr w:type="spellEnd"/>
      <w:r w:rsidRPr="008836E5">
        <w:rPr>
          <w:rFonts w:cs="Arial"/>
          <w:szCs w:val="24"/>
        </w:rPr>
        <w:t xml:space="preserve"> que 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. Esse </w:t>
      </w:r>
      <w:proofErr w:type="spellStart"/>
      <w:r w:rsidRPr="008836E5">
        <w:rPr>
          <w:rFonts w:cs="Arial"/>
          <w:szCs w:val="24"/>
        </w:rPr>
        <w:t>impacto</w:t>
      </w:r>
      <w:proofErr w:type="spellEnd"/>
      <w:r w:rsidRPr="008836E5">
        <w:rPr>
          <w:rFonts w:cs="Arial"/>
          <w:szCs w:val="24"/>
        </w:rPr>
        <w:t xml:space="preserve"> é </w:t>
      </w:r>
      <w:proofErr w:type="spellStart"/>
      <w:r w:rsidRPr="008836E5">
        <w:rPr>
          <w:rFonts w:cs="Arial"/>
          <w:szCs w:val="24"/>
        </w:rPr>
        <w:t>provavelmente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diluído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do tempo </w:t>
      </w:r>
      <w:proofErr w:type="spellStart"/>
      <w:r w:rsidRPr="008836E5">
        <w:rPr>
          <w:rFonts w:cs="Arial"/>
          <w:szCs w:val="24"/>
        </w:rPr>
        <w:t>devido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ciclo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aquisição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equipamentos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infraestrutura</w:t>
      </w:r>
      <w:proofErr w:type="spellEnd"/>
      <w:r w:rsidRPr="008836E5">
        <w:rPr>
          <w:rFonts w:cs="Arial"/>
          <w:szCs w:val="24"/>
        </w:rPr>
        <w:t>.</w:t>
      </w:r>
    </w:p>
    <w:p w14:paraId="29683FF5" w14:textId="77777777" w:rsidR="00D0376E" w:rsidRPr="008836E5" w:rsidRDefault="00D0376E" w:rsidP="008836E5">
      <w:pPr>
        <w:jc w:val="both"/>
        <w:rPr>
          <w:rFonts w:cs="Arial"/>
          <w:szCs w:val="24"/>
        </w:rPr>
      </w:pPr>
      <w:proofErr w:type="spellStart"/>
      <w:r w:rsidRPr="008836E5">
        <w:rPr>
          <w:rFonts w:cs="Arial"/>
          <w:szCs w:val="24"/>
        </w:rPr>
        <w:t>Já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entre </w:t>
      </w:r>
      <w:proofErr w:type="spellStart"/>
      <w:r w:rsidRPr="008836E5">
        <w:rPr>
          <w:rFonts w:cs="Arial"/>
          <w:szCs w:val="24"/>
        </w:rPr>
        <w:t>Diáriastri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Investimentotri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fraca</w:t>
      </w:r>
      <w:proofErr w:type="spellEnd"/>
      <w:r w:rsidRPr="008836E5">
        <w:rPr>
          <w:rFonts w:cs="Arial"/>
          <w:szCs w:val="24"/>
        </w:rPr>
        <w:t xml:space="preserve"> (r = 0,4812; p = 0,1591), </w:t>
      </w:r>
      <w:proofErr w:type="spellStart"/>
      <w:r w:rsidRPr="008836E5">
        <w:rPr>
          <w:rFonts w:cs="Arial"/>
          <w:szCs w:val="24"/>
        </w:rPr>
        <w:t>sem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significância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estatística</w:t>
      </w:r>
      <w:proofErr w:type="spellEnd"/>
      <w:r w:rsidRPr="008836E5">
        <w:rPr>
          <w:rFonts w:cs="Arial"/>
          <w:szCs w:val="24"/>
        </w:rPr>
        <w:t xml:space="preserve">. Esse </w:t>
      </w:r>
      <w:proofErr w:type="spellStart"/>
      <w:r w:rsidRPr="008836E5">
        <w:rPr>
          <w:rFonts w:cs="Arial"/>
          <w:szCs w:val="24"/>
        </w:rPr>
        <w:t>resultado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sugere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acontecem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necessariamente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mesmos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períodos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há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maior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gasto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possivelmente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devido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às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diferenças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ciclos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orçamentários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cada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tipo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despesa</w:t>
      </w:r>
      <w:proofErr w:type="spellEnd"/>
      <w:r w:rsidRPr="008836E5">
        <w:rPr>
          <w:rFonts w:cs="Arial"/>
          <w:szCs w:val="24"/>
        </w:rPr>
        <w:t>.</w:t>
      </w:r>
    </w:p>
    <w:p w14:paraId="1F6A6ED3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De </w:t>
      </w:r>
      <w:proofErr w:type="spellStart"/>
      <w:r w:rsidRPr="008836E5">
        <w:rPr>
          <w:rFonts w:cs="Arial"/>
          <w:szCs w:val="24"/>
        </w:rPr>
        <w:t>maneira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geral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resultados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corroboram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hipótese</w:t>
      </w:r>
      <w:proofErr w:type="spellEnd"/>
      <w:r w:rsidRPr="008836E5">
        <w:rPr>
          <w:rFonts w:cs="Arial"/>
          <w:szCs w:val="24"/>
        </w:rPr>
        <w:t xml:space="preserve"> de que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orçamentária</w:t>
      </w:r>
      <w:proofErr w:type="spellEnd"/>
      <w:r w:rsidRPr="008836E5">
        <w:rPr>
          <w:rFonts w:cs="Arial"/>
          <w:szCs w:val="24"/>
        </w:rPr>
        <w:t xml:space="preserve"> da SEMARH </w:t>
      </w:r>
      <w:proofErr w:type="spellStart"/>
      <w:r w:rsidRPr="008836E5">
        <w:rPr>
          <w:rFonts w:cs="Arial"/>
          <w:szCs w:val="24"/>
        </w:rPr>
        <w:t>está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alinhada</w:t>
      </w:r>
      <w:proofErr w:type="spellEnd"/>
      <w:r w:rsidRPr="008836E5">
        <w:rPr>
          <w:rFonts w:cs="Arial"/>
          <w:szCs w:val="24"/>
        </w:rPr>
        <w:t xml:space="preserve"> com a </w:t>
      </w:r>
      <w:proofErr w:type="spellStart"/>
      <w:r w:rsidRPr="008836E5">
        <w:rPr>
          <w:rFonts w:cs="Arial"/>
          <w:szCs w:val="24"/>
        </w:rPr>
        <w:t>produção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especialmente</w:t>
      </w:r>
      <w:proofErr w:type="spellEnd"/>
      <w:r w:rsidRPr="008836E5">
        <w:rPr>
          <w:rFonts w:cs="Arial"/>
          <w:szCs w:val="24"/>
        </w:rPr>
        <w:t xml:space="preserve"> no que </w:t>
      </w:r>
      <w:proofErr w:type="spellStart"/>
      <w:r w:rsidRPr="008836E5">
        <w:rPr>
          <w:rFonts w:cs="Arial"/>
          <w:szCs w:val="24"/>
        </w:rPr>
        <w:t>diz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respeito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gastos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operacionais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. Esses </w:t>
      </w:r>
      <w:proofErr w:type="spellStart"/>
      <w:r w:rsidRPr="008836E5">
        <w:rPr>
          <w:rFonts w:cs="Arial"/>
          <w:szCs w:val="24"/>
        </w:rPr>
        <w:t>achados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reforçam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importância</w:t>
      </w:r>
      <w:proofErr w:type="spellEnd"/>
      <w:r w:rsidRPr="008836E5">
        <w:rPr>
          <w:rFonts w:cs="Arial"/>
          <w:szCs w:val="24"/>
        </w:rPr>
        <w:t xml:space="preserve"> de um </w:t>
      </w:r>
      <w:proofErr w:type="spellStart"/>
      <w:r w:rsidRPr="008836E5">
        <w:rPr>
          <w:rFonts w:cs="Arial"/>
          <w:szCs w:val="24"/>
        </w:rPr>
        <w:t>planejamento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eficiente</w:t>
      </w:r>
      <w:proofErr w:type="spellEnd"/>
      <w:r w:rsidRPr="008836E5">
        <w:rPr>
          <w:rFonts w:cs="Arial"/>
          <w:szCs w:val="24"/>
        </w:rPr>
        <w:t xml:space="preserve"> para </w:t>
      </w:r>
      <w:proofErr w:type="spellStart"/>
      <w:r w:rsidRPr="008836E5">
        <w:rPr>
          <w:rFonts w:cs="Arial"/>
          <w:szCs w:val="24"/>
        </w:rPr>
        <w:t>otimizar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alocação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recursos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maximizar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entrega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infraestrutura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hídrica</w:t>
      </w:r>
      <w:proofErr w:type="spellEnd"/>
      <w:r w:rsidRPr="008836E5">
        <w:rPr>
          <w:rFonts w:cs="Arial"/>
          <w:szCs w:val="24"/>
        </w:rPr>
        <w:t>.</w:t>
      </w:r>
    </w:p>
    <w:p w14:paraId="71E707BB" w14:textId="4096F875" w:rsidR="002F0627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regressão</w:t>
      </w:r>
      <w:proofErr w:type="spellEnd"/>
      <w:r w:rsidRPr="008836E5">
        <w:rPr>
          <w:rFonts w:cs="Arial"/>
          <w:szCs w:val="24"/>
        </w:rPr>
        <w:t xml:space="preserve"> GLM </w:t>
      </w:r>
      <w:proofErr w:type="spellStart"/>
      <w:r w:rsidRPr="008836E5">
        <w:rPr>
          <w:rFonts w:cs="Arial"/>
          <w:szCs w:val="24"/>
        </w:rPr>
        <w:t>revela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informações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importantes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sobre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entre as </w:t>
      </w:r>
      <w:proofErr w:type="spellStart"/>
      <w:r w:rsidRPr="008836E5">
        <w:rPr>
          <w:rFonts w:cs="Arial"/>
          <w:szCs w:val="24"/>
        </w:rPr>
        <w:t>variáveis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independentes</w:t>
      </w:r>
      <w:proofErr w:type="spellEnd"/>
      <w:r w:rsidRPr="008836E5">
        <w:rPr>
          <w:rFonts w:cs="Arial"/>
          <w:szCs w:val="24"/>
        </w:rPr>
        <w:t xml:space="preserve"> e 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conforme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apresentado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Tabela</w:t>
      </w:r>
      <w:proofErr w:type="spellEnd"/>
      <w:r w:rsidRPr="008836E5">
        <w:rPr>
          <w:rFonts w:cs="Arial"/>
          <w:szCs w:val="24"/>
        </w:rPr>
        <w:t xml:space="preserve"> 4.</w:t>
      </w:r>
    </w:p>
    <w:p w14:paraId="2867D523" w14:textId="77777777" w:rsidR="00CE45BF" w:rsidRPr="00F725E2" w:rsidRDefault="00CE45BF" w:rsidP="00CE45BF">
      <w:pPr>
        <w:spacing w:after="0" w:line="360" w:lineRule="auto"/>
        <w:ind w:firstLine="720"/>
        <w:jc w:val="both"/>
        <w:rPr>
          <w:rFonts w:eastAsia="Times New Roman" w:cs="Arial"/>
          <w:szCs w:val="24"/>
        </w:rPr>
      </w:pPr>
    </w:p>
    <w:p w14:paraId="5BD1413B" w14:textId="2F51D863" w:rsidR="00D0376E" w:rsidRPr="00F725E2" w:rsidRDefault="00D0376E" w:rsidP="002F0627">
      <w:pPr>
        <w:spacing w:after="0" w:line="360" w:lineRule="auto"/>
        <w:jc w:val="center"/>
        <w:rPr>
          <w:rFonts w:eastAsia="Times New Roman" w:cs="Arial"/>
          <w:sz w:val="20"/>
          <w:szCs w:val="20"/>
        </w:rPr>
      </w:pPr>
      <w:proofErr w:type="spellStart"/>
      <w:r w:rsidRPr="00F725E2">
        <w:rPr>
          <w:rFonts w:eastAsia="Times New Roman" w:cs="Arial"/>
          <w:sz w:val="20"/>
          <w:szCs w:val="20"/>
        </w:rPr>
        <w:lastRenderedPageBreak/>
        <w:t>Tabela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</w:t>
      </w:r>
      <w:r w:rsidR="003A7F11" w:rsidRPr="00F725E2">
        <w:rPr>
          <w:rFonts w:eastAsia="Times New Roman" w:cs="Arial"/>
          <w:sz w:val="20"/>
          <w:szCs w:val="20"/>
        </w:rPr>
        <w:t>4</w:t>
      </w:r>
      <w:r w:rsidRPr="00F725E2">
        <w:rPr>
          <w:rFonts w:eastAsia="Times New Roman" w:cs="Arial"/>
          <w:sz w:val="20"/>
          <w:szCs w:val="20"/>
        </w:rPr>
        <w:t xml:space="preserve"> -</w:t>
      </w:r>
      <w:proofErr w:type="spellStart"/>
      <w:r w:rsidRPr="00F725E2">
        <w:rPr>
          <w:rFonts w:eastAsia="Times New Roman" w:cs="Arial"/>
          <w:sz w:val="20"/>
          <w:szCs w:val="20"/>
        </w:rPr>
        <w:t>Modelo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de </w:t>
      </w:r>
      <w:proofErr w:type="spellStart"/>
      <w:r w:rsidRPr="00F725E2">
        <w:rPr>
          <w:rFonts w:eastAsia="Times New Roman" w:cs="Arial"/>
          <w:sz w:val="20"/>
          <w:szCs w:val="20"/>
        </w:rPr>
        <w:t>regressão</w:t>
      </w:r>
      <w:proofErr w:type="spellEnd"/>
    </w:p>
    <w:tbl>
      <w:tblPr>
        <w:tblW w:w="3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980"/>
      </w:tblGrid>
      <w:tr w:rsidR="00CE45BF" w:rsidRPr="00CE45BF" w14:paraId="4970B2CB" w14:textId="77777777" w:rsidTr="00CE45BF">
        <w:trPr>
          <w:trHeight w:val="300"/>
          <w:jc w:val="center"/>
        </w:trPr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C3C79BF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E45B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Variáveis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71771AD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Modelo</w:t>
            </w:r>
          </w:p>
        </w:tc>
      </w:tr>
      <w:tr w:rsidR="00CE45BF" w:rsidRPr="00CE45BF" w14:paraId="7CF55505" w14:textId="77777777" w:rsidTr="00CE45BF">
        <w:trPr>
          <w:trHeight w:val="290"/>
          <w:jc w:val="center"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F163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Diárias</w:t>
            </w:r>
            <w:proofErr w:type="spellEnd"/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Tri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41C10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0,0002476***</w:t>
            </w:r>
          </w:p>
        </w:tc>
      </w:tr>
      <w:tr w:rsidR="00CE45BF" w:rsidRPr="00CE45BF" w14:paraId="2DB130B4" w14:textId="77777777" w:rsidTr="00CE45BF">
        <w:trPr>
          <w:trHeight w:val="290"/>
          <w:jc w:val="center"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B9E65" w14:textId="77777777" w:rsidR="00CE45BF" w:rsidRPr="00CE45BF" w:rsidRDefault="00CE45BF" w:rsidP="00CE45B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87304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[0,0000933]</w:t>
            </w:r>
          </w:p>
        </w:tc>
      </w:tr>
      <w:tr w:rsidR="00CE45BF" w:rsidRPr="00CE45BF" w14:paraId="19D6DD1D" w14:textId="77777777" w:rsidTr="00CE45BF">
        <w:trPr>
          <w:trHeight w:val="290"/>
          <w:jc w:val="center"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6317A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Investimento Tri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BEC1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0,0000168</w:t>
            </w:r>
          </w:p>
        </w:tc>
      </w:tr>
      <w:tr w:rsidR="00CE45BF" w:rsidRPr="00CE45BF" w14:paraId="0C2ADF13" w14:textId="77777777" w:rsidTr="00CE45BF">
        <w:trPr>
          <w:trHeight w:val="290"/>
          <w:jc w:val="center"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6F29" w14:textId="77777777" w:rsidR="00CE45BF" w:rsidRPr="00CE45BF" w:rsidRDefault="00CE45BF" w:rsidP="00CE45B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58A0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[0,0000146]</w:t>
            </w:r>
          </w:p>
        </w:tc>
      </w:tr>
      <w:tr w:rsidR="00CE45BF" w:rsidRPr="00CE45BF" w14:paraId="7BF51320" w14:textId="77777777" w:rsidTr="00CE45BF">
        <w:trPr>
          <w:trHeight w:val="290"/>
          <w:jc w:val="center"/>
        </w:trPr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BC936C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Constante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086ED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15,97552</w:t>
            </w:r>
          </w:p>
        </w:tc>
      </w:tr>
      <w:tr w:rsidR="00CE45BF" w:rsidRPr="00CE45BF" w14:paraId="06BDCA80" w14:textId="77777777" w:rsidTr="00CE45BF">
        <w:trPr>
          <w:trHeight w:val="300"/>
          <w:jc w:val="center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EBBB73" w14:textId="77777777" w:rsidR="00CE45BF" w:rsidRPr="00CE45BF" w:rsidRDefault="00CE45BF" w:rsidP="00CE45B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2D1F8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[12,31048]</w:t>
            </w:r>
          </w:p>
        </w:tc>
      </w:tr>
      <w:tr w:rsidR="00CE45BF" w:rsidRPr="00CE45BF" w14:paraId="092DF041" w14:textId="77777777" w:rsidTr="00CE45BF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0E34D7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Observações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E0DF99E" w14:textId="77777777" w:rsidR="00CE45BF" w:rsidRPr="00CE45BF" w:rsidRDefault="00CE45BF" w:rsidP="00CE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CE45B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</w:tbl>
    <w:p w14:paraId="4B12E366" w14:textId="61FB7691" w:rsidR="00CE45BF" w:rsidRPr="00F725E2" w:rsidRDefault="00CE45BF" w:rsidP="00CE45BF">
      <w:pPr>
        <w:spacing w:after="0" w:line="240" w:lineRule="auto"/>
        <w:ind w:left="1440" w:firstLine="720"/>
        <w:rPr>
          <w:rFonts w:eastAsia="Times New Roman" w:cs="Arial"/>
          <w:sz w:val="20"/>
          <w:szCs w:val="20"/>
        </w:rPr>
      </w:pPr>
      <w:r w:rsidRPr="00F725E2">
        <w:rPr>
          <w:rFonts w:eastAsia="Times New Roman" w:cs="Arial"/>
          <w:szCs w:val="20"/>
        </w:rPr>
        <w:t xml:space="preserve">     </w:t>
      </w:r>
      <w:r w:rsidR="00D0376E" w:rsidRPr="00F725E2">
        <w:rPr>
          <w:rFonts w:eastAsia="Times New Roman" w:cs="Arial"/>
          <w:sz w:val="20"/>
          <w:szCs w:val="20"/>
        </w:rPr>
        <w:t xml:space="preserve">Fonte: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Elaboração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</w:t>
      </w:r>
      <w:r w:rsidRPr="00F725E2">
        <w:rPr>
          <w:rFonts w:eastAsia="Times New Roman" w:cs="Arial"/>
          <w:sz w:val="20"/>
          <w:szCs w:val="20"/>
        </w:rPr>
        <w:t>propria</w:t>
      </w:r>
    </w:p>
    <w:p w14:paraId="4FA184EA" w14:textId="31E88730" w:rsidR="00D0376E" w:rsidRPr="00F725E2" w:rsidRDefault="00CE45BF" w:rsidP="00CE45BF">
      <w:pPr>
        <w:spacing w:after="0" w:line="240" w:lineRule="auto"/>
        <w:ind w:left="1440" w:firstLine="720"/>
        <w:rPr>
          <w:rFonts w:eastAsia="Times New Roman" w:cs="Arial"/>
          <w:sz w:val="20"/>
          <w:szCs w:val="20"/>
        </w:rPr>
      </w:pPr>
      <w:r w:rsidRPr="00F725E2">
        <w:rPr>
          <w:rFonts w:eastAsia="Times New Roman" w:cs="Arial"/>
          <w:sz w:val="20"/>
          <w:szCs w:val="20"/>
        </w:rPr>
        <w:t xml:space="preserve">     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Nota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: Erro </w:t>
      </w:r>
      <w:proofErr w:type="spellStart"/>
      <w:r w:rsidR="00D0376E" w:rsidRPr="00F725E2">
        <w:rPr>
          <w:rFonts w:eastAsia="Times New Roman" w:cs="Arial"/>
          <w:sz w:val="20"/>
          <w:szCs w:val="20"/>
        </w:rPr>
        <w:t>padrão</w:t>
      </w:r>
      <w:proofErr w:type="spellEnd"/>
      <w:r w:rsidR="00D0376E" w:rsidRPr="00F725E2">
        <w:rPr>
          <w:rFonts w:eastAsia="Times New Roman" w:cs="Arial"/>
          <w:sz w:val="20"/>
          <w:szCs w:val="20"/>
        </w:rPr>
        <w:t xml:space="preserve"> entre </w:t>
      </w:r>
      <w:proofErr w:type="spellStart"/>
      <w:proofErr w:type="gramStart"/>
      <w:r w:rsidR="00D0376E" w:rsidRPr="00F725E2">
        <w:rPr>
          <w:rFonts w:eastAsia="Times New Roman" w:cs="Arial"/>
          <w:sz w:val="20"/>
          <w:szCs w:val="20"/>
        </w:rPr>
        <w:t>colchetes</w:t>
      </w:r>
      <w:proofErr w:type="spellEnd"/>
      <w:r w:rsidR="00D0376E" w:rsidRPr="00F725E2">
        <w:rPr>
          <w:rFonts w:eastAsia="Times New Roman" w:cs="Arial"/>
          <w:sz w:val="20"/>
          <w:szCs w:val="20"/>
        </w:rPr>
        <w:t>;</w:t>
      </w:r>
      <w:proofErr w:type="gramEnd"/>
    </w:p>
    <w:p w14:paraId="0274D808" w14:textId="12B1F6F7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  <w:r w:rsidRPr="00F725E2">
        <w:rPr>
          <w:rFonts w:eastAsia="Times New Roman" w:cs="Arial"/>
          <w:sz w:val="20"/>
          <w:szCs w:val="20"/>
        </w:rPr>
        <w:t xml:space="preserve">                                            *** </w:t>
      </w:r>
      <w:proofErr w:type="spellStart"/>
      <w:r w:rsidRPr="00F725E2">
        <w:rPr>
          <w:rFonts w:eastAsia="Times New Roman" w:cs="Arial"/>
          <w:sz w:val="20"/>
          <w:szCs w:val="20"/>
        </w:rPr>
        <w:t>Estatisticamente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725E2">
        <w:rPr>
          <w:rFonts w:eastAsia="Times New Roman" w:cs="Arial"/>
          <w:sz w:val="20"/>
          <w:szCs w:val="20"/>
        </w:rPr>
        <w:t>significante</w:t>
      </w:r>
      <w:proofErr w:type="spellEnd"/>
      <w:r w:rsidRPr="00F725E2">
        <w:rPr>
          <w:rFonts w:eastAsia="Times New Roman" w:cs="Arial"/>
          <w:sz w:val="20"/>
          <w:szCs w:val="20"/>
        </w:rPr>
        <w:t xml:space="preserve"> a 1%.</w:t>
      </w:r>
    </w:p>
    <w:p w14:paraId="57906845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59FD1634" w14:textId="77777777" w:rsidR="00D0376E" w:rsidRPr="00F725E2" w:rsidRDefault="00D0376E" w:rsidP="00D0376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5D49B263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Tri se </w:t>
      </w:r>
      <w:proofErr w:type="spellStart"/>
      <w:r w:rsidRPr="008836E5">
        <w:rPr>
          <w:rFonts w:cs="Arial"/>
          <w:szCs w:val="24"/>
        </w:rPr>
        <w:t>destaca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como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sendo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estatisticamente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significativa</w:t>
      </w:r>
      <w:proofErr w:type="spellEnd"/>
      <w:r w:rsidRPr="008836E5">
        <w:rPr>
          <w:rFonts w:cs="Arial"/>
          <w:szCs w:val="24"/>
        </w:rPr>
        <w:t xml:space="preserve"> a 1%, com um </w:t>
      </w:r>
      <w:proofErr w:type="spellStart"/>
      <w:r w:rsidRPr="008836E5">
        <w:rPr>
          <w:rFonts w:cs="Arial"/>
          <w:szCs w:val="24"/>
        </w:rPr>
        <w:t>coeficiente</w:t>
      </w:r>
      <w:proofErr w:type="spellEnd"/>
      <w:r w:rsidRPr="008836E5">
        <w:rPr>
          <w:rFonts w:cs="Arial"/>
          <w:szCs w:val="24"/>
        </w:rPr>
        <w:t xml:space="preserve"> de </w:t>
      </w:r>
      <w:proofErr w:type="gramStart"/>
      <w:r w:rsidRPr="008836E5">
        <w:rPr>
          <w:rFonts w:cs="Arial"/>
          <w:szCs w:val="24"/>
        </w:rPr>
        <w:t>0,0002476 e</w:t>
      </w:r>
      <w:proofErr w:type="gram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erro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padrão</w:t>
      </w:r>
      <w:proofErr w:type="spellEnd"/>
      <w:r w:rsidRPr="008836E5">
        <w:rPr>
          <w:rFonts w:cs="Arial"/>
          <w:szCs w:val="24"/>
        </w:rPr>
        <w:t xml:space="preserve"> de 0,0000933. Isso indica que, para </w:t>
      </w:r>
      <w:proofErr w:type="spellStart"/>
      <w:r w:rsidRPr="008836E5">
        <w:rPr>
          <w:rFonts w:cs="Arial"/>
          <w:szCs w:val="24"/>
        </w:rPr>
        <w:t>cada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unidade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aumento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Tri, 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tende</w:t>
      </w:r>
      <w:proofErr w:type="spellEnd"/>
      <w:r w:rsidRPr="008836E5">
        <w:rPr>
          <w:rFonts w:cs="Arial"/>
          <w:szCs w:val="24"/>
        </w:rPr>
        <w:t xml:space="preserve">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aumentar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0,0002476 </w:t>
      </w:r>
      <w:proofErr w:type="spellStart"/>
      <w:r w:rsidRPr="008836E5">
        <w:rPr>
          <w:rFonts w:cs="Arial"/>
          <w:szCs w:val="24"/>
        </w:rPr>
        <w:t>unidades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refletindo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robusta e </w:t>
      </w:r>
      <w:proofErr w:type="spellStart"/>
      <w:r w:rsidRPr="008836E5">
        <w:rPr>
          <w:rFonts w:cs="Arial"/>
          <w:szCs w:val="24"/>
        </w:rPr>
        <w:t>relevante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. Esse </w:t>
      </w:r>
      <w:proofErr w:type="spellStart"/>
      <w:r w:rsidRPr="008836E5">
        <w:rPr>
          <w:rFonts w:cs="Arial"/>
          <w:szCs w:val="24"/>
        </w:rPr>
        <w:t>achado</w:t>
      </w:r>
      <w:proofErr w:type="spellEnd"/>
      <w:r w:rsidRPr="008836E5">
        <w:rPr>
          <w:rFonts w:cs="Arial"/>
          <w:szCs w:val="24"/>
        </w:rPr>
        <w:t xml:space="preserve"> é </w:t>
      </w:r>
      <w:proofErr w:type="spellStart"/>
      <w:r w:rsidRPr="008836E5">
        <w:rPr>
          <w:rFonts w:cs="Arial"/>
          <w:szCs w:val="24"/>
        </w:rPr>
        <w:t>consistente</w:t>
      </w:r>
      <w:proofErr w:type="spellEnd"/>
      <w:r w:rsidRPr="008836E5">
        <w:rPr>
          <w:rFonts w:cs="Arial"/>
          <w:szCs w:val="24"/>
        </w:rPr>
        <w:t xml:space="preserve"> com a </w:t>
      </w:r>
      <w:proofErr w:type="spellStart"/>
      <w:r w:rsidRPr="008836E5">
        <w:rPr>
          <w:rFonts w:cs="Arial"/>
          <w:szCs w:val="24"/>
        </w:rPr>
        <w:t>prática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operacional</w:t>
      </w:r>
      <w:proofErr w:type="spellEnd"/>
      <w:r w:rsidRPr="008836E5">
        <w:rPr>
          <w:rFonts w:cs="Arial"/>
          <w:szCs w:val="24"/>
        </w:rPr>
        <w:t xml:space="preserve"> da SEMARH, </w:t>
      </w:r>
      <w:proofErr w:type="spellStart"/>
      <w:r w:rsidRPr="008836E5">
        <w:rPr>
          <w:rFonts w:cs="Arial"/>
          <w:szCs w:val="24"/>
        </w:rPr>
        <w:t>já</w:t>
      </w:r>
      <w:proofErr w:type="spellEnd"/>
      <w:r w:rsidRPr="008836E5">
        <w:rPr>
          <w:rFonts w:cs="Arial"/>
          <w:szCs w:val="24"/>
        </w:rPr>
        <w:t xml:space="preserve"> que as </w:t>
      </w:r>
      <w:proofErr w:type="spellStart"/>
      <w:r w:rsidRPr="008836E5">
        <w:rPr>
          <w:rFonts w:cs="Arial"/>
          <w:szCs w:val="24"/>
        </w:rPr>
        <w:t>despesas</w:t>
      </w:r>
      <w:proofErr w:type="spellEnd"/>
      <w:r w:rsidRPr="008836E5">
        <w:rPr>
          <w:rFonts w:cs="Arial"/>
          <w:szCs w:val="24"/>
        </w:rPr>
        <w:t xml:space="preserve"> com </w:t>
      </w:r>
      <w:proofErr w:type="spellStart"/>
      <w:r w:rsidRPr="008836E5">
        <w:rPr>
          <w:rFonts w:cs="Arial"/>
          <w:szCs w:val="24"/>
        </w:rPr>
        <w:t>diárias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envolvem</w:t>
      </w:r>
      <w:proofErr w:type="spellEnd"/>
      <w:r w:rsidRPr="008836E5">
        <w:rPr>
          <w:rFonts w:cs="Arial"/>
          <w:szCs w:val="24"/>
        </w:rPr>
        <w:t xml:space="preserve"> custos com </w:t>
      </w:r>
      <w:proofErr w:type="spellStart"/>
      <w:r w:rsidRPr="008836E5">
        <w:rPr>
          <w:rFonts w:cs="Arial"/>
          <w:szCs w:val="24"/>
        </w:rPr>
        <w:t>deslocamento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estadia</w:t>
      </w:r>
      <w:proofErr w:type="spellEnd"/>
      <w:r w:rsidRPr="008836E5">
        <w:rPr>
          <w:rFonts w:cs="Arial"/>
          <w:szCs w:val="24"/>
        </w:rPr>
        <w:t xml:space="preserve"> das equipes, </w:t>
      </w:r>
      <w:proofErr w:type="spellStart"/>
      <w:r w:rsidRPr="008836E5">
        <w:rPr>
          <w:rFonts w:cs="Arial"/>
          <w:szCs w:val="24"/>
        </w:rPr>
        <w:t>essenciais</w:t>
      </w:r>
      <w:proofErr w:type="spellEnd"/>
      <w:r w:rsidRPr="008836E5">
        <w:rPr>
          <w:rFonts w:cs="Arial"/>
          <w:szCs w:val="24"/>
        </w:rPr>
        <w:t xml:space="preserve"> para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execução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obras</w:t>
      </w:r>
      <w:proofErr w:type="spellEnd"/>
      <w:r w:rsidRPr="008836E5">
        <w:rPr>
          <w:rFonts w:cs="Arial"/>
          <w:szCs w:val="24"/>
        </w:rPr>
        <w:t xml:space="preserve"> no campo.</w:t>
      </w:r>
    </w:p>
    <w:p w14:paraId="6F4D7693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Por outro </w:t>
      </w:r>
      <w:proofErr w:type="spellStart"/>
      <w:r w:rsidRPr="008836E5">
        <w:rPr>
          <w:rFonts w:cs="Arial"/>
          <w:szCs w:val="24"/>
        </w:rPr>
        <w:t>lado</w:t>
      </w:r>
      <w:proofErr w:type="spellEnd"/>
      <w:r w:rsidRPr="008836E5">
        <w:rPr>
          <w:rFonts w:cs="Arial"/>
          <w:szCs w:val="24"/>
        </w:rPr>
        <w:t xml:space="preserve">, 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Investimento Tri </w:t>
      </w:r>
      <w:proofErr w:type="spellStart"/>
      <w:r w:rsidRPr="008836E5">
        <w:rPr>
          <w:rFonts w:cs="Arial"/>
          <w:szCs w:val="24"/>
        </w:rPr>
        <w:t>possui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coeficiente</w:t>
      </w:r>
      <w:proofErr w:type="spellEnd"/>
      <w:r w:rsidRPr="008836E5">
        <w:rPr>
          <w:rFonts w:cs="Arial"/>
          <w:szCs w:val="24"/>
        </w:rPr>
        <w:t xml:space="preserve"> de 0,0000168, mas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apresenta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significância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estatística</w:t>
      </w:r>
      <w:proofErr w:type="spellEnd"/>
      <w:r w:rsidRPr="008836E5">
        <w:rPr>
          <w:rFonts w:cs="Arial"/>
          <w:szCs w:val="24"/>
        </w:rPr>
        <w:t xml:space="preserve">. Isso </w:t>
      </w:r>
      <w:proofErr w:type="spellStart"/>
      <w:r w:rsidRPr="008836E5">
        <w:rPr>
          <w:rFonts w:cs="Arial"/>
          <w:szCs w:val="24"/>
        </w:rPr>
        <w:t>sugere</w:t>
      </w:r>
      <w:proofErr w:type="spellEnd"/>
      <w:r w:rsidRPr="008836E5">
        <w:rPr>
          <w:rFonts w:cs="Arial"/>
          <w:szCs w:val="24"/>
        </w:rPr>
        <w:t xml:space="preserve"> que, </w:t>
      </w:r>
      <w:proofErr w:type="spellStart"/>
      <w:r w:rsidRPr="008836E5">
        <w:rPr>
          <w:rFonts w:cs="Arial"/>
          <w:szCs w:val="24"/>
        </w:rPr>
        <w:t>embora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exista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correlação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positiva</w:t>
      </w:r>
      <w:proofErr w:type="spellEnd"/>
      <w:r w:rsidRPr="008836E5">
        <w:rPr>
          <w:rFonts w:cs="Arial"/>
          <w:szCs w:val="24"/>
        </w:rPr>
        <w:t xml:space="preserve"> entre Investimento Tri e a </w:t>
      </w:r>
      <w:proofErr w:type="spellStart"/>
      <w:r w:rsidRPr="008836E5">
        <w:rPr>
          <w:rFonts w:cs="Arial"/>
          <w:szCs w:val="24"/>
        </w:rPr>
        <w:t>variável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dependente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essa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relação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é forte o </w:t>
      </w:r>
      <w:proofErr w:type="spellStart"/>
      <w:r w:rsidRPr="008836E5">
        <w:rPr>
          <w:rFonts w:cs="Arial"/>
          <w:szCs w:val="24"/>
        </w:rPr>
        <w:t>suficiente</w:t>
      </w:r>
      <w:proofErr w:type="spellEnd"/>
      <w:r w:rsidRPr="008836E5">
        <w:rPr>
          <w:rFonts w:cs="Arial"/>
          <w:szCs w:val="24"/>
        </w:rPr>
        <w:t xml:space="preserve"> para ser </w:t>
      </w:r>
      <w:proofErr w:type="spellStart"/>
      <w:r w:rsidRPr="008836E5">
        <w:rPr>
          <w:rFonts w:cs="Arial"/>
          <w:szCs w:val="24"/>
        </w:rPr>
        <w:t>considerada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estatisticamente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relevante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já</w:t>
      </w:r>
      <w:proofErr w:type="spellEnd"/>
      <w:r w:rsidRPr="008836E5">
        <w:rPr>
          <w:rFonts w:cs="Arial"/>
          <w:szCs w:val="24"/>
        </w:rPr>
        <w:t xml:space="preserve"> que o valor </w:t>
      </w:r>
      <w:proofErr w:type="gramStart"/>
      <w:r w:rsidRPr="008836E5">
        <w:rPr>
          <w:rFonts w:cs="Arial"/>
          <w:szCs w:val="24"/>
        </w:rPr>
        <w:t>do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coeficiente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se distingue </w:t>
      </w:r>
      <w:proofErr w:type="spellStart"/>
      <w:r w:rsidRPr="008836E5">
        <w:rPr>
          <w:rFonts w:cs="Arial"/>
          <w:szCs w:val="24"/>
        </w:rPr>
        <w:t>significativamente</w:t>
      </w:r>
      <w:proofErr w:type="spellEnd"/>
      <w:r w:rsidRPr="008836E5">
        <w:rPr>
          <w:rFonts w:cs="Arial"/>
          <w:szCs w:val="24"/>
        </w:rPr>
        <w:t xml:space="preserve"> de zero. Isso </w:t>
      </w:r>
      <w:proofErr w:type="spellStart"/>
      <w:r w:rsidRPr="008836E5">
        <w:rPr>
          <w:rFonts w:cs="Arial"/>
          <w:szCs w:val="24"/>
        </w:rPr>
        <w:t>pode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indicar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investimentos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embora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essenciais</w:t>
      </w:r>
      <w:proofErr w:type="spellEnd"/>
      <w:r w:rsidRPr="008836E5">
        <w:rPr>
          <w:rFonts w:cs="Arial"/>
          <w:szCs w:val="24"/>
        </w:rPr>
        <w:t xml:space="preserve"> para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infraestrutura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longo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prazo</w:t>
      </w:r>
      <w:proofErr w:type="spellEnd"/>
      <w:r w:rsidRPr="008836E5">
        <w:rPr>
          <w:rFonts w:cs="Arial"/>
          <w:szCs w:val="24"/>
        </w:rPr>
        <w:t xml:space="preserve">, </w:t>
      </w:r>
      <w:proofErr w:type="spellStart"/>
      <w:r w:rsidRPr="008836E5">
        <w:rPr>
          <w:rFonts w:cs="Arial"/>
          <w:szCs w:val="24"/>
        </w:rPr>
        <w:t>não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têm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efeito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imediato</w:t>
      </w:r>
      <w:proofErr w:type="spellEnd"/>
      <w:r w:rsidRPr="008836E5">
        <w:rPr>
          <w:rFonts w:cs="Arial"/>
          <w:szCs w:val="24"/>
        </w:rPr>
        <w:t xml:space="preserve"> e forte </w:t>
      </w:r>
      <w:proofErr w:type="spellStart"/>
      <w:r w:rsidRPr="008836E5">
        <w:rPr>
          <w:rFonts w:cs="Arial"/>
          <w:szCs w:val="24"/>
        </w:rPr>
        <w:t>sobre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quantidade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poços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perfurados</w:t>
      </w:r>
      <w:proofErr w:type="spellEnd"/>
      <w:r w:rsidRPr="008836E5">
        <w:rPr>
          <w:rFonts w:cs="Arial"/>
          <w:szCs w:val="24"/>
        </w:rPr>
        <w:t xml:space="preserve"> no </w:t>
      </w:r>
      <w:proofErr w:type="spellStart"/>
      <w:r w:rsidRPr="008836E5">
        <w:rPr>
          <w:rFonts w:cs="Arial"/>
          <w:szCs w:val="24"/>
        </w:rPr>
        <w:t>curto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prazo</w:t>
      </w:r>
      <w:proofErr w:type="spellEnd"/>
      <w:r w:rsidRPr="008836E5">
        <w:rPr>
          <w:rFonts w:cs="Arial"/>
          <w:szCs w:val="24"/>
        </w:rPr>
        <w:t>.</w:t>
      </w:r>
    </w:p>
    <w:p w14:paraId="09CAD3DA" w14:textId="77777777" w:rsidR="00D0376E" w:rsidRPr="008836E5" w:rsidRDefault="00D0376E" w:rsidP="008836E5">
      <w:pPr>
        <w:jc w:val="both"/>
        <w:rPr>
          <w:rFonts w:cs="Arial"/>
          <w:szCs w:val="24"/>
        </w:rPr>
      </w:pPr>
      <w:r w:rsidRPr="008836E5">
        <w:rPr>
          <w:rFonts w:cs="Arial"/>
          <w:szCs w:val="24"/>
        </w:rPr>
        <w:t xml:space="preserve">É </w:t>
      </w:r>
      <w:proofErr w:type="spellStart"/>
      <w:r w:rsidRPr="008836E5">
        <w:rPr>
          <w:rFonts w:cs="Arial"/>
          <w:szCs w:val="24"/>
        </w:rPr>
        <w:t>importante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destacar</w:t>
      </w:r>
      <w:proofErr w:type="spellEnd"/>
      <w:r w:rsidRPr="008836E5">
        <w:rPr>
          <w:rFonts w:cs="Arial"/>
          <w:szCs w:val="24"/>
        </w:rPr>
        <w:t xml:space="preserve"> que </w:t>
      </w:r>
      <w:proofErr w:type="spellStart"/>
      <w:r w:rsidRPr="008836E5">
        <w:rPr>
          <w:rFonts w:cs="Arial"/>
          <w:szCs w:val="24"/>
        </w:rPr>
        <w:t>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modelo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foi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baseado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em</w:t>
      </w:r>
      <w:proofErr w:type="spellEnd"/>
      <w:r w:rsidRPr="008836E5">
        <w:rPr>
          <w:rFonts w:cs="Arial"/>
          <w:szCs w:val="24"/>
        </w:rPr>
        <w:t xml:space="preserve"> um </w:t>
      </w:r>
      <w:proofErr w:type="spellStart"/>
      <w:r w:rsidRPr="008836E5">
        <w:rPr>
          <w:rFonts w:cs="Arial"/>
          <w:szCs w:val="24"/>
        </w:rPr>
        <w:t>número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reduzido</w:t>
      </w:r>
      <w:proofErr w:type="spellEnd"/>
      <w:r w:rsidRPr="008836E5">
        <w:rPr>
          <w:rFonts w:cs="Arial"/>
          <w:szCs w:val="24"/>
        </w:rPr>
        <w:t xml:space="preserve"> de </w:t>
      </w:r>
      <w:proofErr w:type="spellStart"/>
      <w:r w:rsidRPr="008836E5">
        <w:rPr>
          <w:rFonts w:cs="Arial"/>
          <w:szCs w:val="24"/>
        </w:rPr>
        <w:t>observações</w:t>
      </w:r>
      <w:proofErr w:type="spellEnd"/>
      <w:r w:rsidRPr="008836E5">
        <w:rPr>
          <w:rFonts w:cs="Arial"/>
          <w:szCs w:val="24"/>
        </w:rPr>
        <w:t xml:space="preserve"> (</w:t>
      </w:r>
      <w:proofErr w:type="spellStart"/>
      <w:r w:rsidRPr="008836E5">
        <w:rPr>
          <w:rFonts w:cs="Arial"/>
          <w:szCs w:val="24"/>
        </w:rPr>
        <w:t>apenas</w:t>
      </w:r>
      <w:proofErr w:type="spellEnd"/>
      <w:r w:rsidRPr="008836E5">
        <w:rPr>
          <w:rFonts w:cs="Arial"/>
          <w:szCs w:val="24"/>
        </w:rPr>
        <w:t xml:space="preserve"> 10), o que </w:t>
      </w:r>
      <w:proofErr w:type="spellStart"/>
      <w:r w:rsidRPr="008836E5">
        <w:rPr>
          <w:rFonts w:cs="Arial"/>
          <w:szCs w:val="24"/>
        </w:rPr>
        <w:t>limita</w:t>
      </w:r>
      <w:proofErr w:type="spellEnd"/>
      <w:r w:rsidRPr="008836E5">
        <w:rPr>
          <w:rFonts w:cs="Arial"/>
          <w:szCs w:val="24"/>
        </w:rPr>
        <w:t xml:space="preserve"> a </w:t>
      </w:r>
      <w:proofErr w:type="spellStart"/>
      <w:r w:rsidRPr="008836E5">
        <w:rPr>
          <w:rFonts w:cs="Arial"/>
          <w:szCs w:val="24"/>
        </w:rPr>
        <w:t>robustez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conclusões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tiradas</w:t>
      </w:r>
      <w:proofErr w:type="spellEnd"/>
      <w:r w:rsidRPr="008836E5">
        <w:rPr>
          <w:rFonts w:cs="Arial"/>
          <w:szCs w:val="24"/>
        </w:rPr>
        <w:t xml:space="preserve">. A </w:t>
      </w:r>
      <w:proofErr w:type="spellStart"/>
      <w:r w:rsidRPr="008836E5">
        <w:rPr>
          <w:rFonts w:cs="Arial"/>
          <w:szCs w:val="24"/>
        </w:rPr>
        <w:t>precisão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resultados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poderia</w:t>
      </w:r>
      <w:proofErr w:type="spellEnd"/>
      <w:r w:rsidRPr="008836E5">
        <w:rPr>
          <w:rFonts w:cs="Arial"/>
          <w:szCs w:val="24"/>
        </w:rPr>
        <w:t xml:space="preserve"> ser </w:t>
      </w:r>
      <w:proofErr w:type="spellStart"/>
      <w:r w:rsidRPr="008836E5">
        <w:rPr>
          <w:rFonts w:cs="Arial"/>
          <w:szCs w:val="24"/>
        </w:rPr>
        <w:t>melhorada</w:t>
      </w:r>
      <w:proofErr w:type="spellEnd"/>
      <w:r w:rsidRPr="008836E5">
        <w:rPr>
          <w:rFonts w:cs="Arial"/>
          <w:szCs w:val="24"/>
        </w:rPr>
        <w:t xml:space="preserve"> com um </w:t>
      </w:r>
      <w:proofErr w:type="spellStart"/>
      <w:r w:rsidRPr="008836E5">
        <w:rPr>
          <w:rFonts w:cs="Arial"/>
          <w:szCs w:val="24"/>
        </w:rPr>
        <w:t>número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maior</w:t>
      </w:r>
      <w:proofErr w:type="spellEnd"/>
      <w:r w:rsidRPr="008836E5">
        <w:rPr>
          <w:rFonts w:cs="Arial"/>
          <w:szCs w:val="24"/>
        </w:rPr>
        <w:t xml:space="preserve"> de dados, </w:t>
      </w:r>
      <w:proofErr w:type="spellStart"/>
      <w:r w:rsidRPr="008836E5">
        <w:rPr>
          <w:rFonts w:cs="Arial"/>
          <w:szCs w:val="24"/>
        </w:rPr>
        <w:t>permitindo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uma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análise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mais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confiável</w:t>
      </w:r>
      <w:proofErr w:type="spellEnd"/>
      <w:r w:rsidRPr="008836E5">
        <w:rPr>
          <w:rFonts w:cs="Arial"/>
          <w:szCs w:val="24"/>
        </w:rPr>
        <w:t xml:space="preserve"> e </w:t>
      </w:r>
      <w:proofErr w:type="spellStart"/>
      <w:r w:rsidRPr="008836E5">
        <w:rPr>
          <w:rFonts w:cs="Arial"/>
          <w:szCs w:val="24"/>
        </w:rPr>
        <w:t>representativa</w:t>
      </w:r>
      <w:proofErr w:type="spellEnd"/>
      <w:r w:rsidRPr="008836E5">
        <w:rPr>
          <w:rFonts w:cs="Arial"/>
          <w:szCs w:val="24"/>
        </w:rPr>
        <w:t xml:space="preserve">. </w:t>
      </w:r>
      <w:proofErr w:type="spellStart"/>
      <w:r w:rsidRPr="008836E5">
        <w:rPr>
          <w:rFonts w:cs="Arial"/>
          <w:szCs w:val="24"/>
        </w:rPr>
        <w:t>Além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disso</w:t>
      </w:r>
      <w:proofErr w:type="spellEnd"/>
      <w:r w:rsidRPr="008836E5">
        <w:rPr>
          <w:rFonts w:cs="Arial"/>
          <w:szCs w:val="24"/>
        </w:rPr>
        <w:t xml:space="preserve">, a </w:t>
      </w:r>
      <w:proofErr w:type="spellStart"/>
      <w:r w:rsidRPr="008836E5">
        <w:rPr>
          <w:rFonts w:cs="Arial"/>
          <w:szCs w:val="24"/>
        </w:rPr>
        <w:t>significância</w:t>
      </w:r>
      <w:proofErr w:type="spellEnd"/>
      <w:r w:rsidRPr="008836E5">
        <w:rPr>
          <w:rFonts w:cs="Arial"/>
          <w:szCs w:val="24"/>
        </w:rPr>
        <w:t xml:space="preserve"> das </w:t>
      </w:r>
      <w:proofErr w:type="spellStart"/>
      <w:r w:rsidRPr="008836E5">
        <w:rPr>
          <w:rFonts w:cs="Arial"/>
          <w:szCs w:val="24"/>
        </w:rPr>
        <w:t>variáveis</w:t>
      </w:r>
      <w:proofErr w:type="spellEnd"/>
      <w:r w:rsidRPr="008836E5">
        <w:rPr>
          <w:rFonts w:cs="Arial"/>
          <w:szCs w:val="24"/>
        </w:rPr>
        <w:t xml:space="preserve"> e </w:t>
      </w:r>
      <w:proofErr w:type="gramStart"/>
      <w:r w:rsidRPr="008836E5">
        <w:rPr>
          <w:rFonts w:cs="Arial"/>
          <w:szCs w:val="24"/>
        </w:rPr>
        <w:t>a</w:t>
      </w:r>
      <w:proofErr w:type="gram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interpretação</w:t>
      </w:r>
      <w:proofErr w:type="spellEnd"/>
      <w:r w:rsidRPr="008836E5">
        <w:rPr>
          <w:rFonts w:cs="Arial"/>
          <w:szCs w:val="24"/>
        </w:rPr>
        <w:t xml:space="preserve"> dos </w:t>
      </w:r>
      <w:proofErr w:type="spellStart"/>
      <w:r w:rsidRPr="008836E5">
        <w:rPr>
          <w:rFonts w:cs="Arial"/>
          <w:szCs w:val="24"/>
        </w:rPr>
        <w:t>coeficientes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devem</w:t>
      </w:r>
      <w:proofErr w:type="spellEnd"/>
      <w:r w:rsidRPr="008836E5">
        <w:rPr>
          <w:rFonts w:cs="Arial"/>
          <w:szCs w:val="24"/>
        </w:rPr>
        <w:t xml:space="preserve"> ser </w:t>
      </w:r>
      <w:proofErr w:type="spellStart"/>
      <w:r w:rsidRPr="008836E5">
        <w:rPr>
          <w:rFonts w:cs="Arial"/>
          <w:szCs w:val="24"/>
        </w:rPr>
        <w:t>analisadas</w:t>
      </w:r>
      <w:proofErr w:type="spellEnd"/>
      <w:r w:rsidRPr="008836E5">
        <w:rPr>
          <w:rFonts w:cs="Arial"/>
          <w:szCs w:val="24"/>
        </w:rPr>
        <w:t xml:space="preserve"> com cautela, dado o </w:t>
      </w:r>
      <w:proofErr w:type="spellStart"/>
      <w:r w:rsidRPr="008836E5">
        <w:rPr>
          <w:rFonts w:cs="Arial"/>
          <w:szCs w:val="24"/>
        </w:rPr>
        <w:t>pequeno</w:t>
      </w:r>
      <w:proofErr w:type="spellEnd"/>
      <w:r w:rsidRPr="008836E5">
        <w:rPr>
          <w:rFonts w:cs="Arial"/>
          <w:szCs w:val="24"/>
        </w:rPr>
        <w:t xml:space="preserve"> </w:t>
      </w:r>
      <w:proofErr w:type="spellStart"/>
      <w:r w:rsidRPr="008836E5">
        <w:rPr>
          <w:rFonts w:cs="Arial"/>
          <w:szCs w:val="24"/>
        </w:rPr>
        <w:t>tamanho</w:t>
      </w:r>
      <w:proofErr w:type="spellEnd"/>
      <w:r w:rsidRPr="008836E5">
        <w:rPr>
          <w:rFonts w:cs="Arial"/>
          <w:szCs w:val="24"/>
        </w:rPr>
        <w:t xml:space="preserve"> da </w:t>
      </w:r>
      <w:proofErr w:type="spellStart"/>
      <w:r w:rsidRPr="008836E5">
        <w:rPr>
          <w:rFonts w:cs="Arial"/>
          <w:szCs w:val="24"/>
        </w:rPr>
        <w:t>amostra</w:t>
      </w:r>
      <w:proofErr w:type="spellEnd"/>
      <w:r w:rsidRPr="008836E5">
        <w:rPr>
          <w:rFonts w:cs="Arial"/>
          <w:szCs w:val="24"/>
        </w:rPr>
        <w:t>.</w:t>
      </w:r>
    </w:p>
    <w:p w14:paraId="4727290C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t>5. Conclusão e Contribuições</w:t>
      </w:r>
    </w:p>
    <w:p w14:paraId="1541DACF" w14:textId="77777777" w:rsidR="00F725E2" w:rsidRPr="00F725E2" w:rsidRDefault="00F725E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Este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teve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objetivo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analisar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estrutura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instalação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coordenada</w:t>
      </w:r>
      <w:proofErr w:type="spellEnd"/>
      <w:r w:rsidRPr="00F725E2">
        <w:rPr>
          <w:rFonts w:cs="Arial"/>
          <w:szCs w:val="24"/>
        </w:rPr>
        <w:t xml:space="preserve"> pela SEMARH/RN, com </w:t>
      </w:r>
      <w:proofErr w:type="spellStart"/>
      <w:r w:rsidRPr="00F725E2">
        <w:rPr>
          <w:rFonts w:cs="Arial"/>
          <w:szCs w:val="24"/>
        </w:rPr>
        <w:t>foco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relação</w:t>
      </w:r>
      <w:proofErr w:type="spellEnd"/>
      <w:r w:rsidRPr="00F725E2">
        <w:rPr>
          <w:rFonts w:cs="Arial"/>
          <w:szCs w:val="24"/>
        </w:rPr>
        <w:t xml:space="preserve"> entre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correntes</w:t>
      </w:r>
      <w:proofErr w:type="spellEnd"/>
      <w:r w:rsidRPr="00F725E2">
        <w:rPr>
          <w:rFonts w:cs="Arial"/>
          <w:szCs w:val="24"/>
        </w:rPr>
        <w:t xml:space="preserve"> (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) e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de capital (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), e </w:t>
      </w:r>
      <w:proofErr w:type="spellStart"/>
      <w:r w:rsidRPr="00F725E2">
        <w:rPr>
          <w:rFonts w:cs="Arial"/>
          <w:szCs w:val="24"/>
        </w:rPr>
        <w:t>sua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influência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sobre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quantidade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perfurados</w:t>
      </w:r>
      <w:proofErr w:type="spellEnd"/>
      <w:r w:rsidRPr="00F725E2">
        <w:rPr>
          <w:rFonts w:cs="Arial"/>
          <w:szCs w:val="24"/>
        </w:rPr>
        <w:t xml:space="preserve">.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análise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foi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realizada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meio</w:t>
      </w:r>
      <w:proofErr w:type="spellEnd"/>
      <w:r w:rsidRPr="00F725E2">
        <w:rPr>
          <w:rFonts w:cs="Arial"/>
          <w:szCs w:val="24"/>
        </w:rPr>
        <w:t xml:space="preserve"> de um </w:t>
      </w:r>
      <w:proofErr w:type="spellStart"/>
      <w:r w:rsidRPr="00F725E2">
        <w:rPr>
          <w:rFonts w:cs="Arial"/>
          <w:szCs w:val="24"/>
        </w:rPr>
        <w:t>modelo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regressão</w:t>
      </w:r>
      <w:proofErr w:type="spellEnd"/>
      <w:r w:rsidRPr="00F725E2">
        <w:rPr>
          <w:rFonts w:cs="Arial"/>
          <w:szCs w:val="24"/>
        </w:rPr>
        <w:t xml:space="preserve"> linear </w:t>
      </w:r>
      <w:proofErr w:type="spellStart"/>
      <w:r w:rsidRPr="00F725E2">
        <w:rPr>
          <w:rFonts w:cs="Arial"/>
          <w:szCs w:val="24"/>
        </w:rPr>
        <w:t>generalizado</w:t>
      </w:r>
      <w:proofErr w:type="spellEnd"/>
      <w:r w:rsidRPr="00F725E2">
        <w:rPr>
          <w:rFonts w:cs="Arial"/>
          <w:szCs w:val="24"/>
        </w:rPr>
        <w:t xml:space="preserve"> </w:t>
      </w:r>
      <w:r w:rsidRPr="00F725E2">
        <w:rPr>
          <w:rFonts w:cs="Arial"/>
          <w:szCs w:val="24"/>
        </w:rPr>
        <w:lastRenderedPageBreak/>
        <w:t xml:space="preserve">(GLM), </w:t>
      </w:r>
      <w:proofErr w:type="spellStart"/>
      <w:r w:rsidRPr="00F725E2">
        <w:rPr>
          <w:rFonts w:cs="Arial"/>
          <w:szCs w:val="24"/>
        </w:rPr>
        <w:t>utilizando</w:t>
      </w:r>
      <w:proofErr w:type="spellEnd"/>
      <w:r w:rsidRPr="00F725E2">
        <w:rPr>
          <w:rFonts w:cs="Arial"/>
          <w:szCs w:val="24"/>
        </w:rPr>
        <w:t xml:space="preserve"> dados </w:t>
      </w:r>
      <w:proofErr w:type="spellStart"/>
      <w:r w:rsidRPr="00F725E2">
        <w:rPr>
          <w:rFonts w:cs="Arial"/>
          <w:szCs w:val="24"/>
        </w:rPr>
        <w:t>trimestrais</w:t>
      </w:r>
      <w:proofErr w:type="spellEnd"/>
      <w:r w:rsidRPr="00F725E2">
        <w:rPr>
          <w:rFonts w:cs="Arial"/>
          <w:szCs w:val="24"/>
        </w:rPr>
        <w:t xml:space="preserve"> de 2022 a 2024.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resultados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indicaram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correlação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positiva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significativa</w:t>
      </w:r>
      <w:proofErr w:type="spellEnd"/>
      <w:r w:rsidRPr="00F725E2">
        <w:rPr>
          <w:rFonts w:cs="Arial"/>
          <w:szCs w:val="24"/>
        </w:rPr>
        <w:t xml:space="preserve"> entre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 e a </w:t>
      </w:r>
      <w:proofErr w:type="spellStart"/>
      <w:r w:rsidRPr="00F725E2">
        <w:rPr>
          <w:rFonts w:cs="Arial"/>
          <w:szCs w:val="24"/>
        </w:rPr>
        <w:t>quantidade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perfurados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evidenciando</w:t>
      </w:r>
      <w:proofErr w:type="spellEnd"/>
      <w:r w:rsidRPr="00F725E2">
        <w:rPr>
          <w:rFonts w:cs="Arial"/>
          <w:szCs w:val="24"/>
        </w:rPr>
        <w:t xml:space="preserve"> que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desempenham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papel</w:t>
      </w:r>
      <w:proofErr w:type="spellEnd"/>
      <w:r w:rsidRPr="00F725E2">
        <w:rPr>
          <w:rFonts w:cs="Arial"/>
          <w:szCs w:val="24"/>
        </w:rPr>
        <w:t xml:space="preserve"> crucial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produtividade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ações</w:t>
      </w:r>
      <w:proofErr w:type="spellEnd"/>
      <w:r w:rsidRPr="00F725E2">
        <w:rPr>
          <w:rFonts w:cs="Arial"/>
          <w:szCs w:val="24"/>
        </w:rPr>
        <w:t xml:space="preserve"> da SEMARH. Por outro </w:t>
      </w:r>
      <w:proofErr w:type="spellStart"/>
      <w:r w:rsidRPr="00F725E2">
        <w:rPr>
          <w:rFonts w:cs="Arial"/>
          <w:szCs w:val="24"/>
        </w:rPr>
        <w:t>lado</w:t>
      </w:r>
      <w:proofErr w:type="spellEnd"/>
      <w:r w:rsidRPr="00F725E2">
        <w:rPr>
          <w:rFonts w:cs="Arial"/>
          <w:szCs w:val="24"/>
        </w:rPr>
        <w:t xml:space="preserve">, a </w:t>
      </w:r>
      <w:proofErr w:type="spellStart"/>
      <w:r w:rsidRPr="00F725E2">
        <w:rPr>
          <w:rFonts w:cs="Arial"/>
          <w:szCs w:val="24"/>
        </w:rPr>
        <w:t>correlação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foi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moderada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sugerindo</w:t>
      </w:r>
      <w:proofErr w:type="spellEnd"/>
      <w:r w:rsidRPr="00F725E2">
        <w:rPr>
          <w:rFonts w:cs="Arial"/>
          <w:szCs w:val="24"/>
        </w:rPr>
        <w:t xml:space="preserve"> que, </w:t>
      </w:r>
      <w:proofErr w:type="spellStart"/>
      <w:r w:rsidRPr="00F725E2">
        <w:rPr>
          <w:rFonts w:cs="Arial"/>
          <w:szCs w:val="24"/>
        </w:rPr>
        <w:t>embora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sejam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importantes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seu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impacto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se </w:t>
      </w:r>
      <w:proofErr w:type="spellStart"/>
      <w:r w:rsidRPr="00F725E2">
        <w:rPr>
          <w:rFonts w:cs="Arial"/>
          <w:szCs w:val="24"/>
        </w:rPr>
        <w:t>dá</w:t>
      </w:r>
      <w:proofErr w:type="spellEnd"/>
      <w:r w:rsidRPr="00F725E2">
        <w:rPr>
          <w:rFonts w:cs="Arial"/>
          <w:szCs w:val="24"/>
        </w:rPr>
        <w:t xml:space="preserve"> de forma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gradual </w:t>
      </w:r>
      <w:proofErr w:type="spellStart"/>
      <w:r w:rsidRPr="00F725E2">
        <w:rPr>
          <w:rFonts w:cs="Arial"/>
          <w:szCs w:val="24"/>
        </w:rPr>
        <w:t>ao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longo</w:t>
      </w:r>
      <w:proofErr w:type="spellEnd"/>
      <w:r w:rsidRPr="00F725E2">
        <w:rPr>
          <w:rFonts w:cs="Arial"/>
          <w:szCs w:val="24"/>
        </w:rPr>
        <w:t xml:space="preserve"> do tempo.</w:t>
      </w:r>
    </w:p>
    <w:p w14:paraId="1A73FF5C" w14:textId="77777777" w:rsidR="00F725E2" w:rsidRPr="00F725E2" w:rsidRDefault="00F725E2" w:rsidP="00F725E2">
      <w:pPr>
        <w:jc w:val="both"/>
        <w:rPr>
          <w:rFonts w:cs="Arial"/>
          <w:szCs w:val="24"/>
        </w:rPr>
      </w:pP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análise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regressão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reforçou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especialmente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, para o </w:t>
      </w:r>
      <w:proofErr w:type="spellStart"/>
      <w:r w:rsidRPr="00F725E2">
        <w:rPr>
          <w:rFonts w:cs="Arial"/>
          <w:szCs w:val="24"/>
        </w:rPr>
        <w:t>desempenho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atividades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construção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variável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embora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tenha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mostrado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correlação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positiva</w:t>
      </w:r>
      <w:proofErr w:type="spellEnd"/>
      <w:r w:rsidRPr="00F725E2">
        <w:rPr>
          <w:rFonts w:cs="Arial"/>
          <w:szCs w:val="24"/>
        </w:rPr>
        <w:t xml:space="preserve"> com o </w:t>
      </w:r>
      <w:proofErr w:type="spellStart"/>
      <w:r w:rsidRPr="00F725E2">
        <w:rPr>
          <w:rFonts w:cs="Arial"/>
          <w:szCs w:val="24"/>
        </w:rPr>
        <w:t>número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não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apresentou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significância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estatística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indicando</w:t>
      </w:r>
      <w:proofErr w:type="spellEnd"/>
      <w:r w:rsidRPr="00F725E2">
        <w:rPr>
          <w:rFonts w:cs="Arial"/>
          <w:szCs w:val="24"/>
        </w:rPr>
        <w:t xml:space="preserve"> que o </w:t>
      </w:r>
      <w:proofErr w:type="spellStart"/>
      <w:r w:rsidRPr="00F725E2">
        <w:rPr>
          <w:rFonts w:cs="Arial"/>
          <w:szCs w:val="24"/>
        </w:rPr>
        <w:t>impacto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no </w:t>
      </w:r>
      <w:proofErr w:type="spellStart"/>
      <w:r w:rsidRPr="00F725E2">
        <w:rPr>
          <w:rFonts w:cs="Arial"/>
          <w:szCs w:val="24"/>
        </w:rPr>
        <w:t>número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perfurados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pode</w:t>
      </w:r>
      <w:proofErr w:type="spellEnd"/>
      <w:r w:rsidRPr="00F725E2">
        <w:rPr>
          <w:rFonts w:cs="Arial"/>
          <w:szCs w:val="24"/>
        </w:rPr>
        <w:t xml:space="preserve"> ser </w:t>
      </w:r>
      <w:proofErr w:type="spellStart"/>
      <w:r w:rsidRPr="00F725E2">
        <w:rPr>
          <w:rFonts w:cs="Arial"/>
          <w:szCs w:val="24"/>
        </w:rPr>
        <w:t>menos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imediato</w:t>
      </w:r>
      <w:proofErr w:type="spellEnd"/>
      <w:r w:rsidRPr="00F725E2">
        <w:rPr>
          <w:rFonts w:cs="Arial"/>
          <w:szCs w:val="24"/>
        </w:rPr>
        <w:t xml:space="preserve"> do que o das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>.</w:t>
      </w:r>
    </w:p>
    <w:p w14:paraId="6F181CD3" w14:textId="77777777" w:rsidR="00F725E2" w:rsidRPr="00F725E2" w:rsidRDefault="00F725E2" w:rsidP="00F725E2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resultados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indicam</w:t>
      </w:r>
      <w:proofErr w:type="spellEnd"/>
      <w:r w:rsidRPr="00F725E2">
        <w:rPr>
          <w:rFonts w:cs="Arial"/>
          <w:szCs w:val="24"/>
        </w:rPr>
        <w:t xml:space="preserve"> que a </w:t>
      </w:r>
      <w:proofErr w:type="spellStart"/>
      <w:r w:rsidRPr="00F725E2">
        <w:rPr>
          <w:rFonts w:cs="Arial"/>
          <w:szCs w:val="24"/>
        </w:rPr>
        <w:t>presença</w:t>
      </w:r>
      <w:proofErr w:type="spellEnd"/>
      <w:r w:rsidRPr="00F725E2">
        <w:rPr>
          <w:rFonts w:cs="Arial"/>
          <w:szCs w:val="24"/>
        </w:rPr>
        <w:t xml:space="preserve"> e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atuação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constante</w:t>
      </w:r>
      <w:proofErr w:type="spellEnd"/>
      <w:r w:rsidRPr="00F725E2">
        <w:rPr>
          <w:rFonts w:cs="Arial"/>
          <w:szCs w:val="24"/>
        </w:rPr>
        <w:t xml:space="preserve"> da equipe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campo — </w:t>
      </w:r>
      <w:proofErr w:type="spellStart"/>
      <w:r w:rsidRPr="00F725E2">
        <w:rPr>
          <w:rFonts w:cs="Arial"/>
          <w:szCs w:val="24"/>
        </w:rPr>
        <w:t>viabilizadas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principalmente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pelo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pagamento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diárias</w:t>
      </w:r>
      <w:proofErr w:type="spellEnd"/>
      <w:r w:rsidRPr="00F725E2">
        <w:rPr>
          <w:rFonts w:cs="Arial"/>
          <w:szCs w:val="24"/>
        </w:rPr>
        <w:t xml:space="preserve"> — </w:t>
      </w:r>
      <w:proofErr w:type="spellStart"/>
      <w:r w:rsidRPr="00F725E2">
        <w:rPr>
          <w:rFonts w:cs="Arial"/>
          <w:szCs w:val="24"/>
        </w:rPr>
        <w:t>exercem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influência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imediata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resultados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alcançados</w:t>
      </w:r>
      <w:proofErr w:type="spellEnd"/>
      <w:r w:rsidRPr="00F725E2">
        <w:rPr>
          <w:rFonts w:cs="Arial"/>
          <w:szCs w:val="24"/>
        </w:rPr>
        <w:t xml:space="preserve">. Em </w:t>
      </w:r>
      <w:proofErr w:type="spellStart"/>
      <w:r w:rsidRPr="00F725E2">
        <w:rPr>
          <w:rFonts w:cs="Arial"/>
          <w:szCs w:val="24"/>
        </w:rPr>
        <w:t>contrapartida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realizados</w:t>
      </w:r>
      <w:proofErr w:type="spellEnd"/>
      <w:r w:rsidRPr="00F725E2">
        <w:rPr>
          <w:rFonts w:cs="Arial"/>
          <w:szCs w:val="24"/>
        </w:rPr>
        <w:t xml:space="preserve"> pela SEMARH </w:t>
      </w:r>
      <w:proofErr w:type="spellStart"/>
      <w:r w:rsidRPr="00F725E2">
        <w:rPr>
          <w:rFonts w:cs="Arial"/>
          <w:szCs w:val="24"/>
        </w:rPr>
        <w:t>demonstram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efeitos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significativos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longo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prazo</w:t>
      </w:r>
      <w:proofErr w:type="spellEnd"/>
      <w:r w:rsidRPr="00F725E2">
        <w:rPr>
          <w:rFonts w:cs="Arial"/>
          <w:szCs w:val="24"/>
        </w:rPr>
        <w:t xml:space="preserve">. </w:t>
      </w:r>
      <w:proofErr w:type="spellStart"/>
      <w:r w:rsidRPr="00F725E2">
        <w:rPr>
          <w:rFonts w:cs="Arial"/>
          <w:szCs w:val="24"/>
        </w:rPr>
        <w:t>Apesar</w:t>
      </w:r>
      <w:proofErr w:type="spellEnd"/>
      <w:r w:rsidRPr="00F725E2">
        <w:rPr>
          <w:rFonts w:cs="Arial"/>
          <w:szCs w:val="24"/>
        </w:rPr>
        <w:t xml:space="preserve"> da forte </w:t>
      </w:r>
      <w:proofErr w:type="spellStart"/>
      <w:r w:rsidRPr="00F725E2">
        <w:rPr>
          <w:rFonts w:cs="Arial"/>
          <w:szCs w:val="24"/>
        </w:rPr>
        <w:t>vinculação</w:t>
      </w:r>
      <w:proofErr w:type="spellEnd"/>
      <w:r w:rsidRPr="00F725E2">
        <w:rPr>
          <w:rFonts w:cs="Arial"/>
          <w:szCs w:val="24"/>
        </w:rPr>
        <w:t xml:space="preserve"> com as </w:t>
      </w:r>
      <w:proofErr w:type="spellStart"/>
      <w:r w:rsidRPr="00F725E2">
        <w:rPr>
          <w:rFonts w:cs="Arial"/>
          <w:szCs w:val="24"/>
        </w:rPr>
        <w:t>despesas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, a </w:t>
      </w:r>
      <w:proofErr w:type="spellStart"/>
      <w:r w:rsidRPr="00F725E2">
        <w:rPr>
          <w:rFonts w:cs="Arial"/>
          <w:szCs w:val="24"/>
        </w:rPr>
        <w:t>Secretaria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ainda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apresenta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dependência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serviços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terceirizados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instalação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bombas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vez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sua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capacidade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técnica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atual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permite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apenas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, e </w:t>
      </w:r>
      <w:proofErr w:type="spellStart"/>
      <w:r w:rsidRPr="00F725E2">
        <w:rPr>
          <w:rFonts w:cs="Arial"/>
          <w:szCs w:val="24"/>
        </w:rPr>
        <w:t>não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finalização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completa</w:t>
      </w:r>
      <w:proofErr w:type="spellEnd"/>
      <w:r w:rsidRPr="00F725E2">
        <w:rPr>
          <w:rFonts w:cs="Arial"/>
          <w:szCs w:val="24"/>
        </w:rPr>
        <w:t xml:space="preserve"> do </w:t>
      </w:r>
      <w:proofErr w:type="spellStart"/>
      <w:r w:rsidRPr="00F725E2">
        <w:rPr>
          <w:rFonts w:cs="Arial"/>
          <w:szCs w:val="24"/>
        </w:rPr>
        <w:t>processo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ativação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>.</w:t>
      </w:r>
    </w:p>
    <w:p w14:paraId="0B16B188" w14:textId="77777777" w:rsidR="00F725E2" w:rsidRPr="00F725E2" w:rsidRDefault="00F725E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O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ainda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destaca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eficiente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otimizar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particularmente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contexto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crescente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escassez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estratégica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aliada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um </w:t>
      </w:r>
      <w:proofErr w:type="spellStart"/>
      <w:r w:rsidRPr="00F725E2">
        <w:rPr>
          <w:rFonts w:cs="Arial"/>
          <w:szCs w:val="24"/>
        </w:rPr>
        <w:t>planejamento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adequado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execução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obras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essenciais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pode</w:t>
      </w:r>
      <w:proofErr w:type="spellEnd"/>
      <w:r w:rsidRPr="00F725E2">
        <w:rPr>
          <w:rFonts w:cs="Arial"/>
          <w:szCs w:val="24"/>
        </w:rPr>
        <w:t xml:space="preserve"> ser um </w:t>
      </w:r>
      <w:proofErr w:type="spellStart"/>
      <w:r w:rsidRPr="00F725E2">
        <w:rPr>
          <w:rFonts w:cs="Arial"/>
          <w:szCs w:val="24"/>
        </w:rPr>
        <w:t>fator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decisivo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melhorar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acesso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regiões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carentes</w:t>
      </w:r>
      <w:proofErr w:type="spellEnd"/>
      <w:r w:rsidRPr="00F725E2">
        <w:rPr>
          <w:rFonts w:cs="Arial"/>
          <w:szCs w:val="24"/>
        </w:rPr>
        <w:t>.</w:t>
      </w:r>
    </w:p>
    <w:p w14:paraId="00A57106" w14:textId="77777777" w:rsidR="00F725E2" w:rsidRPr="00F725E2" w:rsidRDefault="00F725E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Outro </w:t>
      </w:r>
      <w:proofErr w:type="spellStart"/>
      <w:r w:rsidRPr="00F725E2">
        <w:rPr>
          <w:rFonts w:cs="Arial"/>
          <w:szCs w:val="24"/>
        </w:rPr>
        <w:t>ponto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relevante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apontado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pelo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foi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de um </w:t>
      </w:r>
      <w:proofErr w:type="spellStart"/>
      <w:r w:rsidRPr="00F725E2">
        <w:rPr>
          <w:rFonts w:cs="Arial"/>
          <w:szCs w:val="24"/>
        </w:rPr>
        <w:t>planejamento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financeiro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adequado</w:t>
      </w:r>
      <w:proofErr w:type="spellEnd"/>
      <w:r w:rsidRPr="00F725E2">
        <w:rPr>
          <w:rFonts w:cs="Arial"/>
          <w:szCs w:val="24"/>
        </w:rPr>
        <w:t xml:space="preserve">, que </w:t>
      </w:r>
      <w:proofErr w:type="spellStart"/>
      <w:r w:rsidRPr="00F725E2">
        <w:rPr>
          <w:rFonts w:cs="Arial"/>
          <w:szCs w:val="24"/>
        </w:rPr>
        <w:t>leve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consideração</w:t>
      </w:r>
      <w:proofErr w:type="spellEnd"/>
      <w:r w:rsidRPr="00F725E2">
        <w:rPr>
          <w:rFonts w:cs="Arial"/>
          <w:szCs w:val="24"/>
        </w:rPr>
        <w:t xml:space="preserve"> as </w:t>
      </w:r>
      <w:proofErr w:type="spellStart"/>
      <w:r w:rsidRPr="00F725E2">
        <w:rPr>
          <w:rFonts w:cs="Arial"/>
          <w:szCs w:val="24"/>
        </w:rPr>
        <w:t>particularidades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perfuração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poços</w:t>
      </w:r>
      <w:proofErr w:type="spellEnd"/>
      <w:r w:rsidRPr="00F725E2">
        <w:rPr>
          <w:rFonts w:cs="Arial"/>
          <w:szCs w:val="24"/>
        </w:rPr>
        <w:t xml:space="preserve"> e a </w:t>
      </w:r>
      <w:proofErr w:type="spellStart"/>
      <w:r w:rsidRPr="00F725E2">
        <w:rPr>
          <w:rFonts w:cs="Arial"/>
          <w:szCs w:val="24"/>
        </w:rPr>
        <w:t>logística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envolvida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atividades</w:t>
      </w:r>
      <w:proofErr w:type="spellEnd"/>
      <w:r w:rsidRPr="00F725E2">
        <w:rPr>
          <w:rFonts w:cs="Arial"/>
          <w:szCs w:val="24"/>
        </w:rPr>
        <w:t xml:space="preserve">. O </w:t>
      </w:r>
      <w:proofErr w:type="spellStart"/>
      <w:r w:rsidRPr="00F725E2">
        <w:rPr>
          <w:rFonts w:cs="Arial"/>
          <w:szCs w:val="24"/>
        </w:rPr>
        <w:t>colaborador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entrevistado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ressaltou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algumas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ações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já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implementadas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promover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maior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adoção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política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manutenção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preventiva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máquinas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substituindo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manutenção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corretiva</w:t>
      </w:r>
      <w:proofErr w:type="spellEnd"/>
      <w:r w:rsidRPr="00F725E2">
        <w:rPr>
          <w:rFonts w:cs="Arial"/>
          <w:szCs w:val="24"/>
        </w:rPr>
        <w:t xml:space="preserve">. Isso </w:t>
      </w:r>
      <w:proofErr w:type="spellStart"/>
      <w:r w:rsidRPr="00F725E2">
        <w:rPr>
          <w:rFonts w:cs="Arial"/>
          <w:szCs w:val="24"/>
        </w:rPr>
        <w:t>resulta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econômica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sustentável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evitando</w:t>
      </w:r>
      <w:proofErr w:type="spellEnd"/>
      <w:r w:rsidRPr="00F725E2">
        <w:rPr>
          <w:rFonts w:cs="Arial"/>
          <w:szCs w:val="24"/>
        </w:rPr>
        <w:t xml:space="preserve"> custos </w:t>
      </w:r>
      <w:proofErr w:type="spellStart"/>
      <w:r w:rsidRPr="00F725E2">
        <w:rPr>
          <w:rFonts w:cs="Arial"/>
          <w:szCs w:val="24"/>
        </w:rPr>
        <w:t>elevados</w:t>
      </w:r>
      <w:proofErr w:type="spellEnd"/>
      <w:r w:rsidRPr="00F725E2">
        <w:rPr>
          <w:rFonts w:cs="Arial"/>
          <w:szCs w:val="24"/>
        </w:rPr>
        <w:t xml:space="preserve"> com </w:t>
      </w:r>
      <w:proofErr w:type="spellStart"/>
      <w:r w:rsidRPr="00F725E2">
        <w:rPr>
          <w:rFonts w:cs="Arial"/>
          <w:szCs w:val="24"/>
        </w:rPr>
        <w:t>reparos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inesperados</w:t>
      </w:r>
      <w:proofErr w:type="spellEnd"/>
      <w:r w:rsidRPr="00F725E2">
        <w:rPr>
          <w:rFonts w:cs="Arial"/>
          <w:szCs w:val="24"/>
        </w:rPr>
        <w:t xml:space="preserve">, e </w:t>
      </w:r>
      <w:proofErr w:type="spellStart"/>
      <w:r w:rsidRPr="00F725E2">
        <w:rPr>
          <w:rFonts w:cs="Arial"/>
          <w:szCs w:val="24"/>
        </w:rPr>
        <w:t>contribui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otimização</w:t>
      </w:r>
      <w:proofErr w:type="spellEnd"/>
      <w:r w:rsidRPr="00F725E2">
        <w:rPr>
          <w:rFonts w:cs="Arial"/>
          <w:szCs w:val="24"/>
        </w:rPr>
        <w:t xml:space="preserve"> dos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alocados</w:t>
      </w:r>
      <w:proofErr w:type="spellEnd"/>
      <w:r w:rsidRPr="00F725E2">
        <w:rPr>
          <w:rFonts w:cs="Arial"/>
          <w:szCs w:val="24"/>
        </w:rPr>
        <w:t>.</w:t>
      </w:r>
    </w:p>
    <w:p w14:paraId="65ED92A6" w14:textId="77777777" w:rsidR="00F725E2" w:rsidRPr="00F725E2" w:rsidRDefault="00F725E2" w:rsidP="00F725E2">
      <w:pPr>
        <w:jc w:val="both"/>
        <w:rPr>
          <w:rFonts w:cs="Arial"/>
          <w:szCs w:val="24"/>
        </w:rPr>
      </w:pPr>
      <w:proofErr w:type="spellStart"/>
      <w:r w:rsidRPr="00F725E2">
        <w:rPr>
          <w:rFonts w:cs="Arial"/>
          <w:szCs w:val="24"/>
        </w:rPr>
        <w:t>Embora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amostra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utilizada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neste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estudo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tenha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sido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limitada</w:t>
      </w:r>
      <w:proofErr w:type="spellEnd"/>
      <w:r w:rsidRPr="00F725E2">
        <w:rPr>
          <w:rFonts w:cs="Arial"/>
          <w:szCs w:val="24"/>
        </w:rPr>
        <w:t xml:space="preserve">, as </w:t>
      </w:r>
      <w:proofErr w:type="spellStart"/>
      <w:r w:rsidRPr="00F725E2">
        <w:rPr>
          <w:rFonts w:cs="Arial"/>
          <w:szCs w:val="24"/>
        </w:rPr>
        <w:t>métricas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ajuste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o AIC e o BIC, </w:t>
      </w:r>
      <w:proofErr w:type="spellStart"/>
      <w:r w:rsidRPr="00F725E2">
        <w:rPr>
          <w:rFonts w:cs="Arial"/>
          <w:szCs w:val="24"/>
        </w:rPr>
        <w:t>indicaram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modelo</w:t>
      </w:r>
      <w:proofErr w:type="spellEnd"/>
      <w:r w:rsidRPr="00F725E2">
        <w:rPr>
          <w:rFonts w:cs="Arial"/>
          <w:szCs w:val="24"/>
        </w:rPr>
        <w:t xml:space="preserve"> é </w:t>
      </w:r>
      <w:proofErr w:type="spellStart"/>
      <w:r w:rsidRPr="00F725E2">
        <w:rPr>
          <w:rFonts w:cs="Arial"/>
          <w:szCs w:val="24"/>
        </w:rPr>
        <w:t>adequado</w:t>
      </w:r>
      <w:proofErr w:type="spellEnd"/>
      <w:r w:rsidRPr="00F725E2">
        <w:rPr>
          <w:rFonts w:cs="Arial"/>
          <w:szCs w:val="24"/>
        </w:rPr>
        <w:t xml:space="preserve"> para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análise</w:t>
      </w:r>
      <w:proofErr w:type="spellEnd"/>
      <w:r w:rsidRPr="00F725E2">
        <w:rPr>
          <w:rFonts w:cs="Arial"/>
          <w:szCs w:val="24"/>
        </w:rPr>
        <w:t xml:space="preserve"> das </w:t>
      </w:r>
      <w:proofErr w:type="spellStart"/>
      <w:r w:rsidRPr="00F725E2">
        <w:rPr>
          <w:rFonts w:cs="Arial"/>
          <w:szCs w:val="24"/>
        </w:rPr>
        <w:t>relações</w:t>
      </w:r>
      <w:proofErr w:type="spellEnd"/>
      <w:r w:rsidRPr="00F725E2">
        <w:rPr>
          <w:rFonts w:cs="Arial"/>
          <w:szCs w:val="24"/>
        </w:rPr>
        <w:t xml:space="preserve"> entre as </w:t>
      </w:r>
      <w:proofErr w:type="spellStart"/>
      <w:r w:rsidRPr="00F725E2">
        <w:rPr>
          <w:rFonts w:cs="Arial"/>
          <w:szCs w:val="24"/>
        </w:rPr>
        <w:t>variáveis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oferece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base </w:t>
      </w:r>
      <w:proofErr w:type="spellStart"/>
      <w:r w:rsidRPr="00F725E2">
        <w:rPr>
          <w:rFonts w:cs="Arial"/>
          <w:szCs w:val="24"/>
        </w:rPr>
        <w:t>sólida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decisões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lastRenderedPageBreak/>
        <w:t>operacionais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orçamentárias</w:t>
      </w:r>
      <w:proofErr w:type="spellEnd"/>
      <w:r w:rsidRPr="00F725E2">
        <w:rPr>
          <w:rFonts w:cs="Arial"/>
          <w:szCs w:val="24"/>
        </w:rPr>
        <w:t xml:space="preserve">. </w:t>
      </w:r>
      <w:proofErr w:type="spellStart"/>
      <w:r w:rsidRPr="00F725E2">
        <w:rPr>
          <w:rFonts w:cs="Arial"/>
          <w:szCs w:val="24"/>
        </w:rPr>
        <w:t>Futuros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estudos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poderiam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expandir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amostra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incorporar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impacto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políticas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capacitação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operações</w:t>
      </w:r>
      <w:proofErr w:type="spellEnd"/>
      <w:r w:rsidRPr="00F725E2">
        <w:rPr>
          <w:rFonts w:cs="Arial"/>
          <w:szCs w:val="24"/>
        </w:rPr>
        <w:t xml:space="preserve"> da SEMARH, o que </w:t>
      </w:r>
      <w:proofErr w:type="spellStart"/>
      <w:r w:rsidRPr="00F725E2">
        <w:rPr>
          <w:rFonts w:cs="Arial"/>
          <w:szCs w:val="24"/>
        </w:rPr>
        <w:t>permitiria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uma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compreensão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mais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aprofundada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orçamentária</w:t>
      </w:r>
      <w:proofErr w:type="spellEnd"/>
      <w:r w:rsidRPr="00F725E2">
        <w:rPr>
          <w:rFonts w:cs="Arial"/>
          <w:szCs w:val="24"/>
        </w:rPr>
        <w:t xml:space="preserve"> e de </w:t>
      </w:r>
      <w:proofErr w:type="spellStart"/>
      <w:r w:rsidRPr="00F725E2">
        <w:rPr>
          <w:rFonts w:cs="Arial"/>
          <w:szCs w:val="24"/>
        </w:rPr>
        <w:t>novas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oportunidades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eficiência</w:t>
      </w:r>
      <w:proofErr w:type="spellEnd"/>
      <w:r w:rsidRPr="00F725E2">
        <w:rPr>
          <w:rFonts w:cs="Arial"/>
          <w:szCs w:val="24"/>
        </w:rPr>
        <w:t>.</w:t>
      </w:r>
    </w:p>
    <w:p w14:paraId="3A314E83" w14:textId="661FCF3B" w:rsidR="00F725E2" w:rsidRPr="00F725E2" w:rsidRDefault="00F725E2" w:rsidP="00F725E2">
      <w:pPr>
        <w:jc w:val="both"/>
        <w:rPr>
          <w:rFonts w:cs="Arial"/>
          <w:szCs w:val="24"/>
        </w:rPr>
      </w:pPr>
      <w:r w:rsidRPr="00F725E2">
        <w:rPr>
          <w:rFonts w:cs="Arial"/>
          <w:szCs w:val="24"/>
        </w:rPr>
        <w:t xml:space="preserve">Em </w:t>
      </w:r>
      <w:proofErr w:type="spellStart"/>
      <w:r w:rsidRPr="00F725E2">
        <w:rPr>
          <w:rFonts w:cs="Arial"/>
          <w:szCs w:val="24"/>
        </w:rPr>
        <w:t>conclusão</w:t>
      </w:r>
      <w:proofErr w:type="spellEnd"/>
      <w:r w:rsidRPr="00F725E2">
        <w:rPr>
          <w:rFonts w:cs="Arial"/>
          <w:szCs w:val="24"/>
        </w:rPr>
        <w:t xml:space="preserve">, a </w:t>
      </w:r>
      <w:proofErr w:type="spellStart"/>
      <w:r w:rsidRPr="00F725E2">
        <w:rPr>
          <w:rFonts w:cs="Arial"/>
          <w:szCs w:val="24"/>
        </w:rPr>
        <w:t>pesquisa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reforça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importância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gestão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eficiente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na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administração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recursos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destacando</w:t>
      </w:r>
      <w:proofErr w:type="spellEnd"/>
      <w:r w:rsidRPr="00F725E2">
        <w:rPr>
          <w:rFonts w:cs="Arial"/>
          <w:szCs w:val="24"/>
        </w:rPr>
        <w:t xml:space="preserve"> a </w:t>
      </w:r>
      <w:proofErr w:type="spellStart"/>
      <w:r w:rsidRPr="00F725E2">
        <w:rPr>
          <w:rFonts w:cs="Arial"/>
          <w:szCs w:val="24"/>
        </w:rPr>
        <w:t>necessidade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políticas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públicas</w:t>
      </w:r>
      <w:proofErr w:type="spellEnd"/>
      <w:r w:rsidRPr="00F725E2">
        <w:rPr>
          <w:rFonts w:cs="Arial"/>
          <w:szCs w:val="24"/>
        </w:rPr>
        <w:t xml:space="preserve"> que </w:t>
      </w:r>
      <w:proofErr w:type="spellStart"/>
      <w:r w:rsidRPr="00F725E2">
        <w:rPr>
          <w:rFonts w:cs="Arial"/>
          <w:szCs w:val="24"/>
        </w:rPr>
        <w:t>integrem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aspectos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operacionais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investimentos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abastecimento</w:t>
      </w:r>
      <w:proofErr w:type="spellEnd"/>
      <w:r w:rsidRPr="00F725E2">
        <w:rPr>
          <w:rFonts w:cs="Arial"/>
          <w:szCs w:val="24"/>
        </w:rPr>
        <w:t xml:space="preserve"> e o </w:t>
      </w:r>
      <w:proofErr w:type="spellStart"/>
      <w:r w:rsidRPr="00F725E2">
        <w:rPr>
          <w:rFonts w:cs="Arial"/>
          <w:szCs w:val="24"/>
        </w:rPr>
        <w:t>uso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sustentável</w:t>
      </w:r>
      <w:proofErr w:type="spellEnd"/>
      <w:r w:rsidRPr="00F725E2">
        <w:rPr>
          <w:rFonts w:cs="Arial"/>
          <w:szCs w:val="24"/>
        </w:rPr>
        <w:t xml:space="preserve"> da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. Tais </w:t>
      </w:r>
      <w:proofErr w:type="spellStart"/>
      <w:r w:rsidRPr="00F725E2">
        <w:rPr>
          <w:rFonts w:cs="Arial"/>
          <w:szCs w:val="24"/>
        </w:rPr>
        <w:t>práticas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são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especialmente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críticas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em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regiões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como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semiárido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nordestino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onde</w:t>
      </w:r>
      <w:proofErr w:type="spellEnd"/>
      <w:r w:rsidRPr="00F725E2">
        <w:rPr>
          <w:rFonts w:cs="Arial"/>
          <w:szCs w:val="24"/>
        </w:rPr>
        <w:t xml:space="preserve"> </w:t>
      </w:r>
      <w:proofErr w:type="gramStart"/>
      <w:r w:rsidRPr="00F725E2">
        <w:rPr>
          <w:rFonts w:cs="Arial"/>
          <w:szCs w:val="24"/>
        </w:rPr>
        <w:t>a</w:t>
      </w:r>
      <w:proofErr w:type="gram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escassez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hídrica</w:t>
      </w:r>
      <w:proofErr w:type="spellEnd"/>
      <w:r w:rsidRPr="00F725E2">
        <w:rPr>
          <w:rFonts w:cs="Arial"/>
          <w:szCs w:val="24"/>
        </w:rPr>
        <w:t xml:space="preserve"> é um </w:t>
      </w:r>
      <w:proofErr w:type="spellStart"/>
      <w:r w:rsidRPr="00F725E2">
        <w:rPr>
          <w:rFonts w:cs="Arial"/>
          <w:szCs w:val="24"/>
        </w:rPr>
        <w:t>desafio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constante</w:t>
      </w:r>
      <w:proofErr w:type="spellEnd"/>
      <w:r w:rsidRPr="00F725E2">
        <w:rPr>
          <w:rFonts w:cs="Arial"/>
          <w:szCs w:val="24"/>
        </w:rPr>
        <w:t xml:space="preserve">. A </w:t>
      </w:r>
      <w:proofErr w:type="spellStart"/>
      <w:r w:rsidRPr="00F725E2">
        <w:rPr>
          <w:rFonts w:cs="Arial"/>
          <w:szCs w:val="24"/>
        </w:rPr>
        <w:t>combinação</w:t>
      </w:r>
      <w:proofErr w:type="spellEnd"/>
      <w:r w:rsidRPr="00F725E2">
        <w:rPr>
          <w:rFonts w:cs="Arial"/>
          <w:szCs w:val="24"/>
        </w:rPr>
        <w:t xml:space="preserve"> de boas </w:t>
      </w:r>
      <w:proofErr w:type="spellStart"/>
      <w:r w:rsidRPr="00F725E2">
        <w:rPr>
          <w:rFonts w:cs="Arial"/>
          <w:szCs w:val="24"/>
        </w:rPr>
        <w:t>práticas</w:t>
      </w:r>
      <w:proofErr w:type="spellEnd"/>
      <w:r w:rsidRPr="00F725E2">
        <w:rPr>
          <w:rFonts w:cs="Arial"/>
          <w:szCs w:val="24"/>
        </w:rPr>
        <w:t xml:space="preserve"> de </w:t>
      </w:r>
      <w:proofErr w:type="spellStart"/>
      <w:r w:rsidRPr="00F725E2">
        <w:rPr>
          <w:rFonts w:cs="Arial"/>
          <w:szCs w:val="24"/>
        </w:rPr>
        <w:t>governança</w:t>
      </w:r>
      <w:proofErr w:type="spellEnd"/>
      <w:r w:rsidRPr="00F725E2">
        <w:rPr>
          <w:rFonts w:cs="Arial"/>
          <w:szCs w:val="24"/>
        </w:rPr>
        <w:t xml:space="preserve">, </w:t>
      </w:r>
      <w:proofErr w:type="spellStart"/>
      <w:r w:rsidRPr="00F725E2">
        <w:rPr>
          <w:rFonts w:cs="Arial"/>
          <w:szCs w:val="24"/>
        </w:rPr>
        <w:t>planejamento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orçamentário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eficaz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otimização</w:t>
      </w:r>
      <w:proofErr w:type="spellEnd"/>
      <w:r w:rsidRPr="00F725E2">
        <w:rPr>
          <w:rFonts w:cs="Arial"/>
          <w:szCs w:val="24"/>
        </w:rPr>
        <w:t xml:space="preserve"> de custos é </w:t>
      </w:r>
      <w:proofErr w:type="spellStart"/>
      <w:r w:rsidRPr="00F725E2">
        <w:rPr>
          <w:rFonts w:cs="Arial"/>
          <w:szCs w:val="24"/>
        </w:rPr>
        <w:t>essencial</w:t>
      </w:r>
      <w:proofErr w:type="spellEnd"/>
      <w:r w:rsidRPr="00F725E2">
        <w:rPr>
          <w:rFonts w:cs="Arial"/>
          <w:szCs w:val="24"/>
        </w:rPr>
        <w:t xml:space="preserve"> para </w:t>
      </w:r>
      <w:proofErr w:type="spellStart"/>
      <w:r w:rsidRPr="00F725E2">
        <w:rPr>
          <w:rFonts w:cs="Arial"/>
          <w:szCs w:val="24"/>
        </w:rPr>
        <w:t>enfrentar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desafios</w:t>
      </w:r>
      <w:proofErr w:type="spellEnd"/>
      <w:r w:rsidRPr="00F725E2">
        <w:rPr>
          <w:rFonts w:cs="Arial"/>
          <w:szCs w:val="24"/>
        </w:rPr>
        <w:t xml:space="preserve"> </w:t>
      </w:r>
      <w:proofErr w:type="spellStart"/>
      <w:r w:rsidRPr="00F725E2">
        <w:rPr>
          <w:rFonts w:cs="Arial"/>
          <w:szCs w:val="24"/>
        </w:rPr>
        <w:t>hídricos</w:t>
      </w:r>
      <w:proofErr w:type="spellEnd"/>
      <w:r w:rsidRPr="00F725E2">
        <w:rPr>
          <w:rFonts w:cs="Arial"/>
          <w:szCs w:val="24"/>
        </w:rPr>
        <w:t xml:space="preserve"> e </w:t>
      </w:r>
      <w:proofErr w:type="spellStart"/>
      <w:r w:rsidRPr="00F725E2">
        <w:rPr>
          <w:rFonts w:cs="Arial"/>
          <w:szCs w:val="24"/>
        </w:rPr>
        <w:t>garantir</w:t>
      </w:r>
      <w:proofErr w:type="spellEnd"/>
      <w:r w:rsidRPr="00F725E2">
        <w:rPr>
          <w:rFonts w:cs="Arial"/>
          <w:szCs w:val="24"/>
        </w:rPr>
        <w:t xml:space="preserve"> o </w:t>
      </w:r>
      <w:proofErr w:type="spellStart"/>
      <w:r w:rsidRPr="00F725E2">
        <w:rPr>
          <w:rFonts w:cs="Arial"/>
          <w:szCs w:val="24"/>
        </w:rPr>
        <w:t>acesso</w:t>
      </w:r>
      <w:proofErr w:type="spellEnd"/>
      <w:r w:rsidRPr="00F725E2">
        <w:rPr>
          <w:rFonts w:cs="Arial"/>
          <w:szCs w:val="24"/>
        </w:rPr>
        <w:t xml:space="preserve"> à </w:t>
      </w:r>
      <w:proofErr w:type="spellStart"/>
      <w:r w:rsidRPr="00F725E2">
        <w:rPr>
          <w:rFonts w:cs="Arial"/>
          <w:szCs w:val="24"/>
        </w:rPr>
        <w:t>água</w:t>
      </w:r>
      <w:proofErr w:type="spellEnd"/>
      <w:r w:rsidRPr="00F725E2">
        <w:rPr>
          <w:rFonts w:cs="Arial"/>
          <w:szCs w:val="24"/>
        </w:rPr>
        <w:t xml:space="preserve">, um </w:t>
      </w:r>
      <w:proofErr w:type="spellStart"/>
      <w:r w:rsidRPr="00F725E2">
        <w:rPr>
          <w:rFonts w:cs="Arial"/>
          <w:szCs w:val="24"/>
        </w:rPr>
        <w:t>recurso</w:t>
      </w:r>
      <w:proofErr w:type="spellEnd"/>
      <w:r w:rsidRPr="00F725E2">
        <w:rPr>
          <w:rFonts w:cs="Arial"/>
          <w:szCs w:val="24"/>
        </w:rPr>
        <w:t xml:space="preserve"> fundamental para as </w:t>
      </w:r>
      <w:proofErr w:type="spellStart"/>
      <w:r w:rsidRPr="00F725E2">
        <w:rPr>
          <w:rFonts w:cs="Arial"/>
          <w:szCs w:val="24"/>
        </w:rPr>
        <w:t>comunidades</w:t>
      </w:r>
      <w:proofErr w:type="spellEnd"/>
      <w:r w:rsidRPr="00F725E2">
        <w:rPr>
          <w:rFonts w:cs="Arial"/>
          <w:szCs w:val="24"/>
        </w:rPr>
        <w:t>.</w:t>
      </w:r>
    </w:p>
    <w:p w14:paraId="794B7DFD" w14:textId="77777777" w:rsidR="00572D56" w:rsidRPr="00F725E2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F725E2">
        <w:rPr>
          <w:rFonts w:ascii="Arial" w:hAnsi="Arial" w:cs="Arial"/>
          <w:color w:val="auto"/>
          <w:sz w:val="24"/>
          <w:szCs w:val="24"/>
        </w:rPr>
        <w:t>Referências Bibliográficas</w:t>
      </w:r>
    </w:p>
    <w:p w14:paraId="45D8E72B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ADAM, A. </w:t>
      </w:r>
      <w:r w:rsidRPr="00F725E2">
        <w:rPr>
          <w:rFonts w:eastAsia="Times New Roman" w:cs="Arial"/>
          <w:i/>
          <w:color w:val="000000"/>
          <w:szCs w:val="24"/>
        </w:rPr>
        <w:t>et al.</w:t>
      </w:r>
      <w:r w:rsidRPr="00F725E2">
        <w:rPr>
          <w:rFonts w:eastAsia="Times New Roman" w:cs="Arial"/>
          <w:color w:val="000000"/>
          <w:szCs w:val="24"/>
        </w:rPr>
        <w:t xml:space="preserve"> Fiscal decentralization and public sector efficiency: evidence from OECD countries. </w:t>
      </w:r>
      <w:r w:rsidRPr="00F725E2">
        <w:rPr>
          <w:rFonts w:eastAsia="Times New Roman" w:cs="Arial"/>
          <w:b/>
          <w:color w:val="000000"/>
          <w:szCs w:val="24"/>
        </w:rPr>
        <w:t>Economics of Governance,</w:t>
      </w:r>
      <w:r w:rsidRPr="00F725E2">
        <w:rPr>
          <w:rFonts w:eastAsia="Times New Roman" w:cs="Arial"/>
          <w:color w:val="000000"/>
          <w:szCs w:val="24"/>
        </w:rPr>
        <w:t xml:space="preserve"> v. 15, p. 17-49, 2014.</w:t>
      </w:r>
    </w:p>
    <w:p w14:paraId="2D293D0E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2181329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  <w:r w:rsidRPr="00F725E2">
        <w:rPr>
          <w:rFonts w:eastAsia="Times New Roman" w:cs="Arial"/>
          <w:szCs w:val="24"/>
        </w:rPr>
        <w:t xml:space="preserve">ADRIANO, B, T. </w:t>
      </w:r>
      <w:r w:rsidRPr="00F725E2">
        <w:rPr>
          <w:rFonts w:eastAsia="Times New Roman" w:cs="Arial"/>
          <w:i/>
          <w:szCs w:val="24"/>
        </w:rPr>
        <w:t>et al.</w:t>
      </w:r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szCs w:val="24"/>
        </w:rPr>
        <w:t>Diretrizes</w:t>
      </w:r>
      <w:proofErr w:type="spellEnd"/>
      <w:r w:rsidRPr="00F725E2">
        <w:rPr>
          <w:rFonts w:eastAsia="Times New Roman" w:cs="Arial"/>
          <w:b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szCs w:val="24"/>
        </w:rPr>
        <w:t>governança</w:t>
      </w:r>
      <w:proofErr w:type="spellEnd"/>
      <w:r w:rsidRPr="00F725E2">
        <w:rPr>
          <w:rFonts w:eastAsia="Times New Roman" w:cs="Arial"/>
          <w:b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szCs w:val="24"/>
        </w:rPr>
        <w:t>pública</w:t>
      </w:r>
      <w:proofErr w:type="spellEnd"/>
      <w:r w:rsidRPr="00F725E2">
        <w:rPr>
          <w:rFonts w:eastAsia="Times New Roman" w:cs="Arial"/>
          <w:b/>
          <w:szCs w:val="24"/>
        </w:rPr>
        <w:t xml:space="preserve"> para </w:t>
      </w:r>
      <w:proofErr w:type="spellStart"/>
      <w:r w:rsidRPr="00F725E2">
        <w:rPr>
          <w:rFonts w:eastAsia="Times New Roman" w:cs="Arial"/>
          <w:b/>
          <w:szCs w:val="24"/>
        </w:rPr>
        <w:t>adaptação</w:t>
      </w:r>
      <w:proofErr w:type="spellEnd"/>
      <w:r w:rsidRPr="00F725E2">
        <w:rPr>
          <w:rFonts w:eastAsia="Times New Roman" w:cs="Arial"/>
          <w:b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szCs w:val="24"/>
        </w:rPr>
        <w:t>climática</w:t>
      </w:r>
      <w:proofErr w:type="spellEnd"/>
      <w:r w:rsidRPr="00F725E2">
        <w:rPr>
          <w:rFonts w:eastAsia="Times New Roman" w:cs="Arial"/>
          <w:b/>
          <w:szCs w:val="24"/>
        </w:rPr>
        <w:t xml:space="preserve"> local: </w:t>
      </w:r>
      <w:proofErr w:type="spellStart"/>
      <w:r w:rsidRPr="00F725E2">
        <w:rPr>
          <w:rFonts w:eastAsia="Times New Roman" w:cs="Arial"/>
          <w:b/>
          <w:szCs w:val="24"/>
        </w:rPr>
        <w:t>uma</w:t>
      </w:r>
      <w:proofErr w:type="spellEnd"/>
      <w:r w:rsidRPr="00F725E2">
        <w:rPr>
          <w:rFonts w:eastAsia="Times New Roman" w:cs="Arial"/>
          <w:b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szCs w:val="24"/>
        </w:rPr>
        <w:t>proposta</w:t>
      </w:r>
      <w:proofErr w:type="spellEnd"/>
      <w:r w:rsidRPr="00F725E2">
        <w:rPr>
          <w:rFonts w:eastAsia="Times New Roman" w:cs="Arial"/>
          <w:b/>
          <w:szCs w:val="24"/>
        </w:rPr>
        <w:t xml:space="preserve"> a </w:t>
      </w:r>
      <w:proofErr w:type="spellStart"/>
      <w:r w:rsidRPr="00F725E2">
        <w:rPr>
          <w:rFonts w:eastAsia="Times New Roman" w:cs="Arial"/>
          <w:b/>
          <w:szCs w:val="24"/>
        </w:rPr>
        <w:t>partir</w:t>
      </w:r>
      <w:proofErr w:type="spellEnd"/>
      <w:r w:rsidRPr="00F725E2">
        <w:rPr>
          <w:rFonts w:eastAsia="Times New Roman" w:cs="Arial"/>
          <w:b/>
          <w:szCs w:val="24"/>
        </w:rPr>
        <w:t xml:space="preserve"> do </w:t>
      </w:r>
      <w:proofErr w:type="spellStart"/>
      <w:r w:rsidRPr="00F725E2">
        <w:rPr>
          <w:rFonts w:eastAsia="Times New Roman" w:cs="Arial"/>
          <w:b/>
          <w:szCs w:val="24"/>
        </w:rPr>
        <w:t>contexto</w:t>
      </w:r>
      <w:proofErr w:type="spellEnd"/>
      <w:r w:rsidRPr="00F725E2">
        <w:rPr>
          <w:rFonts w:eastAsia="Times New Roman" w:cs="Arial"/>
          <w:b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szCs w:val="24"/>
        </w:rPr>
        <w:t>Brasil</w:t>
      </w:r>
      <w:proofErr w:type="spellEnd"/>
      <w:r w:rsidRPr="00F725E2">
        <w:rPr>
          <w:rFonts w:eastAsia="Times New Roman" w:cs="Arial"/>
          <w:b/>
          <w:szCs w:val="24"/>
        </w:rPr>
        <w:t xml:space="preserve">-Portugal. </w:t>
      </w:r>
      <w:proofErr w:type="spellStart"/>
      <w:r w:rsidRPr="00F725E2">
        <w:rPr>
          <w:rFonts w:eastAsia="Times New Roman" w:cs="Arial"/>
          <w:szCs w:val="24"/>
        </w:rPr>
        <w:t>Tese</w:t>
      </w:r>
      <w:proofErr w:type="spellEnd"/>
      <w:r w:rsidRPr="00F725E2">
        <w:rPr>
          <w:rFonts w:eastAsia="Times New Roman" w:cs="Arial"/>
          <w:szCs w:val="24"/>
        </w:rPr>
        <w:t xml:space="preserve"> (</w:t>
      </w:r>
      <w:proofErr w:type="spellStart"/>
      <w:r w:rsidRPr="00F725E2">
        <w:rPr>
          <w:rFonts w:eastAsia="Times New Roman" w:cs="Arial"/>
          <w:szCs w:val="24"/>
        </w:rPr>
        <w:t>doutorado</w:t>
      </w:r>
      <w:proofErr w:type="spellEnd"/>
      <w:r w:rsidRPr="00F725E2">
        <w:rPr>
          <w:rFonts w:eastAsia="Times New Roman" w:cs="Arial"/>
          <w:szCs w:val="24"/>
        </w:rPr>
        <w:t xml:space="preserve">) - </w:t>
      </w:r>
      <w:proofErr w:type="spellStart"/>
      <w:r w:rsidRPr="00F725E2">
        <w:rPr>
          <w:rFonts w:eastAsia="Times New Roman" w:cs="Arial"/>
          <w:szCs w:val="24"/>
        </w:rPr>
        <w:t>Universidade</w:t>
      </w:r>
      <w:proofErr w:type="spellEnd"/>
      <w:r w:rsidRPr="00F725E2">
        <w:rPr>
          <w:rFonts w:eastAsia="Times New Roman" w:cs="Arial"/>
          <w:szCs w:val="24"/>
        </w:rPr>
        <w:t xml:space="preserve"> Federal de Santa Catarina, Centro </w:t>
      </w:r>
      <w:proofErr w:type="spellStart"/>
      <w:r w:rsidRPr="00F725E2">
        <w:rPr>
          <w:rFonts w:eastAsia="Times New Roman" w:cs="Arial"/>
          <w:szCs w:val="24"/>
        </w:rPr>
        <w:t>Sócio-Econômico</w:t>
      </w:r>
      <w:proofErr w:type="spellEnd"/>
      <w:r w:rsidRPr="00F725E2">
        <w:rPr>
          <w:rFonts w:eastAsia="Times New Roman" w:cs="Arial"/>
          <w:szCs w:val="24"/>
        </w:rPr>
        <w:t xml:space="preserve">, </w:t>
      </w:r>
      <w:proofErr w:type="spellStart"/>
      <w:r w:rsidRPr="00F725E2">
        <w:rPr>
          <w:rFonts w:eastAsia="Times New Roman" w:cs="Arial"/>
          <w:szCs w:val="24"/>
        </w:rPr>
        <w:t>Programa</w:t>
      </w:r>
      <w:proofErr w:type="spellEnd"/>
      <w:r w:rsidRPr="00F725E2">
        <w:rPr>
          <w:rFonts w:eastAsia="Times New Roman" w:cs="Arial"/>
          <w:szCs w:val="24"/>
        </w:rPr>
        <w:t xml:space="preserve"> de Pós-</w:t>
      </w:r>
      <w:proofErr w:type="spellStart"/>
      <w:r w:rsidRPr="00F725E2">
        <w:rPr>
          <w:rFonts w:eastAsia="Times New Roman" w:cs="Arial"/>
          <w:szCs w:val="24"/>
        </w:rPr>
        <w:t>Graduação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em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Administração</w:t>
      </w:r>
      <w:proofErr w:type="spellEnd"/>
      <w:r w:rsidRPr="00F725E2">
        <w:rPr>
          <w:rFonts w:eastAsia="Times New Roman" w:cs="Arial"/>
          <w:szCs w:val="24"/>
        </w:rPr>
        <w:t xml:space="preserve">, </w:t>
      </w:r>
      <w:proofErr w:type="spellStart"/>
      <w:r w:rsidRPr="00F725E2">
        <w:rPr>
          <w:rFonts w:eastAsia="Times New Roman" w:cs="Arial"/>
          <w:szCs w:val="24"/>
        </w:rPr>
        <w:t>Florianópolis</w:t>
      </w:r>
      <w:proofErr w:type="spellEnd"/>
      <w:r w:rsidRPr="00F725E2">
        <w:rPr>
          <w:rFonts w:eastAsia="Times New Roman" w:cs="Arial"/>
          <w:szCs w:val="24"/>
        </w:rPr>
        <w:t>, 2024.</w:t>
      </w:r>
    </w:p>
    <w:p w14:paraId="10A3D3E7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78050DBF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ARAÚJO, R. J. R. </w:t>
      </w:r>
      <w:proofErr w:type="gramStart"/>
      <w:r w:rsidRPr="00F725E2">
        <w:rPr>
          <w:rFonts w:eastAsia="Times New Roman" w:cs="Arial"/>
          <w:b/>
          <w:color w:val="000000"/>
          <w:szCs w:val="24"/>
        </w:rPr>
        <w:t>A</w:t>
      </w:r>
      <w:proofErr w:type="gram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estrutura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orçamentária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sua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produtividade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na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saúde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pública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no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Brasil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.</w:t>
      </w:r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Dissertação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(</w:t>
      </w:r>
      <w:proofErr w:type="spellStart"/>
      <w:r w:rsidRPr="00F725E2">
        <w:rPr>
          <w:rFonts w:eastAsia="Times New Roman" w:cs="Arial"/>
          <w:color w:val="000000"/>
          <w:szCs w:val="24"/>
        </w:rPr>
        <w:t>Mestrado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Ciências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Contábeis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) – </w:t>
      </w:r>
      <w:proofErr w:type="spellStart"/>
      <w:r w:rsidRPr="00F725E2">
        <w:rPr>
          <w:rFonts w:eastAsia="Times New Roman" w:cs="Arial"/>
          <w:color w:val="000000"/>
          <w:szCs w:val="24"/>
        </w:rPr>
        <w:t>Programa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Pós-</w:t>
      </w:r>
      <w:proofErr w:type="spellStart"/>
      <w:r w:rsidRPr="00F725E2">
        <w:rPr>
          <w:rFonts w:eastAsia="Times New Roman" w:cs="Arial"/>
          <w:color w:val="000000"/>
          <w:szCs w:val="24"/>
        </w:rPr>
        <w:t>Graduação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Ciências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Contábeis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, </w:t>
      </w:r>
      <w:proofErr w:type="spellStart"/>
      <w:r w:rsidRPr="00F725E2">
        <w:rPr>
          <w:rFonts w:eastAsia="Times New Roman" w:cs="Arial"/>
          <w:color w:val="000000"/>
          <w:szCs w:val="24"/>
        </w:rPr>
        <w:t>Universidade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Federal da Paraíba. João Pessoa, p. 100. 2017.</w:t>
      </w:r>
    </w:p>
    <w:p w14:paraId="74ED4781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4DDD0817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BARTEL, R.; SCHNEIDER, F. The “mess” of the public industrial production in Austria: A typical case of public sector </w:t>
      </w:r>
      <w:proofErr w:type="gramStart"/>
      <w:r w:rsidRPr="00F725E2">
        <w:rPr>
          <w:rFonts w:eastAsia="Times New Roman" w:cs="Arial"/>
          <w:color w:val="000000"/>
          <w:szCs w:val="24"/>
        </w:rPr>
        <w:t>inefficiency?.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</w:t>
      </w:r>
      <w:r w:rsidRPr="00F725E2">
        <w:rPr>
          <w:rFonts w:eastAsia="Times New Roman" w:cs="Arial"/>
          <w:b/>
          <w:color w:val="000000"/>
          <w:szCs w:val="24"/>
        </w:rPr>
        <w:t>Public choice,</w:t>
      </w:r>
      <w:r w:rsidRPr="00F725E2">
        <w:rPr>
          <w:rFonts w:eastAsia="Times New Roman" w:cs="Arial"/>
          <w:color w:val="000000"/>
          <w:szCs w:val="24"/>
        </w:rPr>
        <w:t xml:space="preserve"> v. 68, n. 1, p. 17-40, 1991.</w:t>
      </w:r>
    </w:p>
    <w:p w14:paraId="338C274F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2CCCA15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  <w:r w:rsidRPr="00F725E2">
        <w:rPr>
          <w:rFonts w:eastAsia="Times New Roman" w:cs="Arial"/>
          <w:szCs w:val="24"/>
        </w:rPr>
        <w:t xml:space="preserve">BIO, S. R. </w:t>
      </w:r>
      <w:r w:rsidRPr="00F725E2">
        <w:rPr>
          <w:rFonts w:eastAsia="Times New Roman" w:cs="Arial"/>
          <w:b/>
          <w:szCs w:val="24"/>
        </w:rPr>
        <w:t xml:space="preserve">Sistemas de </w:t>
      </w:r>
      <w:proofErr w:type="spellStart"/>
      <w:r w:rsidRPr="00F725E2">
        <w:rPr>
          <w:rFonts w:eastAsia="Times New Roman" w:cs="Arial"/>
          <w:b/>
          <w:szCs w:val="24"/>
        </w:rPr>
        <w:t>Informação</w:t>
      </w:r>
      <w:proofErr w:type="spellEnd"/>
      <w:r w:rsidRPr="00F725E2">
        <w:rPr>
          <w:rFonts w:eastAsia="Times New Roman" w:cs="Arial"/>
          <w:b/>
          <w:szCs w:val="24"/>
        </w:rPr>
        <w:t>:</w:t>
      </w:r>
      <w:r w:rsidRPr="00F725E2">
        <w:rPr>
          <w:rFonts w:eastAsia="Times New Roman" w:cs="Arial"/>
          <w:szCs w:val="24"/>
        </w:rPr>
        <w:t xml:space="preserve"> um </w:t>
      </w:r>
      <w:proofErr w:type="spellStart"/>
      <w:r w:rsidRPr="00F725E2">
        <w:rPr>
          <w:rFonts w:eastAsia="Times New Roman" w:cs="Arial"/>
          <w:szCs w:val="24"/>
        </w:rPr>
        <w:t>enfoque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gerencial</w:t>
      </w:r>
      <w:proofErr w:type="spellEnd"/>
      <w:r w:rsidRPr="00F725E2">
        <w:rPr>
          <w:rFonts w:eastAsia="Times New Roman" w:cs="Arial"/>
          <w:szCs w:val="24"/>
        </w:rPr>
        <w:t>. São Paulo: Atlas, 2008.</w:t>
      </w:r>
    </w:p>
    <w:p w14:paraId="25714CF1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06A16DB4" w14:textId="77777777" w:rsidR="00F725E2" w:rsidRPr="00F725E2" w:rsidRDefault="00F725E2" w:rsidP="00F72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szCs w:val="24"/>
        </w:rPr>
      </w:pPr>
      <w:r w:rsidRPr="00F725E2">
        <w:rPr>
          <w:rFonts w:eastAsia="Times New Roman" w:cs="Arial"/>
          <w:b/>
          <w:szCs w:val="24"/>
        </w:rPr>
        <w:t>BRASIL.</w:t>
      </w:r>
      <w:r w:rsidRPr="00F725E2">
        <w:rPr>
          <w:rFonts w:eastAsia="Times New Roman" w:cs="Arial"/>
          <w:szCs w:val="24"/>
        </w:rPr>
        <w:t xml:space="preserve"> Lei nº 4.320, de 17 de </w:t>
      </w:r>
      <w:proofErr w:type="spellStart"/>
      <w:r w:rsidRPr="00F725E2">
        <w:rPr>
          <w:rFonts w:eastAsia="Times New Roman" w:cs="Arial"/>
          <w:szCs w:val="24"/>
        </w:rPr>
        <w:t>março</w:t>
      </w:r>
      <w:proofErr w:type="spellEnd"/>
      <w:r w:rsidRPr="00F725E2">
        <w:rPr>
          <w:rFonts w:eastAsia="Times New Roman" w:cs="Arial"/>
          <w:szCs w:val="24"/>
        </w:rPr>
        <w:t xml:space="preserve"> de 1964. </w:t>
      </w:r>
      <w:proofErr w:type="spellStart"/>
      <w:r w:rsidRPr="00F725E2">
        <w:rPr>
          <w:rFonts w:eastAsia="Times New Roman" w:cs="Arial"/>
          <w:szCs w:val="24"/>
        </w:rPr>
        <w:t>Estatui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normas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gerais</w:t>
      </w:r>
      <w:proofErr w:type="spellEnd"/>
      <w:r w:rsidRPr="00F725E2">
        <w:rPr>
          <w:rFonts w:eastAsia="Times New Roman" w:cs="Arial"/>
          <w:szCs w:val="24"/>
        </w:rPr>
        <w:t xml:space="preserve"> de </w:t>
      </w:r>
      <w:proofErr w:type="spellStart"/>
      <w:r w:rsidRPr="00F725E2">
        <w:rPr>
          <w:rFonts w:eastAsia="Times New Roman" w:cs="Arial"/>
          <w:szCs w:val="24"/>
        </w:rPr>
        <w:t>direito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financeiro</w:t>
      </w:r>
      <w:proofErr w:type="spellEnd"/>
      <w:r w:rsidRPr="00F725E2">
        <w:rPr>
          <w:rFonts w:eastAsia="Times New Roman" w:cs="Arial"/>
          <w:szCs w:val="24"/>
        </w:rPr>
        <w:t xml:space="preserve"> para </w:t>
      </w:r>
      <w:proofErr w:type="spellStart"/>
      <w:r w:rsidRPr="00F725E2">
        <w:rPr>
          <w:rFonts w:eastAsia="Times New Roman" w:cs="Arial"/>
          <w:szCs w:val="24"/>
        </w:rPr>
        <w:t>elaboração</w:t>
      </w:r>
      <w:proofErr w:type="spellEnd"/>
      <w:r w:rsidRPr="00F725E2">
        <w:rPr>
          <w:rFonts w:eastAsia="Times New Roman" w:cs="Arial"/>
          <w:szCs w:val="24"/>
        </w:rPr>
        <w:t xml:space="preserve"> e </w:t>
      </w:r>
      <w:proofErr w:type="spellStart"/>
      <w:r w:rsidRPr="00F725E2">
        <w:rPr>
          <w:rFonts w:eastAsia="Times New Roman" w:cs="Arial"/>
          <w:szCs w:val="24"/>
        </w:rPr>
        <w:t>controle</w:t>
      </w:r>
      <w:proofErr w:type="spellEnd"/>
      <w:r w:rsidRPr="00F725E2">
        <w:rPr>
          <w:rFonts w:eastAsia="Times New Roman" w:cs="Arial"/>
          <w:szCs w:val="24"/>
        </w:rPr>
        <w:t xml:space="preserve"> dos </w:t>
      </w:r>
      <w:proofErr w:type="spellStart"/>
      <w:r w:rsidRPr="00F725E2">
        <w:rPr>
          <w:rFonts w:eastAsia="Times New Roman" w:cs="Arial"/>
          <w:szCs w:val="24"/>
        </w:rPr>
        <w:t>orçamentos</w:t>
      </w:r>
      <w:proofErr w:type="spellEnd"/>
      <w:r w:rsidRPr="00F725E2">
        <w:rPr>
          <w:rFonts w:eastAsia="Times New Roman" w:cs="Arial"/>
          <w:szCs w:val="24"/>
        </w:rPr>
        <w:t xml:space="preserve"> e </w:t>
      </w:r>
      <w:proofErr w:type="spellStart"/>
      <w:r w:rsidRPr="00F725E2">
        <w:rPr>
          <w:rFonts w:eastAsia="Times New Roman" w:cs="Arial"/>
          <w:szCs w:val="24"/>
        </w:rPr>
        <w:t>balanços</w:t>
      </w:r>
      <w:proofErr w:type="spellEnd"/>
      <w:r w:rsidRPr="00F725E2">
        <w:rPr>
          <w:rFonts w:eastAsia="Times New Roman" w:cs="Arial"/>
          <w:szCs w:val="24"/>
        </w:rPr>
        <w:t xml:space="preserve"> da </w:t>
      </w:r>
      <w:proofErr w:type="spellStart"/>
      <w:r w:rsidRPr="00F725E2">
        <w:rPr>
          <w:rFonts w:eastAsia="Times New Roman" w:cs="Arial"/>
          <w:szCs w:val="24"/>
        </w:rPr>
        <w:t>União</w:t>
      </w:r>
      <w:proofErr w:type="spellEnd"/>
      <w:r w:rsidRPr="00F725E2">
        <w:rPr>
          <w:rFonts w:eastAsia="Times New Roman" w:cs="Arial"/>
          <w:szCs w:val="24"/>
        </w:rPr>
        <w:t xml:space="preserve">, dos </w:t>
      </w:r>
      <w:proofErr w:type="spellStart"/>
      <w:r w:rsidRPr="00F725E2">
        <w:rPr>
          <w:rFonts w:eastAsia="Times New Roman" w:cs="Arial"/>
          <w:szCs w:val="24"/>
        </w:rPr>
        <w:t>Estados</w:t>
      </w:r>
      <w:proofErr w:type="spellEnd"/>
      <w:r w:rsidRPr="00F725E2">
        <w:rPr>
          <w:rFonts w:eastAsia="Times New Roman" w:cs="Arial"/>
          <w:szCs w:val="24"/>
        </w:rPr>
        <w:t xml:space="preserve">, dos </w:t>
      </w:r>
      <w:proofErr w:type="spellStart"/>
      <w:r w:rsidRPr="00F725E2">
        <w:rPr>
          <w:rFonts w:eastAsia="Times New Roman" w:cs="Arial"/>
          <w:szCs w:val="24"/>
        </w:rPr>
        <w:t>Municípios</w:t>
      </w:r>
      <w:proofErr w:type="spellEnd"/>
      <w:r w:rsidRPr="00F725E2">
        <w:rPr>
          <w:rFonts w:eastAsia="Times New Roman" w:cs="Arial"/>
          <w:szCs w:val="24"/>
        </w:rPr>
        <w:t xml:space="preserve"> e do Distrito Federal. </w:t>
      </w:r>
      <w:proofErr w:type="spellStart"/>
      <w:r w:rsidRPr="00F725E2">
        <w:rPr>
          <w:rFonts w:eastAsia="Times New Roman" w:cs="Arial"/>
          <w:szCs w:val="24"/>
        </w:rPr>
        <w:t>Diário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Oficial</w:t>
      </w:r>
      <w:proofErr w:type="spellEnd"/>
      <w:r w:rsidRPr="00F725E2">
        <w:rPr>
          <w:rFonts w:eastAsia="Times New Roman" w:cs="Arial"/>
          <w:szCs w:val="24"/>
        </w:rPr>
        <w:t xml:space="preserve"> da </w:t>
      </w:r>
      <w:proofErr w:type="spellStart"/>
      <w:r w:rsidRPr="00F725E2">
        <w:rPr>
          <w:rFonts w:eastAsia="Times New Roman" w:cs="Arial"/>
          <w:szCs w:val="24"/>
        </w:rPr>
        <w:t>União</w:t>
      </w:r>
      <w:proofErr w:type="spellEnd"/>
      <w:r w:rsidRPr="00F725E2">
        <w:rPr>
          <w:rFonts w:eastAsia="Times New Roman" w:cs="Arial"/>
          <w:szCs w:val="24"/>
        </w:rPr>
        <w:t xml:space="preserve">: </w:t>
      </w:r>
      <w:proofErr w:type="spellStart"/>
      <w:r w:rsidRPr="00F725E2">
        <w:rPr>
          <w:rFonts w:eastAsia="Times New Roman" w:cs="Arial"/>
          <w:szCs w:val="24"/>
        </w:rPr>
        <w:t>seção</w:t>
      </w:r>
      <w:proofErr w:type="spellEnd"/>
      <w:r w:rsidRPr="00F725E2">
        <w:rPr>
          <w:rFonts w:eastAsia="Times New Roman" w:cs="Arial"/>
          <w:szCs w:val="24"/>
        </w:rPr>
        <w:t xml:space="preserve"> 1, Brasília, DF, 23 mar. 1964. </w:t>
      </w:r>
      <w:proofErr w:type="spellStart"/>
      <w:r w:rsidRPr="00F725E2">
        <w:rPr>
          <w:rFonts w:eastAsia="Times New Roman" w:cs="Arial"/>
          <w:szCs w:val="24"/>
        </w:rPr>
        <w:t>Disponível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em</w:t>
      </w:r>
      <w:proofErr w:type="spellEnd"/>
      <w:r w:rsidRPr="00F725E2">
        <w:rPr>
          <w:rFonts w:eastAsia="Times New Roman" w:cs="Arial"/>
          <w:szCs w:val="24"/>
        </w:rPr>
        <w:t xml:space="preserve">: https://www.planalto.gov.br/ccivil_03/leis/l4320.htm. </w:t>
      </w:r>
      <w:proofErr w:type="spellStart"/>
      <w:r w:rsidRPr="00F725E2">
        <w:rPr>
          <w:rFonts w:eastAsia="Times New Roman" w:cs="Arial"/>
          <w:szCs w:val="24"/>
        </w:rPr>
        <w:t>Acesso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em</w:t>
      </w:r>
      <w:proofErr w:type="spellEnd"/>
      <w:r w:rsidRPr="00F725E2">
        <w:rPr>
          <w:rFonts w:eastAsia="Times New Roman" w:cs="Arial"/>
          <w:szCs w:val="24"/>
        </w:rPr>
        <w:t xml:space="preserve">: 5 </w:t>
      </w:r>
      <w:proofErr w:type="spellStart"/>
      <w:r w:rsidRPr="00F725E2">
        <w:rPr>
          <w:rFonts w:eastAsia="Times New Roman" w:cs="Arial"/>
          <w:szCs w:val="24"/>
        </w:rPr>
        <w:t>maio</w:t>
      </w:r>
      <w:proofErr w:type="spellEnd"/>
      <w:r w:rsidRPr="00F725E2">
        <w:rPr>
          <w:rFonts w:eastAsia="Times New Roman" w:cs="Arial"/>
          <w:szCs w:val="24"/>
        </w:rPr>
        <w:t xml:space="preserve"> 2025.</w:t>
      </w:r>
    </w:p>
    <w:p w14:paraId="79FA560C" w14:textId="77777777" w:rsidR="00F725E2" w:rsidRPr="00F725E2" w:rsidRDefault="00F725E2" w:rsidP="00F72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szCs w:val="24"/>
        </w:rPr>
      </w:pPr>
    </w:p>
    <w:p w14:paraId="13C40B64" w14:textId="77777777" w:rsidR="00F725E2" w:rsidRPr="00F725E2" w:rsidRDefault="00F725E2" w:rsidP="00F72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szCs w:val="24"/>
        </w:rPr>
      </w:pPr>
      <w:r w:rsidRPr="00F725E2">
        <w:rPr>
          <w:rFonts w:eastAsia="Times New Roman" w:cs="Arial"/>
          <w:b/>
          <w:szCs w:val="24"/>
        </w:rPr>
        <w:t>BRASIL</w:t>
      </w:r>
      <w:r w:rsidRPr="00F725E2">
        <w:rPr>
          <w:rFonts w:eastAsia="Times New Roman" w:cs="Arial"/>
          <w:szCs w:val="24"/>
        </w:rPr>
        <w:t xml:space="preserve">. Lei nº 9.433, de 8 de </w:t>
      </w:r>
      <w:proofErr w:type="spellStart"/>
      <w:r w:rsidRPr="00F725E2">
        <w:rPr>
          <w:rFonts w:eastAsia="Times New Roman" w:cs="Arial"/>
          <w:szCs w:val="24"/>
        </w:rPr>
        <w:t>janeiro</w:t>
      </w:r>
      <w:proofErr w:type="spellEnd"/>
      <w:r w:rsidRPr="00F725E2">
        <w:rPr>
          <w:rFonts w:eastAsia="Times New Roman" w:cs="Arial"/>
          <w:szCs w:val="24"/>
        </w:rPr>
        <w:t xml:space="preserve"> de 1997. </w:t>
      </w:r>
      <w:proofErr w:type="spellStart"/>
      <w:r w:rsidRPr="00F725E2">
        <w:rPr>
          <w:rFonts w:eastAsia="Times New Roman" w:cs="Arial"/>
          <w:szCs w:val="24"/>
        </w:rPr>
        <w:t>Institui</w:t>
      </w:r>
      <w:proofErr w:type="spellEnd"/>
      <w:r w:rsidRPr="00F725E2">
        <w:rPr>
          <w:rFonts w:eastAsia="Times New Roman" w:cs="Arial"/>
          <w:szCs w:val="24"/>
        </w:rPr>
        <w:t xml:space="preserve"> a Política Nacional de </w:t>
      </w:r>
      <w:proofErr w:type="spellStart"/>
      <w:r w:rsidRPr="00F725E2">
        <w:rPr>
          <w:rFonts w:eastAsia="Times New Roman" w:cs="Arial"/>
          <w:szCs w:val="24"/>
        </w:rPr>
        <w:t>Recursos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Hídricos</w:t>
      </w:r>
      <w:proofErr w:type="spellEnd"/>
      <w:r w:rsidRPr="00F725E2">
        <w:rPr>
          <w:rFonts w:eastAsia="Times New Roman" w:cs="Arial"/>
          <w:szCs w:val="24"/>
        </w:rPr>
        <w:t xml:space="preserve">, </w:t>
      </w:r>
      <w:proofErr w:type="spellStart"/>
      <w:r w:rsidRPr="00F725E2">
        <w:rPr>
          <w:rFonts w:eastAsia="Times New Roman" w:cs="Arial"/>
          <w:szCs w:val="24"/>
        </w:rPr>
        <w:t>cria</w:t>
      </w:r>
      <w:proofErr w:type="spellEnd"/>
      <w:r w:rsidRPr="00F725E2">
        <w:rPr>
          <w:rFonts w:eastAsia="Times New Roman" w:cs="Arial"/>
          <w:szCs w:val="24"/>
        </w:rPr>
        <w:t xml:space="preserve"> o Sistema Nacional de </w:t>
      </w:r>
      <w:proofErr w:type="spellStart"/>
      <w:r w:rsidRPr="00F725E2">
        <w:rPr>
          <w:rFonts w:eastAsia="Times New Roman" w:cs="Arial"/>
          <w:szCs w:val="24"/>
        </w:rPr>
        <w:t>Gerenciamento</w:t>
      </w:r>
      <w:proofErr w:type="spellEnd"/>
      <w:r w:rsidRPr="00F725E2">
        <w:rPr>
          <w:rFonts w:eastAsia="Times New Roman" w:cs="Arial"/>
          <w:szCs w:val="24"/>
        </w:rPr>
        <w:t xml:space="preserve"> de </w:t>
      </w:r>
      <w:proofErr w:type="spellStart"/>
      <w:r w:rsidRPr="00F725E2">
        <w:rPr>
          <w:rFonts w:eastAsia="Times New Roman" w:cs="Arial"/>
          <w:szCs w:val="24"/>
        </w:rPr>
        <w:t>Recursos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Hídricos</w:t>
      </w:r>
      <w:proofErr w:type="spellEnd"/>
      <w:r w:rsidRPr="00F725E2">
        <w:rPr>
          <w:rFonts w:eastAsia="Times New Roman" w:cs="Arial"/>
          <w:szCs w:val="24"/>
        </w:rPr>
        <w:t xml:space="preserve">, </w:t>
      </w:r>
      <w:proofErr w:type="spellStart"/>
      <w:r w:rsidRPr="00F725E2">
        <w:rPr>
          <w:rFonts w:eastAsia="Times New Roman" w:cs="Arial"/>
          <w:szCs w:val="24"/>
        </w:rPr>
        <w:t>regula</w:t>
      </w:r>
      <w:proofErr w:type="spellEnd"/>
      <w:r w:rsidRPr="00F725E2">
        <w:rPr>
          <w:rFonts w:eastAsia="Times New Roman" w:cs="Arial"/>
          <w:szCs w:val="24"/>
        </w:rPr>
        <w:t xml:space="preserve"> o </w:t>
      </w:r>
      <w:proofErr w:type="spellStart"/>
      <w:r w:rsidRPr="00F725E2">
        <w:rPr>
          <w:rFonts w:eastAsia="Times New Roman" w:cs="Arial"/>
          <w:szCs w:val="24"/>
        </w:rPr>
        <w:t>uso</w:t>
      </w:r>
      <w:proofErr w:type="spellEnd"/>
      <w:r w:rsidRPr="00F725E2">
        <w:rPr>
          <w:rFonts w:eastAsia="Times New Roman" w:cs="Arial"/>
          <w:szCs w:val="24"/>
        </w:rPr>
        <w:t xml:space="preserve"> da </w:t>
      </w:r>
      <w:proofErr w:type="spellStart"/>
      <w:r w:rsidRPr="00F725E2">
        <w:rPr>
          <w:rFonts w:eastAsia="Times New Roman" w:cs="Arial"/>
          <w:szCs w:val="24"/>
        </w:rPr>
        <w:t>água</w:t>
      </w:r>
      <w:proofErr w:type="spellEnd"/>
      <w:r w:rsidRPr="00F725E2">
        <w:rPr>
          <w:rFonts w:eastAsia="Times New Roman" w:cs="Arial"/>
          <w:szCs w:val="24"/>
        </w:rPr>
        <w:t xml:space="preserve"> e </w:t>
      </w:r>
      <w:proofErr w:type="spellStart"/>
      <w:r w:rsidRPr="00F725E2">
        <w:rPr>
          <w:rFonts w:eastAsia="Times New Roman" w:cs="Arial"/>
          <w:szCs w:val="24"/>
        </w:rPr>
        <w:t>dá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outras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providências</w:t>
      </w:r>
      <w:proofErr w:type="spellEnd"/>
      <w:r w:rsidRPr="00F725E2">
        <w:rPr>
          <w:rFonts w:eastAsia="Times New Roman" w:cs="Arial"/>
          <w:szCs w:val="24"/>
        </w:rPr>
        <w:t xml:space="preserve">. </w:t>
      </w:r>
      <w:proofErr w:type="spellStart"/>
      <w:r w:rsidRPr="00F725E2">
        <w:rPr>
          <w:rFonts w:eastAsia="Times New Roman" w:cs="Arial"/>
          <w:szCs w:val="24"/>
        </w:rPr>
        <w:t>Diário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Oficial</w:t>
      </w:r>
      <w:proofErr w:type="spellEnd"/>
      <w:r w:rsidRPr="00F725E2">
        <w:rPr>
          <w:rFonts w:eastAsia="Times New Roman" w:cs="Arial"/>
          <w:szCs w:val="24"/>
        </w:rPr>
        <w:t xml:space="preserve"> da </w:t>
      </w:r>
      <w:proofErr w:type="spellStart"/>
      <w:r w:rsidRPr="00F725E2">
        <w:rPr>
          <w:rFonts w:eastAsia="Times New Roman" w:cs="Arial"/>
          <w:szCs w:val="24"/>
        </w:rPr>
        <w:t>União</w:t>
      </w:r>
      <w:proofErr w:type="spellEnd"/>
      <w:r w:rsidRPr="00F725E2">
        <w:rPr>
          <w:rFonts w:eastAsia="Times New Roman" w:cs="Arial"/>
          <w:szCs w:val="24"/>
        </w:rPr>
        <w:t xml:space="preserve">: </w:t>
      </w:r>
      <w:proofErr w:type="spellStart"/>
      <w:r w:rsidRPr="00F725E2">
        <w:rPr>
          <w:rFonts w:eastAsia="Times New Roman" w:cs="Arial"/>
          <w:szCs w:val="24"/>
        </w:rPr>
        <w:t>seção</w:t>
      </w:r>
      <w:proofErr w:type="spellEnd"/>
      <w:r w:rsidRPr="00F725E2">
        <w:rPr>
          <w:rFonts w:eastAsia="Times New Roman" w:cs="Arial"/>
          <w:szCs w:val="24"/>
        </w:rPr>
        <w:t xml:space="preserve"> 1, Brasília, DF, 9 </w:t>
      </w:r>
      <w:proofErr w:type="spellStart"/>
      <w:r w:rsidRPr="00F725E2">
        <w:rPr>
          <w:rFonts w:eastAsia="Times New Roman" w:cs="Arial"/>
          <w:szCs w:val="24"/>
        </w:rPr>
        <w:t>jan.</w:t>
      </w:r>
      <w:proofErr w:type="spellEnd"/>
      <w:r w:rsidRPr="00F725E2">
        <w:rPr>
          <w:rFonts w:eastAsia="Times New Roman" w:cs="Arial"/>
          <w:szCs w:val="24"/>
        </w:rPr>
        <w:t xml:space="preserve"> 1997. </w:t>
      </w:r>
      <w:proofErr w:type="spellStart"/>
      <w:r w:rsidRPr="00F725E2">
        <w:rPr>
          <w:rFonts w:eastAsia="Times New Roman" w:cs="Arial"/>
          <w:szCs w:val="24"/>
        </w:rPr>
        <w:t>Disponível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em</w:t>
      </w:r>
      <w:proofErr w:type="spellEnd"/>
      <w:r w:rsidRPr="00F725E2">
        <w:rPr>
          <w:rFonts w:eastAsia="Times New Roman" w:cs="Arial"/>
          <w:szCs w:val="24"/>
        </w:rPr>
        <w:t xml:space="preserve">: https://www.planalto.gov.br/ccivil_03/leis/l9433.htm. </w:t>
      </w:r>
      <w:proofErr w:type="spellStart"/>
      <w:r w:rsidRPr="00F725E2">
        <w:rPr>
          <w:rFonts w:eastAsia="Times New Roman" w:cs="Arial"/>
          <w:szCs w:val="24"/>
        </w:rPr>
        <w:t>Acesso</w:t>
      </w:r>
      <w:proofErr w:type="spellEnd"/>
      <w:r w:rsidRPr="00F725E2">
        <w:rPr>
          <w:rFonts w:eastAsia="Times New Roman" w:cs="Arial"/>
          <w:szCs w:val="24"/>
        </w:rPr>
        <w:t xml:space="preserve"> </w:t>
      </w:r>
      <w:proofErr w:type="spellStart"/>
      <w:r w:rsidRPr="00F725E2">
        <w:rPr>
          <w:rFonts w:eastAsia="Times New Roman" w:cs="Arial"/>
          <w:szCs w:val="24"/>
        </w:rPr>
        <w:t>em</w:t>
      </w:r>
      <w:proofErr w:type="spellEnd"/>
      <w:r w:rsidRPr="00F725E2">
        <w:rPr>
          <w:rFonts w:eastAsia="Times New Roman" w:cs="Arial"/>
          <w:szCs w:val="24"/>
        </w:rPr>
        <w:t xml:space="preserve">: 5 </w:t>
      </w:r>
      <w:proofErr w:type="spellStart"/>
      <w:r w:rsidRPr="00F725E2">
        <w:rPr>
          <w:rFonts w:eastAsia="Times New Roman" w:cs="Arial"/>
          <w:szCs w:val="24"/>
        </w:rPr>
        <w:t>maio</w:t>
      </w:r>
      <w:proofErr w:type="spellEnd"/>
      <w:r w:rsidRPr="00F725E2">
        <w:rPr>
          <w:rFonts w:eastAsia="Times New Roman" w:cs="Arial"/>
          <w:szCs w:val="24"/>
        </w:rPr>
        <w:t xml:space="preserve"> 2025.</w:t>
      </w:r>
    </w:p>
    <w:p w14:paraId="62F5A6B6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0509747B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CAVALCANTE, P.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pública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contemporânea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:</w:t>
      </w:r>
      <w:r w:rsidRPr="00F725E2">
        <w:rPr>
          <w:rFonts w:eastAsia="Times New Roman" w:cs="Arial"/>
          <w:color w:val="000000"/>
          <w:szCs w:val="24"/>
        </w:rPr>
        <w:t xml:space="preserve"> do </w:t>
      </w:r>
      <w:proofErr w:type="spellStart"/>
      <w:r w:rsidRPr="00F725E2">
        <w:rPr>
          <w:rFonts w:eastAsia="Times New Roman" w:cs="Arial"/>
          <w:color w:val="000000"/>
          <w:szCs w:val="24"/>
        </w:rPr>
        <w:t>movimento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gerencialista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pós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-NPM. </w:t>
      </w:r>
      <w:proofErr w:type="spellStart"/>
      <w:r w:rsidRPr="00F725E2">
        <w:rPr>
          <w:rFonts w:eastAsia="Times New Roman" w:cs="Arial"/>
          <w:color w:val="000000"/>
          <w:szCs w:val="24"/>
        </w:rPr>
        <w:t>Texto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para </w:t>
      </w:r>
      <w:proofErr w:type="spellStart"/>
      <w:r w:rsidRPr="00F725E2">
        <w:rPr>
          <w:rFonts w:eastAsia="Times New Roman" w:cs="Arial"/>
          <w:color w:val="000000"/>
          <w:szCs w:val="24"/>
        </w:rPr>
        <w:t>Discussão</w:t>
      </w:r>
      <w:proofErr w:type="spellEnd"/>
      <w:r w:rsidRPr="00F725E2">
        <w:rPr>
          <w:rFonts w:eastAsia="Times New Roman" w:cs="Arial"/>
          <w:color w:val="000000"/>
          <w:szCs w:val="24"/>
        </w:rPr>
        <w:t>, 2017.</w:t>
      </w:r>
    </w:p>
    <w:p w14:paraId="56C6366C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0D22BFBA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HAO, S.; GUO, </w:t>
      </w:r>
      <w:proofErr w:type="gramStart"/>
      <w:r w:rsidRPr="00F725E2">
        <w:rPr>
          <w:rFonts w:eastAsia="Times New Roman" w:cs="Arial"/>
          <w:color w:val="000000"/>
          <w:szCs w:val="24"/>
        </w:rPr>
        <w:t>P..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The </w:t>
      </w:r>
      <w:proofErr w:type="gramStart"/>
      <w:r w:rsidRPr="00F725E2">
        <w:rPr>
          <w:rFonts w:eastAsia="Times New Roman" w:cs="Arial"/>
          <w:color w:val="000000"/>
          <w:szCs w:val="24"/>
        </w:rPr>
        <w:t>researched on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water project cost accounting </w:t>
      </w:r>
      <w:proofErr w:type="gramStart"/>
      <w:r w:rsidRPr="00F725E2">
        <w:rPr>
          <w:rFonts w:eastAsia="Times New Roman" w:cs="Arial"/>
          <w:color w:val="000000"/>
          <w:szCs w:val="24"/>
        </w:rPr>
        <w:t>based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on activity-based costing. In: 2012 </w:t>
      </w:r>
      <w:r w:rsidRPr="00F725E2">
        <w:rPr>
          <w:rFonts w:eastAsia="Times New Roman" w:cs="Arial"/>
          <w:b/>
          <w:color w:val="000000"/>
          <w:szCs w:val="24"/>
        </w:rPr>
        <w:t>International Conference on Information Management, Innovation Management and Industrial Engineering.</w:t>
      </w:r>
      <w:r w:rsidRPr="00F725E2">
        <w:rPr>
          <w:rFonts w:eastAsia="Times New Roman" w:cs="Arial"/>
          <w:color w:val="000000"/>
          <w:szCs w:val="24"/>
        </w:rPr>
        <w:t xml:space="preserve"> IEEE, 2012. p. 146-149.</w:t>
      </w:r>
    </w:p>
    <w:p w14:paraId="09220B08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7A0DD7D1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HEVESI, A. G. </w:t>
      </w:r>
      <w:r w:rsidRPr="00F725E2">
        <w:rPr>
          <w:rFonts w:eastAsia="Times New Roman" w:cs="Arial"/>
          <w:b/>
          <w:color w:val="000000"/>
          <w:szCs w:val="24"/>
        </w:rPr>
        <w:t>Local government management guide:</w:t>
      </w:r>
      <w:r w:rsidRPr="00F725E2">
        <w:rPr>
          <w:rFonts w:eastAsia="Times New Roman" w:cs="Arial"/>
          <w:color w:val="000000"/>
          <w:szCs w:val="24"/>
        </w:rPr>
        <w:t xml:space="preserve"> financial condition analysis. New York: Office </w:t>
      </w:r>
      <w:proofErr w:type="spellStart"/>
      <w:r w:rsidRPr="00F725E2">
        <w:rPr>
          <w:rFonts w:eastAsia="Times New Roman" w:cs="Arial"/>
          <w:color w:val="000000"/>
          <w:szCs w:val="24"/>
        </w:rPr>
        <w:t>osf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the State Comptroller. Division of Local Government Services and Economic Development, 2003.</w:t>
      </w:r>
    </w:p>
    <w:p w14:paraId="001D69B0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036C22B0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LANIS, G P.; BUENO, N. P. </w:t>
      </w:r>
      <w:proofErr w:type="spellStart"/>
      <w:r w:rsidRPr="00F725E2">
        <w:rPr>
          <w:rFonts w:eastAsia="Times New Roman" w:cs="Arial"/>
          <w:color w:val="000000"/>
          <w:szCs w:val="24"/>
        </w:rPr>
        <w:t>Fatores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que </w:t>
      </w:r>
      <w:proofErr w:type="spellStart"/>
      <w:r w:rsidRPr="00F725E2">
        <w:rPr>
          <w:rFonts w:eastAsia="Times New Roman" w:cs="Arial"/>
          <w:color w:val="000000"/>
          <w:szCs w:val="24"/>
        </w:rPr>
        <w:t>influenciam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gramStart"/>
      <w:r w:rsidRPr="00F725E2">
        <w:rPr>
          <w:rFonts w:eastAsia="Times New Roman" w:cs="Arial"/>
          <w:color w:val="000000"/>
          <w:szCs w:val="24"/>
        </w:rPr>
        <w:t>a</w:t>
      </w:r>
      <w:proofErr w:type="gram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eficiência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orçamentária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anual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.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&amp;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Planejamento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-G&amp;P,</w:t>
      </w:r>
      <w:r w:rsidRPr="00F725E2">
        <w:rPr>
          <w:rFonts w:eastAsia="Times New Roman" w:cs="Arial"/>
          <w:color w:val="000000"/>
          <w:szCs w:val="24"/>
        </w:rPr>
        <w:t xml:space="preserve"> v. 21, 2020.</w:t>
      </w:r>
    </w:p>
    <w:p w14:paraId="667B71AF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28C5342F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MATOS, F.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Retratos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governanças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das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águas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no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Brasil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: um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estudo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sobre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o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perfil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dos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representantes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membros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Comitês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Bacia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Hidrográficas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.</w:t>
      </w:r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Tese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(</w:t>
      </w:r>
      <w:proofErr w:type="spellStart"/>
      <w:r w:rsidRPr="00F725E2">
        <w:rPr>
          <w:rFonts w:eastAsia="Times New Roman" w:cs="Arial"/>
          <w:color w:val="000000"/>
          <w:szCs w:val="24"/>
        </w:rPr>
        <w:t>Doutorado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) – </w:t>
      </w:r>
      <w:proofErr w:type="spellStart"/>
      <w:r w:rsidRPr="00F725E2">
        <w:rPr>
          <w:rFonts w:eastAsia="Times New Roman" w:cs="Arial"/>
          <w:color w:val="000000"/>
          <w:szCs w:val="24"/>
        </w:rPr>
        <w:t>Universidade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Federal de Minas Gerais, Centro de Pós-</w:t>
      </w:r>
      <w:proofErr w:type="spellStart"/>
      <w:r w:rsidRPr="00F725E2">
        <w:rPr>
          <w:rFonts w:eastAsia="Times New Roman" w:cs="Arial"/>
          <w:color w:val="000000"/>
          <w:szCs w:val="24"/>
        </w:rPr>
        <w:t>Graduação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Pesquisas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color w:val="000000"/>
          <w:szCs w:val="24"/>
        </w:rPr>
        <w:t>, 2020.</w:t>
      </w:r>
    </w:p>
    <w:p w14:paraId="306FA819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46908353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MOTTA, P. R. de M. O </w:t>
      </w:r>
      <w:proofErr w:type="spellStart"/>
      <w:r w:rsidRPr="00F725E2">
        <w:rPr>
          <w:rFonts w:eastAsia="Times New Roman" w:cs="Arial"/>
          <w:color w:val="000000"/>
          <w:szCs w:val="24"/>
        </w:rPr>
        <w:t>estado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color w:val="000000"/>
          <w:szCs w:val="24"/>
        </w:rPr>
        <w:t>arte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pública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.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Revista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Empresas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, </w:t>
      </w:r>
      <w:r w:rsidRPr="00F725E2">
        <w:rPr>
          <w:rFonts w:eastAsia="Times New Roman" w:cs="Arial"/>
          <w:color w:val="000000"/>
          <w:szCs w:val="24"/>
        </w:rPr>
        <w:t>v. 53, n. 1, p. 82-90, 2013.</w:t>
      </w:r>
    </w:p>
    <w:p w14:paraId="310AE27E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099FBF5D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NEVES, Luiza Trennepohl. </w:t>
      </w:r>
      <w:r w:rsidRPr="00F725E2">
        <w:rPr>
          <w:rFonts w:eastAsia="Times New Roman" w:cs="Arial"/>
          <w:b/>
          <w:color w:val="000000"/>
          <w:szCs w:val="24"/>
        </w:rPr>
        <w:t xml:space="preserve">Custos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na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Pública:</w:t>
      </w:r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uma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análise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bibliométrica</w:t>
      </w:r>
      <w:proofErr w:type="spellEnd"/>
      <w:r w:rsidRPr="00F725E2">
        <w:rPr>
          <w:rFonts w:eastAsia="Times New Roman" w:cs="Arial"/>
          <w:color w:val="000000"/>
          <w:szCs w:val="24"/>
        </w:rPr>
        <w:t>. 2022.</w:t>
      </w:r>
    </w:p>
    <w:p w14:paraId="507D001E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667A549D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NOBRE, C. J. F. </w:t>
      </w:r>
      <w:r w:rsidRPr="00F725E2">
        <w:rPr>
          <w:rFonts w:eastAsia="Times New Roman" w:cs="Arial"/>
          <w:i/>
          <w:color w:val="000000"/>
          <w:szCs w:val="24"/>
        </w:rPr>
        <w:t>et al.</w:t>
      </w:r>
      <w:r w:rsidRPr="00F725E2">
        <w:rPr>
          <w:rFonts w:eastAsia="Times New Roman" w:cs="Arial"/>
          <w:color w:val="000000"/>
          <w:szCs w:val="24"/>
        </w:rPr>
        <w:t xml:space="preserve"> O </w:t>
      </w:r>
      <w:proofErr w:type="spellStart"/>
      <w:r w:rsidRPr="00F725E2">
        <w:rPr>
          <w:rFonts w:eastAsia="Times New Roman" w:cs="Arial"/>
          <w:color w:val="000000"/>
          <w:szCs w:val="24"/>
        </w:rPr>
        <w:t>impacto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dos </w:t>
      </w:r>
      <w:proofErr w:type="spellStart"/>
      <w:r w:rsidRPr="00F725E2">
        <w:rPr>
          <w:rFonts w:eastAsia="Times New Roman" w:cs="Arial"/>
          <w:color w:val="000000"/>
          <w:szCs w:val="24"/>
        </w:rPr>
        <w:t>indicadores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socioeconômicos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no </w:t>
      </w:r>
      <w:proofErr w:type="spellStart"/>
      <w:r w:rsidRPr="00F725E2">
        <w:rPr>
          <w:rFonts w:eastAsia="Times New Roman" w:cs="Arial"/>
          <w:color w:val="000000"/>
          <w:szCs w:val="24"/>
        </w:rPr>
        <w:t>grau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eficácia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orçamentária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.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Revista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Catarinense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Ciência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Contábil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,</w:t>
      </w:r>
      <w:r w:rsidRPr="00F725E2">
        <w:rPr>
          <w:rFonts w:eastAsia="Times New Roman" w:cs="Arial"/>
          <w:color w:val="000000"/>
          <w:szCs w:val="24"/>
        </w:rPr>
        <w:t xml:space="preserve"> v. 16, n. 49, 2017.</w:t>
      </w:r>
    </w:p>
    <w:p w14:paraId="7E0D0371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544A0248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PETER, M. da G. A.; MACHADO, M. V. V. </w:t>
      </w:r>
      <w:r w:rsidRPr="00F725E2">
        <w:rPr>
          <w:rFonts w:eastAsia="Times New Roman" w:cs="Arial"/>
          <w:b/>
          <w:color w:val="000000"/>
          <w:szCs w:val="24"/>
        </w:rPr>
        <w:t xml:space="preserve">Manual de auditoria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governamental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.</w:t>
      </w:r>
      <w:r w:rsidRPr="00F725E2">
        <w:rPr>
          <w:rFonts w:eastAsia="Times New Roman" w:cs="Arial"/>
          <w:color w:val="000000"/>
          <w:szCs w:val="24"/>
        </w:rPr>
        <w:t xml:space="preserve"> 2. ed. São Paulo: Atlas, 2014.</w:t>
      </w:r>
    </w:p>
    <w:p w14:paraId="3646644A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45824672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SLOBODIANIK, M. Base </w:t>
      </w:r>
      <w:proofErr w:type="spellStart"/>
      <w:r w:rsidRPr="00F725E2">
        <w:rPr>
          <w:rFonts w:eastAsia="Times New Roman" w:cs="Arial"/>
          <w:color w:val="000000"/>
          <w:szCs w:val="24"/>
        </w:rPr>
        <w:t>teórica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pública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na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área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abastecimento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color w:val="000000"/>
          <w:szCs w:val="24"/>
        </w:rPr>
        <w:t>drenagem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color w:val="000000"/>
          <w:szCs w:val="24"/>
        </w:rPr>
        <w:t>água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. </w:t>
      </w:r>
      <w:r w:rsidRPr="00F725E2">
        <w:rPr>
          <w:rFonts w:eastAsia="Times New Roman" w:cs="Arial"/>
          <w:b/>
          <w:color w:val="000000"/>
          <w:szCs w:val="24"/>
        </w:rPr>
        <w:t xml:space="preserve">Boletim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educação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pós-graduação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: col. da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ciência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pr Série “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Ciências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sociais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comportamentais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;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administração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”,</w:t>
      </w:r>
      <w:r w:rsidRPr="00F725E2">
        <w:rPr>
          <w:rFonts w:eastAsia="Times New Roman" w:cs="Arial"/>
          <w:color w:val="000000"/>
          <w:szCs w:val="24"/>
        </w:rPr>
        <w:t xml:space="preserve"> v. 29, n. 58, p. 143-158, 2024.</w:t>
      </w:r>
    </w:p>
    <w:p w14:paraId="31D55BE8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</w:p>
    <w:p w14:paraId="61339A9C" w14:textId="77777777" w:rsidR="00F725E2" w:rsidRPr="00F725E2" w:rsidRDefault="00F725E2" w:rsidP="00F725E2">
      <w:pPr>
        <w:spacing w:after="0" w:line="240" w:lineRule="auto"/>
        <w:jc w:val="both"/>
        <w:rPr>
          <w:rFonts w:eastAsia="Times New Roman" w:cs="Arial"/>
          <w:color w:val="000000"/>
          <w:szCs w:val="24"/>
        </w:rPr>
      </w:pPr>
      <w:r w:rsidRPr="00F725E2">
        <w:rPr>
          <w:rFonts w:eastAsia="Times New Roman" w:cs="Arial"/>
          <w:color w:val="000000"/>
          <w:szCs w:val="24"/>
        </w:rPr>
        <w:t xml:space="preserve">ZAGO, S. L. da S. </w:t>
      </w:r>
      <w:r w:rsidRPr="00F725E2">
        <w:rPr>
          <w:rFonts w:eastAsia="Times New Roman" w:cs="Arial"/>
          <w:b/>
          <w:color w:val="000000"/>
          <w:szCs w:val="24"/>
        </w:rPr>
        <w:t xml:space="preserve">Balanced scorecard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como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ferramenta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na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avaliação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de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desempenho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da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gestão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do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orçamento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b/>
          <w:color w:val="000000"/>
          <w:szCs w:val="24"/>
        </w:rPr>
        <w:t>público</w:t>
      </w:r>
      <w:proofErr w:type="spellEnd"/>
      <w:r w:rsidRPr="00F725E2">
        <w:rPr>
          <w:rFonts w:eastAsia="Times New Roman" w:cs="Arial"/>
          <w:b/>
          <w:color w:val="000000"/>
          <w:szCs w:val="24"/>
        </w:rPr>
        <w:t>:</w:t>
      </w:r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caso</w:t>
      </w:r>
      <w:proofErr w:type="spellEnd"/>
      <w:r w:rsidRPr="00F725E2">
        <w:rPr>
          <w:rFonts w:eastAsia="Times New Roman" w:cs="Arial"/>
          <w:color w:val="000000"/>
          <w:szCs w:val="24"/>
        </w:rPr>
        <w:t xml:space="preserve"> </w:t>
      </w:r>
      <w:proofErr w:type="spellStart"/>
      <w:r w:rsidRPr="00F725E2">
        <w:rPr>
          <w:rFonts w:eastAsia="Times New Roman" w:cs="Arial"/>
          <w:color w:val="000000"/>
          <w:szCs w:val="24"/>
        </w:rPr>
        <w:t>prático</w:t>
      </w:r>
      <w:proofErr w:type="spellEnd"/>
      <w:r w:rsidRPr="00F725E2">
        <w:rPr>
          <w:rFonts w:eastAsia="Times New Roman" w:cs="Arial"/>
          <w:color w:val="000000"/>
          <w:szCs w:val="24"/>
        </w:rPr>
        <w:t>: DMAE. 2006.</w:t>
      </w:r>
    </w:p>
    <w:sectPr w:rsidR="00F725E2" w:rsidRPr="00F725E2" w:rsidSect="005753F9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715C" w14:textId="77777777" w:rsidR="009D4580" w:rsidRDefault="009D4580" w:rsidP="005753F9">
      <w:pPr>
        <w:spacing w:after="0" w:line="240" w:lineRule="auto"/>
      </w:pPr>
      <w:r>
        <w:separator/>
      </w:r>
    </w:p>
  </w:endnote>
  <w:endnote w:type="continuationSeparator" w:id="0">
    <w:p w14:paraId="2316CBE7" w14:textId="77777777" w:rsidR="009D4580" w:rsidRDefault="009D4580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1931" w14:textId="77777777" w:rsidR="009D4580" w:rsidRDefault="009D4580" w:rsidP="005753F9">
      <w:pPr>
        <w:spacing w:after="0" w:line="240" w:lineRule="auto"/>
      </w:pPr>
      <w:r>
        <w:separator/>
      </w:r>
    </w:p>
  </w:footnote>
  <w:footnote w:type="continuationSeparator" w:id="0">
    <w:p w14:paraId="69F86D93" w14:textId="77777777" w:rsidR="009D4580" w:rsidRDefault="009D4580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314AF"/>
    <w:multiLevelType w:val="multilevel"/>
    <w:tmpl w:val="598CD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64A12CF"/>
    <w:multiLevelType w:val="hybridMultilevel"/>
    <w:tmpl w:val="81FC29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436A4"/>
    <w:multiLevelType w:val="multilevel"/>
    <w:tmpl w:val="C44048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38BB"/>
    <w:multiLevelType w:val="hybridMultilevel"/>
    <w:tmpl w:val="4EFC92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832D6C"/>
    <w:multiLevelType w:val="multilevel"/>
    <w:tmpl w:val="ABE279F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37">
    <w:abstractNumId w:val="8"/>
  </w:num>
  <w:num w:numId="2" w16cid:durableId="1004895376">
    <w:abstractNumId w:val="6"/>
  </w:num>
  <w:num w:numId="3" w16cid:durableId="1263027840">
    <w:abstractNumId w:val="5"/>
  </w:num>
  <w:num w:numId="4" w16cid:durableId="2052151985">
    <w:abstractNumId w:val="4"/>
  </w:num>
  <w:num w:numId="5" w16cid:durableId="1164317284">
    <w:abstractNumId w:val="7"/>
  </w:num>
  <w:num w:numId="6" w16cid:durableId="352075999">
    <w:abstractNumId w:val="3"/>
  </w:num>
  <w:num w:numId="7" w16cid:durableId="1842502469">
    <w:abstractNumId w:val="2"/>
  </w:num>
  <w:num w:numId="8" w16cid:durableId="32579772">
    <w:abstractNumId w:val="1"/>
  </w:num>
  <w:num w:numId="9" w16cid:durableId="1931036490">
    <w:abstractNumId w:val="0"/>
  </w:num>
  <w:num w:numId="10" w16cid:durableId="1523856228">
    <w:abstractNumId w:val="9"/>
  </w:num>
  <w:num w:numId="11" w16cid:durableId="101338087">
    <w:abstractNumId w:val="17"/>
  </w:num>
  <w:num w:numId="12" w16cid:durableId="1619413510">
    <w:abstractNumId w:val="16"/>
  </w:num>
  <w:num w:numId="13" w16cid:durableId="603878463">
    <w:abstractNumId w:val="13"/>
  </w:num>
  <w:num w:numId="14" w16cid:durableId="901645748">
    <w:abstractNumId w:val="15"/>
  </w:num>
  <w:num w:numId="15" w16cid:durableId="819423667">
    <w:abstractNumId w:val="10"/>
  </w:num>
  <w:num w:numId="16" w16cid:durableId="652494200">
    <w:abstractNumId w:val="14"/>
  </w:num>
  <w:num w:numId="17" w16cid:durableId="1659457450">
    <w:abstractNumId w:val="12"/>
  </w:num>
  <w:num w:numId="18" w16cid:durableId="690452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D9C"/>
    <w:rsid w:val="0029639D"/>
    <w:rsid w:val="002C6613"/>
    <w:rsid w:val="002F0627"/>
    <w:rsid w:val="00326F90"/>
    <w:rsid w:val="003A7F11"/>
    <w:rsid w:val="003B66C3"/>
    <w:rsid w:val="00443A0C"/>
    <w:rsid w:val="00572D56"/>
    <w:rsid w:val="005753F9"/>
    <w:rsid w:val="00662BD7"/>
    <w:rsid w:val="006949C4"/>
    <w:rsid w:val="00694CA6"/>
    <w:rsid w:val="008836E5"/>
    <w:rsid w:val="008F50BC"/>
    <w:rsid w:val="009D4580"/>
    <w:rsid w:val="00AA1D8D"/>
    <w:rsid w:val="00B47730"/>
    <w:rsid w:val="00BC3452"/>
    <w:rsid w:val="00C72A84"/>
    <w:rsid w:val="00CB0664"/>
    <w:rsid w:val="00CE45BF"/>
    <w:rsid w:val="00D0376E"/>
    <w:rsid w:val="00D70619"/>
    <w:rsid w:val="00E461A6"/>
    <w:rsid w:val="00F34C19"/>
    <w:rsid w:val="00F725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E461A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4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5021</Words>
  <Characters>27119</Characters>
  <Application>Microsoft Office Word</Application>
  <DocSecurity>0</DocSecurity>
  <Lines>225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Noeme Moreira</cp:lastModifiedBy>
  <cp:revision>7</cp:revision>
  <cp:lastPrinted>2025-05-08T18:58:00Z</cp:lastPrinted>
  <dcterms:created xsi:type="dcterms:W3CDTF">2025-05-08T23:45:00Z</dcterms:created>
  <dcterms:modified xsi:type="dcterms:W3CDTF">2025-06-22T16:55:00Z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