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9CD9" w14:textId="28CF76A0" w:rsidR="00F510E9" w:rsidRDefault="00F510E9" w:rsidP="005C428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SÍNDROME </w:t>
      </w:r>
      <w:r w:rsidR="00040C8E">
        <w:rPr>
          <w:rFonts w:ascii="Times New Roman" w:hAnsi="Times New Roman" w:cs="Times New Roman"/>
          <w:b/>
          <w:bCs/>
          <w:sz w:val="24"/>
          <w:szCs w:val="24"/>
        </w:rPr>
        <w:t>DE ASHERSON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40C8E">
        <w:rPr>
          <w:rFonts w:ascii="Times New Roman" w:hAnsi="Times New Roman" w:cs="Times New Roman"/>
          <w:b/>
          <w:bCs/>
          <w:sz w:val="24"/>
          <w:szCs w:val="24"/>
        </w:rPr>
        <w:t>O QUE É</w:t>
      </w:r>
      <w:r w:rsidR="00722144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="00040C8E">
        <w:rPr>
          <w:rFonts w:ascii="Times New Roman" w:hAnsi="Times New Roman" w:cs="Times New Roman"/>
          <w:b/>
          <w:bCs/>
          <w:sz w:val="24"/>
          <w:szCs w:val="24"/>
        </w:rPr>
        <w:t xml:space="preserve">COMO </w:t>
      </w:r>
      <w:r w:rsidR="00722144">
        <w:rPr>
          <w:rFonts w:ascii="Times New Roman" w:hAnsi="Times New Roman" w:cs="Times New Roman"/>
          <w:b/>
          <w:bCs/>
          <w:sz w:val="24"/>
          <w:szCs w:val="24"/>
        </w:rPr>
        <w:t>TRATAR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01FC30BC" w14:textId="6390AECD" w:rsidR="00F510E9" w:rsidRDefault="00F510E9" w:rsidP="00F510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0E9">
        <w:rPr>
          <w:rFonts w:ascii="Times New Roman" w:hAnsi="Times New Roman" w:cs="Times New Roman"/>
          <w:b/>
          <w:bCs/>
          <w:sz w:val="24"/>
          <w:szCs w:val="24"/>
          <w:u w:val="single"/>
        </w:rPr>
        <w:t>Rafael Schults de Farias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¹, </w:t>
      </w:r>
      <w:r w:rsidR="00E50EC4">
        <w:rPr>
          <w:rFonts w:ascii="Times New Roman" w:hAnsi="Times New Roman" w:cs="Times New Roman"/>
          <w:b/>
          <w:bCs/>
          <w:sz w:val="24"/>
          <w:szCs w:val="24"/>
        </w:rPr>
        <w:t>Eduarda Teodora Rachid Wolpp</w:t>
      </w:r>
      <w:r w:rsidR="00330B85">
        <w:rPr>
          <w:rFonts w:ascii="Times New Roman" w:hAnsi="Times New Roman" w:cs="Times New Roman"/>
          <w:b/>
          <w:bCs/>
          <w:sz w:val="24"/>
          <w:szCs w:val="24"/>
        </w:rPr>
        <w:t>¹</w:t>
      </w:r>
      <w:r w:rsidR="00E50EC4">
        <w:rPr>
          <w:rFonts w:ascii="Times New Roman" w:hAnsi="Times New Roman" w:cs="Times New Roman"/>
          <w:b/>
          <w:bCs/>
          <w:sz w:val="24"/>
          <w:szCs w:val="24"/>
        </w:rPr>
        <w:t>, Maria Luiza Siqueira Borges</w:t>
      </w:r>
      <w:r w:rsidR="00330B85">
        <w:rPr>
          <w:rFonts w:ascii="Times New Roman" w:hAnsi="Times New Roman" w:cs="Times New Roman"/>
          <w:b/>
          <w:bCs/>
          <w:sz w:val="24"/>
          <w:szCs w:val="24"/>
        </w:rPr>
        <w:t>¹</w:t>
      </w:r>
      <w:r w:rsidR="00E50EC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Karla Cristina Naves de Carvalho²</w:t>
      </w:r>
    </w:p>
    <w:p w14:paraId="07283C90" w14:textId="201343AD" w:rsidR="00F510E9" w:rsidRDefault="00F510E9" w:rsidP="00F510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Discente da Universidade Evangélica de Anápolis¹, Docente da Universidade Evangélica de Anápolis²</w:t>
      </w:r>
      <w:r w:rsidR="002A0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A450AA" w14:textId="0AC7CCF0" w:rsidR="00BA47D7" w:rsidRPr="00BA47D7" w:rsidRDefault="00F510E9" w:rsidP="00F510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F510E9">
        <w:rPr>
          <w:rFonts w:ascii="Times New Roman" w:hAnsi="Times New Roman" w:cs="Times New Roman"/>
          <w:sz w:val="24"/>
          <w:szCs w:val="24"/>
        </w:rPr>
        <w:t>A Síndrome do anticorpo antifosfolípideo</w:t>
      </w:r>
      <w:r w:rsidR="00040C8E">
        <w:rPr>
          <w:rFonts w:ascii="Times New Roman" w:hAnsi="Times New Roman" w:cs="Times New Roman"/>
          <w:sz w:val="24"/>
          <w:szCs w:val="24"/>
        </w:rPr>
        <w:t xml:space="preserve"> catastrófica, também denominada como Síndrome de </w:t>
      </w:r>
      <w:proofErr w:type="spellStart"/>
      <w:r w:rsidR="00040C8E">
        <w:rPr>
          <w:rFonts w:ascii="Times New Roman" w:hAnsi="Times New Roman" w:cs="Times New Roman"/>
          <w:sz w:val="24"/>
          <w:szCs w:val="24"/>
        </w:rPr>
        <w:t>Asherson</w:t>
      </w:r>
      <w:proofErr w:type="spellEnd"/>
      <w:r w:rsidR="00040C8E">
        <w:rPr>
          <w:rFonts w:ascii="Times New Roman" w:hAnsi="Times New Roman" w:cs="Times New Roman"/>
          <w:sz w:val="24"/>
          <w:szCs w:val="24"/>
        </w:rPr>
        <w:t>, é uma condição variante da síndrome antifosfolípideo</w:t>
      </w:r>
      <w:r w:rsidR="006B113E">
        <w:rPr>
          <w:rFonts w:ascii="Times New Roman" w:hAnsi="Times New Roman" w:cs="Times New Roman"/>
          <w:sz w:val="24"/>
          <w:szCs w:val="24"/>
        </w:rPr>
        <w:t xml:space="preserve"> (SAF)</w:t>
      </w:r>
      <w:r w:rsidR="00040C8E">
        <w:rPr>
          <w:rFonts w:ascii="Times New Roman" w:hAnsi="Times New Roman" w:cs="Times New Roman"/>
          <w:sz w:val="24"/>
          <w:szCs w:val="24"/>
        </w:rPr>
        <w:t xml:space="preserve"> que é uma doença sistêmica</w:t>
      </w:r>
      <w:r w:rsidR="006B113E">
        <w:rPr>
          <w:rFonts w:ascii="Times New Roman" w:hAnsi="Times New Roman" w:cs="Times New Roman"/>
          <w:sz w:val="24"/>
          <w:szCs w:val="24"/>
        </w:rPr>
        <w:t xml:space="preserve">, </w:t>
      </w:r>
      <w:r w:rsidR="0042108B">
        <w:rPr>
          <w:rFonts w:ascii="Times New Roman" w:hAnsi="Times New Roman" w:cs="Times New Roman"/>
          <w:sz w:val="24"/>
          <w:szCs w:val="24"/>
        </w:rPr>
        <w:t>de fundo autoimune</w:t>
      </w:r>
      <w:r w:rsidR="006B113E">
        <w:rPr>
          <w:rFonts w:ascii="Times New Roman" w:hAnsi="Times New Roman" w:cs="Times New Roman"/>
          <w:sz w:val="24"/>
          <w:szCs w:val="24"/>
        </w:rPr>
        <w:t>,</w:t>
      </w:r>
      <w:r w:rsidR="0042108B">
        <w:rPr>
          <w:rFonts w:ascii="Times New Roman" w:hAnsi="Times New Roman" w:cs="Times New Roman"/>
          <w:sz w:val="24"/>
          <w:szCs w:val="24"/>
        </w:rPr>
        <w:t xml:space="preserve"> </w:t>
      </w:r>
      <w:r w:rsidR="006B113E">
        <w:rPr>
          <w:rFonts w:ascii="Times New Roman" w:hAnsi="Times New Roman" w:cs="Times New Roman"/>
          <w:sz w:val="24"/>
          <w:szCs w:val="24"/>
        </w:rPr>
        <w:t>que possui</w:t>
      </w:r>
      <w:r w:rsidRPr="00F510E9">
        <w:rPr>
          <w:rFonts w:ascii="Times New Roman" w:hAnsi="Times New Roman" w:cs="Times New Roman"/>
          <w:sz w:val="24"/>
          <w:szCs w:val="24"/>
        </w:rPr>
        <w:t xml:space="preserve"> como características cl</w:t>
      </w:r>
      <w:r w:rsidR="00AF13E6">
        <w:rPr>
          <w:rFonts w:ascii="Times New Roman" w:hAnsi="Times New Roman" w:cs="Times New Roman"/>
          <w:sz w:val="24"/>
          <w:szCs w:val="24"/>
        </w:rPr>
        <w:t>í</w:t>
      </w:r>
      <w:r w:rsidRPr="00F510E9">
        <w:rPr>
          <w:rFonts w:ascii="Times New Roman" w:hAnsi="Times New Roman" w:cs="Times New Roman"/>
          <w:sz w:val="24"/>
          <w:szCs w:val="24"/>
        </w:rPr>
        <w:t>nicas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5AE9">
        <w:rPr>
          <w:rFonts w:ascii="Times New Roman" w:hAnsi="Times New Roman" w:cs="Times New Roman"/>
          <w:sz w:val="24"/>
          <w:szCs w:val="24"/>
        </w:rPr>
        <w:t>um quadro de trombose recorrente</w:t>
      </w:r>
      <w:r w:rsidR="006B113E">
        <w:rPr>
          <w:rFonts w:ascii="Times New Roman" w:hAnsi="Times New Roman" w:cs="Times New Roman"/>
          <w:sz w:val="24"/>
          <w:szCs w:val="24"/>
        </w:rPr>
        <w:t>, seja arterial ou venosa,</w:t>
      </w:r>
      <w:r w:rsidR="00465AE9">
        <w:rPr>
          <w:rFonts w:ascii="Times New Roman" w:hAnsi="Times New Roman" w:cs="Times New Roman"/>
          <w:sz w:val="24"/>
          <w:szCs w:val="24"/>
        </w:rPr>
        <w:t xml:space="preserve"> associado a um quadro de morbidade gestacional</w:t>
      </w:r>
      <w:r w:rsidR="00AF13E6">
        <w:rPr>
          <w:rFonts w:ascii="Times New Roman" w:hAnsi="Times New Roman" w:cs="Times New Roman"/>
          <w:sz w:val="24"/>
          <w:szCs w:val="24"/>
        </w:rPr>
        <w:t xml:space="preserve">, somado a </w:t>
      </w:r>
      <w:r w:rsidR="006B113E">
        <w:rPr>
          <w:rFonts w:ascii="Times New Roman" w:hAnsi="Times New Roman" w:cs="Times New Roman"/>
          <w:sz w:val="24"/>
          <w:szCs w:val="24"/>
        </w:rPr>
        <w:t>plaquetopenia</w:t>
      </w:r>
      <w:r w:rsidR="00AF13E6">
        <w:rPr>
          <w:rFonts w:ascii="Times New Roman" w:hAnsi="Times New Roman" w:cs="Times New Roman"/>
          <w:sz w:val="24"/>
          <w:szCs w:val="24"/>
        </w:rPr>
        <w:t xml:space="preserve"> e anemia hemolítica </w:t>
      </w:r>
      <w:r w:rsidR="0042108B">
        <w:rPr>
          <w:rFonts w:ascii="Times New Roman" w:hAnsi="Times New Roman" w:cs="Times New Roman"/>
          <w:sz w:val="24"/>
          <w:szCs w:val="24"/>
        </w:rPr>
        <w:t>autoimune</w:t>
      </w:r>
      <w:r w:rsidR="00465AE9">
        <w:rPr>
          <w:rFonts w:ascii="Times New Roman" w:hAnsi="Times New Roman" w:cs="Times New Roman"/>
          <w:sz w:val="24"/>
          <w:szCs w:val="24"/>
        </w:rPr>
        <w:t xml:space="preserve">. </w:t>
      </w:r>
      <w:r w:rsidR="0042108B">
        <w:rPr>
          <w:rFonts w:ascii="Times New Roman" w:hAnsi="Times New Roman" w:cs="Times New Roman"/>
          <w:sz w:val="24"/>
          <w:szCs w:val="24"/>
        </w:rPr>
        <w:t>Essa condição</w:t>
      </w:r>
      <w:r w:rsidR="006B113E">
        <w:rPr>
          <w:rFonts w:ascii="Times New Roman" w:hAnsi="Times New Roman" w:cs="Times New Roman"/>
          <w:sz w:val="24"/>
          <w:szCs w:val="24"/>
        </w:rPr>
        <w:t xml:space="preserve">, embora ocorra em menos de 1% dos pacientes com SAF, deve ser prontamente identificada, afinal o risco de mortalidade é elevado </w:t>
      </w:r>
      <w:r w:rsidR="0042108B">
        <w:rPr>
          <w:rFonts w:ascii="Times New Roman" w:hAnsi="Times New Roman" w:cs="Times New Roman"/>
          <w:sz w:val="24"/>
          <w:szCs w:val="24"/>
        </w:rPr>
        <w:t xml:space="preserve">caso não seja </w:t>
      </w:r>
      <w:r w:rsidR="006B113E">
        <w:rPr>
          <w:rFonts w:ascii="Times New Roman" w:hAnsi="Times New Roman" w:cs="Times New Roman"/>
          <w:sz w:val="24"/>
          <w:szCs w:val="24"/>
        </w:rPr>
        <w:t xml:space="preserve">devidamente </w:t>
      </w:r>
      <w:r w:rsidR="0042108B">
        <w:rPr>
          <w:rFonts w:ascii="Times New Roman" w:hAnsi="Times New Roman" w:cs="Times New Roman"/>
          <w:sz w:val="24"/>
          <w:szCs w:val="24"/>
        </w:rPr>
        <w:t>identificada</w:t>
      </w:r>
      <w:r w:rsidR="006B113E">
        <w:rPr>
          <w:rFonts w:ascii="Times New Roman" w:hAnsi="Times New Roman" w:cs="Times New Roman"/>
          <w:sz w:val="24"/>
          <w:szCs w:val="24"/>
        </w:rPr>
        <w:t xml:space="preserve"> e</w:t>
      </w:r>
      <w:r w:rsidR="0042108B">
        <w:rPr>
          <w:rFonts w:ascii="Times New Roman" w:hAnsi="Times New Roman" w:cs="Times New Roman"/>
          <w:sz w:val="24"/>
          <w:szCs w:val="24"/>
        </w:rPr>
        <w:t xml:space="preserve"> tratada. </w:t>
      </w:r>
      <w:r w:rsidR="00465AE9" w:rsidRPr="00465AE9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465AE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65AE9" w:rsidRPr="00465AE9">
        <w:rPr>
          <w:rFonts w:ascii="Times New Roman" w:hAnsi="Times New Roman" w:cs="Times New Roman"/>
          <w:sz w:val="24"/>
          <w:szCs w:val="24"/>
        </w:rPr>
        <w:t xml:space="preserve">Esse estudo tem como objetivo evidenciar </w:t>
      </w:r>
      <w:r w:rsidR="008A5ED0">
        <w:rPr>
          <w:rFonts w:ascii="Times New Roman" w:hAnsi="Times New Roman" w:cs="Times New Roman"/>
          <w:sz w:val="24"/>
          <w:szCs w:val="24"/>
        </w:rPr>
        <w:t>n</w:t>
      </w:r>
      <w:r w:rsidR="0039547E">
        <w:rPr>
          <w:rFonts w:ascii="Times New Roman" w:hAnsi="Times New Roman" w:cs="Times New Roman"/>
          <w:sz w:val="24"/>
          <w:szCs w:val="24"/>
        </w:rPr>
        <w:t xml:space="preserve">o que </w:t>
      </w:r>
      <w:r w:rsidR="002934C1">
        <w:rPr>
          <w:rFonts w:ascii="Times New Roman" w:hAnsi="Times New Roman" w:cs="Times New Roman"/>
          <w:sz w:val="24"/>
          <w:szCs w:val="24"/>
        </w:rPr>
        <w:t>consiste a</w:t>
      </w:r>
      <w:r w:rsidR="0039547E">
        <w:rPr>
          <w:rFonts w:ascii="Times New Roman" w:hAnsi="Times New Roman" w:cs="Times New Roman"/>
          <w:sz w:val="24"/>
          <w:szCs w:val="24"/>
        </w:rPr>
        <w:t xml:space="preserve"> síndrome de </w:t>
      </w:r>
      <w:proofErr w:type="spellStart"/>
      <w:r w:rsidR="0039547E">
        <w:rPr>
          <w:rFonts w:ascii="Times New Roman" w:hAnsi="Times New Roman" w:cs="Times New Roman"/>
          <w:sz w:val="24"/>
          <w:szCs w:val="24"/>
        </w:rPr>
        <w:t>Asherson</w:t>
      </w:r>
      <w:proofErr w:type="spellEnd"/>
      <w:r w:rsidR="0039547E">
        <w:rPr>
          <w:rFonts w:ascii="Times New Roman" w:hAnsi="Times New Roman" w:cs="Times New Roman"/>
          <w:sz w:val="24"/>
          <w:szCs w:val="24"/>
        </w:rPr>
        <w:t xml:space="preserve"> e</w:t>
      </w:r>
      <w:r w:rsidR="00AF13E6">
        <w:rPr>
          <w:rFonts w:ascii="Times New Roman" w:hAnsi="Times New Roman" w:cs="Times New Roman"/>
          <w:sz w:val="24"/>
          <w:szCs w:val="24"/>
        </w:rPr>
        <w:t xml:space="preserve"> seu tratamento</w:t>
      </w:r>
      <w:r w:rsidR="002B0391">
        <w:rPr>
          <w:rFonts w:ascii="Times New Roman" w:hAnsi="Times New Roman" w:cs="Times New Roman"/>
          <w:sz w:val="24"/>
          <w:szCs w:val="24"/>
        </w:rPr>
        <w:t xml:space="preserve"> de primeira linha</w:t>
      </w:r>
      <w:r w:rsidR="00465AE9">
        <w:rPr>
          <w:rFonts w:ascii="Times New Roman" w:hAnsi="Times New Roman" w:cs="Times New Roman"/>
          <w:sz w:val="24"/>
          <w:szCs w:val="24"/>
        </w:rPr>
        <w:t xml:space="preserve">. </w:t>
      </w:r>
      <w:r w:rsidR="00465AE9" w:rsidRPr="00AF13E6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="00465AE9">
        <w:rPr>
          <w:rFonts w:ascii="Times New Roman" w:hAnsi="Times New Roman" w:cs="Times New Roman"/>
          <w:sz w:val="24"/>
          <w:szCs w:val="24"/>
        </w:rPr>
        <w:t xml:space="preserve">: Trata-se de uma revisão sistemática de literatura realizada a partir de artigos encontrados em bases de dados digitais, sendo eles Google acadêmico e Scielo, abrangendo um total de </w:t>
      </w:r>
      <w:r w:rsidR="009C117D">
        <w:rPr>
          <w:rFonts w:ascii="Times New Roman" w:hAnsi="Times New Roman" w:cs="Times New Roman"/>
          <w:sz w:val="24"/>
          <w:szCs w:val="24"/>
        </w:rPr>
        <w:t>5</w:t>
      </w:r>
      <w:r w:rsidR="00465AE9">
        <w:rPr>
          <w:rFonts w:ascii="Times New Roman" w:hAnsi="Times New Roman" w:cs="Times New Roman"/>
          <w:sz w:val="24"/>
          <w:szCs w:val="24"/>
        </w:rPr>
        <w:t xml:space="preserve"> artigos em língua portuguesa</w:t>
      </w:r>
      <w:r w:rsidR="008A5ED0">
        <w:rPr>
          <w:rFonts w:ascii="Times New Roman" w:hAnsi="Times New Roman" w:cs="Times New Roman"/>
          <w:sz w:val="24"/>
          <w:szCs w:val="24"/>
        </w:rPr>
        <w:t xml:space="preserve"> e espanhola</w:t>
      </w:r>
      <w:r w:rsidR="00465AE9">
        <w:rPr>
          <w:rFonts w:ascii="Times New Roman" w:hAnsi="Times New Roman" w:cs="Times New Roman"/>
          <w:sz w:val="24"/>
          <w:szCs w:val="24"/>
        </w:rPr>
        <w:t xml:space="preserve">. </w:t>
      </w:r>
      <w:r w:rsidR="00465AE9" w:rsidRPr="00465AE9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="0042108B" w:rsidRPr="0042108B">
        <w:rPr>
          <w:rFonts w:ascii="Times New Roman" w:hAnsi="Times New Roman" w:cs="Times New Roman"/>
          <w:sz w:val="24"/>
          <w:szCs w:val="24"/>
        </w:rPr>
        <w:t>De acordo com os estudos</w:t>
      </w:r>
      <w:r w:rsidR="002934C1">
        <w:rPr>
          <w:rFonts w:ascii="Times New Roman" w:hAnsi="Times New Roman" w:cs="Times New Roman"/>
          <w:sz w:val="24"/>
          <w:szCs w:val="24"/>
        </w:rPr>
        <w:t>, a</w:t>
      </w:r>
      <w:r w:rsidR="00722144" w:rsidRPr="00AF13E6">
        <w:rPr>
          <w:rFonts w:ascii="Times New Roman" w:hAnsi="Times New Roman" w:cs="Times New Roman"/>
          <w:sz w:val="24"/>
          <w:szCs w:val="24"/>
        </w:rPr>
        <w:t xml:space="preserve"> síndrome</w:t>
      </w:r>
      <w:r w:rsidR="002934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934C1">
        <w:rPr>
          <w:rFonts w:ascii="Times New Roman" w:hAnsi="Times New Roman" w:cs="Times New Roman"/>
          <w:sz w:val="24"/>
          <w:szCs w:val="24"/>
        </w:rPr>
        <w:t>Asherson</w:t>
      </w:r>
      <w:proofErr w:type="spellEnd"/>
      <w:r w:rsidR="002934C1">
        <w:rPr>
          <w:rFonts w:ascii="Times New Roman" w:hAnsi="Times New Roman" w:cs="Times New Roman"/>
          <w:sz w:val="24"/>
          <w:szCs w:val="24"/>
        </w:rPr>
        <w:t xml:space="preserve"> consiste em </w:t>
      </w:r>
      <w:r w:rsidR="00BE0C8C">
        <w:rPr>
          <w:rFonts w:ascii="Times New Roman" w:hAnsi="Times New Roman" w:cs="Times New Roman"/>
          <w:sz w:val="24"/>
          <w:szCs w:val="24"/>
        </w:rPr>
        <w:t xml:space="preserve">um </w:t>
      </w:r>
      <w:r w:rsidR="002934C1">
        <w:rPr>
          <w:rFonts w:ascii="Times New Roman" w:hAnsi="Times New Roman" w:cs="Times New Roman"/>
          <w:sz w:val="24"/>
          <w:szCs w:val="24"/>
        </w:rPr>
        <w:t xml:space="preserve">quadro de oclusão vascular </w:t>
      </w:r>
      <w:r w:rsidR="00BE0C8C">
        <w:rPr>
          <w:rFonts w:ascii="Times New Roman" w:hAnsi="Times New Roman" w:cs="Times New Roman"/>
          <w:sz w:val="24"/>
          <w:szCs w:val="24"/>
        </w:rPr>
        <w:t>em múltiplos</w:t>
      </w:r>
      <w:r w:rsidR="002934C1">
        <w:rPr>
          <w:rFonts w:ascii="Times New Roman" w:hAnsi="Times New Roman" w:cs="Times New Roman"/>
          <w:sz w:val="24"/>
          <w:szCs w:val="24"/>
        </w:rPr>
        <w:t xml:space="preserve"> </w:t>
      </w:r>
      <w:r w:rsidR="00BE0C8C">
        <w:rPr>
          <w:rFonts w:ascii="Times New Roman" w:hAnsi="Times New Roman" w:cs="Times New Roman"/>
          <w:sz w:val="24"/>
          <w:szCs w:val="24"/>
        </w:rPr>
        <w:t>órgãos somados a</w:t>
      </w:r>
      <w:r w:rsidR="002934C1">
        <w:rPr>
          <w:rFonts w:ascii="Times New Roman" w:hAnsi="Times New Roman" w:cs="Times New Roman"/>
          <w:sz w:val="24"/>
          <w:szCs w:val="24"/>
        </w:rPr>
        <w:t xml:space="preserve"> púrpura trombótica </w:t>
      </w:r>
      <w:proofErr w:type="spellStart"/>
      <w:r w:rsidR="002934C1">
        <w:rPr>
          <w:rFonts w:ascii="Times New Roman" w:hAnsi="Times New Roman" w:cs="Times New Roman"/>
          <w:sz w:val="24"/>
          <w:szCs w:val="24"/>
        </w:rPr>
        <w:t>trombocitopênica</w:t>
      </w:r>
      <w:proofErr w:type="spellEnd"/>
      <w:r w:rsidR="002934C1">
        <w:rPr>
          <w:rFonts w:ascii="Times New Roman" w:hAnsi="Times New Roman" w:cs="Times New Roman"/>
          <w:sz w:val="24"/>
          <w:szCs w:val="24"/>
        </w:rPr>
        <w:t xml:space="preserve">. É importante ressaltar que </w:t>
      </w:r>
      <w:r w:rsidR="00BE0C8C">
        <w:rPr>
          <w:rFonts w:ascii="Times New Roman" w:hAnsi="Times New Roman" w:cs="Times New Roman"/>
          <w:sz w:val="24"/>
          <w:szCs w:val="24"/>
        </w:rPr>
        <w:t>as manifestações clínicas dessa condição dependem</w:t>
      </w:r>
      <w:r w:rsidR="002934C1">
        <w:rPr>
          <w:rFonts w:ascii="Times New Roman" w:hAnsi="Times New Roman" w:cs="Times New Roman"/>
          <w:sz w:val="24"/>
          <w:szCs w:val="24"/>
        </w:rPr>
        <w:t xml:space="preserve"> de dois fatores: o órgão afetado e a extensão </w:t>
      </w:r>
      <w:r w:rsidR="00BE0C8C">
        <w:rPr>
          <w:rFonts w:ascii="Times New Roman" w:hAnsi="Times New Roman" w:cs="Times New Roman"/>
          <w:sz w:val="24"/>
          <w:szCs w:val="24"/>
        </w:rPr>
        <w:t>da trombose</w:t>
      </w:r>
      <w:r w:rsidR="002934C1">
        <w:rPr>
          <w:rFonts w:ascii="Times New Roman" w:hAnsi="Times New Roman" w:cs="Times New Roman"/>
          <w:sz w:val="24"/>
          <w:szCs w:val="24"/>
        </w:rPr>
        <w:t>, além da síndrome da resposta inflamatória sistêmica</w:t>
      </w:r>
      <w:r w:rsidR="00BE0C8C">
        <w:rPr>
          <w:rFonts w:ascii="Times New Roman" w:hAnsi="Times New Roman" w:cs="Times New Roman"/>
          <w:sz w:val="24"/>
          <w:szCs w:val="24"/>
        </w:rPr>
        <w:t>. A</w:t>
      </w:r>
      <w:r w:rsidR="002934C1">
        <w:rPr>
          <w:rFonts w:ascii="Times New Roman" w:hAnsi="Times New Roman" w:cs="Times New Roman"/>
          <w:sz w:val="24"/>
          <w:szCs w:val="24"/>
        </w:rPr>
        <w:t xml:space="preserve"> partir desses cenários t</w:t>
      </w:r>
      <w:r w:rsidR="00BE0C8C">
        <w:rPr>
          <w:rFonts w:ascii="Times New Roman" w:hAnsi="Times New Roman" w:cs="Times New Roman"/>
          <w:sz w:val="24"/>
          <w:szCs w:val="24"/>
        </w:rPr>
        <w:t>raçaremos</w:t>
      </w:r>
      <w:r w:rsidR="002934C1">
        <w:rPr>
          <w:rFonts w:ascii="Times New Roman" w:hAnsi="Times New Roman" w:cs="Times New Roman"/>
          <w:sz w:val="24"/>
          <w:szCs w:val="24"/>
        </w:rPr>
        <w:t xml:space="preserve"> uma terapia efetiva.</w:t>
      </w:r>
      <w:r w:rsidR="00722144" w:rsidRPr="00AF13E6">
        <w:rPr>
          <w:rFonts w:ascii="Times New Roman" w:hAnsi="Times New Roman" w:cs="Times New Roman"/>
          <w:sz w:val="24"/>
          <w:szCs w:val="24"/>
        </w:rPr>
        <w:t xml:space="preserve"> </w:t>
      </w:r>
      <w:r w:rsidR="00BE0C8C">
        <w:rPr>
          <w:rFonts w:ascii="Times New Roman" w:hAnsi="Times New Roman" w:cs="Times New Roman"/>
          <w:sz w:val="24"/>
          <w:szCs w:val="24"/>
        </w:rPr>
        <w:t>O tratamento efetivo</w:t>
      </w:r>
      <w:r w:rsidR="002B0391">
        <w:rPr>
          <w:rFonts w:ascii="Times New Roman" w:hAnsi="Times New Roman" w:cs="Times New Roman"/>
          <w:sz w:val="24"/>
          <w:szCs w:val="24"/>
        </w:rPr>
        <w:t xml:space="preserve"> para a síndrome do anticorpo antifosfolípideo catastrófica consiste na utilização de heparina endovenosa seguida por anticoagulação oral, mantendo o INR maior que 3, somada a</w:t>
      </w:r>
      <w:r w:rsidR="00632B9B">
        <w:rPr>
          <w:rFonts w:ascii="Times New Roman" w:hAnsi="Times New Roman" w:cs="Times New Roman"/>
          <w:sz w:val="24"/>
          <w:szCs w:val="24"/>
        </w:rPr>
        <w:t>o</w:t>
      </w:r>
      <w:r w:rsidR="002B0391">
        <w:rPr>
          <w:rFonts w:ascii="Times New Roman" w:hAnsi="Times New Roman" w:cs="Times New Roman"/>
          <w:sz w:val="24"/>
          <w:szCs w:val="24"/>
        </w:rPr>
        <w:t xml:space="preserve"> uso de </w:t>
      </w:r>
      <w:r w:rsidR="00632B9B">
        <w:rPr>
          <w:rFonts w:ascii="Times New Roman" w:hAnsi="Times New Roman" w:cs="Times New Roman"/>
          <w:sz w:val="24"/>
          <w:szCs w:val="24"/>
        </w:rPr>
        <w:t>corticoide, como</w:t>
      </w:r>
      <w:r w:rsidR="002B03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B0391">
        <w:rPr>
          <w:rFonts w:ascii="Times New Roman" w:hAnsi="Times New Roman" w:cs="Times New Roman"/>
          <w:sz w:val="24"/>
          <w:szCs w:val="24"/>
        </w:rPr>
        <w:t>metilpresnisolona</w:t>
      </w:r>
      <w:proofErr w:type="spellEnd"/>
      <w:r w:rsidR="00632B9B">
        <w:rPr>
          <w:rFonts w:ascii="Times New Roman" w:hAnsi="Times New Roman" w:cs="Times New Roman"/>
          <w:sz w:val="24"/>
          <w:szCs w:val="24"/>
        </w:rPr>
        <w:t>,</w:t>
      </w:r>
      <w:r w:rsidR="002B0391">
        <w:rPr>
          <w:rFonts w:ascii="Times New Roman" w:hAnsi="Times New Roman" w:cs="Times New Roman"/>
          <w:sz w:val="24"/>
          <w:szCs w:val="24"/>
        </w:rPr>
        <w:t xml:space="preserve"> no intuito de reduzir </w:t>
      </w:r>
      <w:r w:rsidR="00632B9B">
        <w:rPr>
          <w:rFonts w:ascii="Times New Roman" w:hAnsi="Times New Roman" w:cs="Times New Roman"/>
          <w:sz w:val="24"/>
          <w:szCs w:val="24"/>
        </w:rPr>
        <w:t>as manifestações</w:t>
      </w:r>
      <w:r w:rsidR="002B0391">
        <w:rPr>
          <w:rFonts w:ascii="Times New Roman" w:hAnsi="Times New Roman" w:cs="Times New Roman"/>
          <w:sz w:val="24"/>
          <w:szCs w:val="24"/>
        </w:rPr>
        <w:t xml:space="preserve"> imposta</w:t>
      </w:r>
      <w:r w:rsidR="00632B9B">
        <w:rPr>
          <w:rFonts w:ascii="Times New Roman" w:hAnsi="Times New Roman" w:cs="Times New Roman"/>
          <w:sz w:val="24"/>
          <w:szCs w:val="24"/>
        </w:rPr>
        <w:t>s</w:t>
      </w:r>
      <w:r w:rsidR="002B0391">
        <w:rPr>
          <w:rFonts w:ascii="Times New Roman" w:hAnsi="Times New Roman" w:cs="Times New Roman"/>
          <w:sz w:val="24"/>
          <w:szCs w:val="24"/>
        </w:rPr>
        <w:t xml:space="preserve"> pela excessiva liberação de citocinas inflamatórias</w:t>
      </w:r>
      <w:r w:rsidR="00632B9B">
        <w:rPr>
          <w:rFonts w:ascii="Times New Roman" w:hAnsi="Times New Roman" w:cs="Times New Roman"/>
          <w:sz w:val="24"/>
          <w:szCs w:val="24"/>
        </w:rPr>
        <w:t xml:space="preserve">. </w:t>
      </w:r>
      <w:r w:rsidR="00AF13E6" w:rsidRPr="00AF13E6"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  <w:r w:rsidR="00AF13E6">
        <w:rPr>
          <w:rFonts w:ascii="Times New Roman" w:hAnsi="Times New Roman" w:cs="Times New Roman"/>
          <w:sz w:val="24"/>
          <w:szCs w:val="24"/>
        </w:rPr>
        <w:t xml:space="preserve"> Em geral, com relação aos estudos, é importante</w:t>
      </w:r>
      <w:r w:rsidR="00BA47D7">
        <w:rPr>
          <w:rFonts w:ascii="Times New Roman" w:hAnsi="Times New Roman" w:cs="Times New Roman"/>
          <w:sz w:val="24"/>
          <w:szCs w:val="24"/>
        </w:rPr>
        <w:t xml:space="preserve"> ressaltar que a S</w:t>
      </w:r>
      <w:r w:rsidR="00632B9B">
        <w:rPr>
          <w:rFonts w:ascii="Times New Roman" w:hAnsi="Times New Roman" w:cs="Times New Roman"/>
          <w:sz w:val="24"/>
          <w:szCs w:val="24"/>
        </w:rPr>
        <w:t xml:space="preserve">índrome de </w:t>
      </w:r>
      <w:proofErr w:type="spellStart"/>
      <w:r w:rsidR="00632B9B">
        <w:rPr>
          <w:rFonts w:ascii="Times New Roman" w:hAnsi="Times New Roman" w:cs="Times New Roman"/>
          <w:sz w:val="24"/>
          <w:szCs w:val="24"/>
        </w:rPr>
        <w:t>Asherson</w:t>
      </w:r>
      <w:proofErr w:type="spellEnd"/>
      <w:r w:rsidR="00BA47D7">
        <w:rPr>
          <w:rFonts w:ascii="Times New Roman" w:hAnsi="Times New Roman" w:cs="Times New Roman"/>
          <w:sz w:val="24"/>
          <w:szCs w:val="24"/>
        </w:rPr>
        <w:t xml:space="preserve"> é </w:t>
      </w:r>
      <w:r w:rsidR="00E95040">
        <w:rPr>
          <w:rFonts w:ascii="Times New Roman" w:hAnsi="Times New Roman" w:cs="Times New Roman"/>
          <w:sz w:val="24"/>
          <w:szCs w:val="24"/>
        </w:rPr>
        <w:t>uma emergência</w:t>
      </w:r>
      <w:r w:rsidR="00BA47D7">
        <w:rPr>
          <w:rFonts w:ascii="Times New Roman" w:hAnsi="Times New Roman" w:cs="Times New Roman"/>
          <w:sz w:val="24"/>
          <w:szCs w:val="24"/>
        </w:rPr>
        <w:t xml:space="preserve"> reumatológica</w:t>
      </w:r>
      <w:r w:rsidR="00632B9B">
        <w:rPr>
          <w:rFonts w:ascii="Times New Roman" w:hAnsi="Times New Roman" w:cs="Times New Roman"/>
          <w:sz w:val="24"/>
          <w:szCs w:val="24"/>
        </w:rPr>
        <w:t xml:space="preserve"> rara</w:t>
      </w:r>
      <w:r w:rsidR="00BA47D7">
        <w:rPr>
          <w:rFonts w:ascii="Times New Roman" w:hAnsi="Times New Roman" w:cs="Times New Roman"/>
          <w:sz w:val="24"/>
          <w:szCs w:val="24"/>
        </w:rPr>
        <w:t>.</w:t>
      </w:r>
      <w:r w:rsidR="00E95040">
        <w:rPr>
          <w:rFonts w:ascii="Times New Roman" w:hAnsi="Times New Roman" w:cs="Times New Roman"/>
          <w:sz w:val="24"/>
          <w:szCs w:val="24"/>
        </w:rPr>
        <w:t xml:space="preserve"> No entanto, em virtude da alta mortalidade</w:t>
      </w:r>
      <w:r w:rsidR="008A5ED0">
        <w:rPr>
          <w:rFonts w:ascii="Times New Roman" w:hAnsi="Times New Roman" w:cs="Times New Roman"/>
          <w:sz w:val="24"/>
          <w:szCs w:val="24"/>
        </w:rPr>
        <w:t xml:space="preserve">, cerca de 50% dos pacientes com essa condição, </w:t>
      </w:r>
      <w:r w:rsidR="00E95040">
        <w:rPr>
          <w:rFonts w:ascii="Times New Roman" w:hAnsi="Times New Roman" w:cs="Times New Roman"/>
          <w:sz w:val="24"/>
          <w:szCs w:val="24"/>
        </w:rPr>
        <w:t>se faz necessário</w:t>
      </w:r>
      <w:r w:rsidR="00BA47D7">
        <w:rPr>
          <w:rFonts w:ascii="Times New Roman" w:hAnsi="Times New Roman" w:cs="Times New Roman"/>
          <w:sz w:val="24"/>
          <w:szCs w:val="24"/>
        </w:rPr>
        <w:t xml:space="preserve"> identificar, diagnosticar e tratar essa </w:t>
      </w:r>
      <w:r w:rsidR="008A5ED0">
        <w:rPr>
          <w:rFonts w:ascii="Times New Roman" w:hAnsi="Times New Roman" w:cs="Times New Roman"/>
          <w:sz w:val="24"/>
          <w:szCs w:val="24"/>
        </w:rPr>
        <w:t>complicação</w:t>
      </w:r>
      <w:r w:rsidR="00E95040">
        <w:rPr>
          <w:rFonts w:ascii="Times New Roman" w:hAnsi="Times New Roman" w:cs="Times New Roman"/>
          <w:sz w:val="24"/>
          <w:szCs w:val="24"/>
        </w:rPr>
        <w:t>.</w:t>
      </w:r>
      <w:r w:rsidR="008A5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084A1" w14:textId="59FC408D" w:rsidR="00BA47D7" w:rsidRDefault="00BA47D7" w:rsidP="00F510E9">
      <w:pPr>
        <w:jc w:val="both"/>
        <w:rPr>
          <w:rFonts w:ascii="Times New Roman" w:hAnsi="Times New Roman" w:cs="Times New Roman"/>
          <w:sz w:val="24"/>
          <w:szCs w:val="24"/>
        </w:rPr>
      </w:pPr>
      <w:r w:rsidRPr="00BA47D7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BA4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Emergências</w:t>
      </w:r>
      <w:r w:rsidRPr="00BA47D7">
        <w:rPr>
          <w:rFonts w:ascii="Times New Roman" w:hAnsi="Times New Roman" w:cs="Times New Roman"/>
          <w:sz w:val="24"/>
          <w:szCs w:val="24"/>
        </w:rPr>
        <w:t>. Re</w:t>
      </w:r>
      <w:r>
        <w:rPr>
          <w:rFonts w:ascii="Times New Roman" w:hAnsi="Times New Roman" w:cs="Times New Roman"/>
          <w:sz w:val="24"/>
          <w:szCs w:val="24"/>
        </w:rPr>
        <w:t>umatologia</w:t>
      </w:r>
      <w:r w:rsidRPr="00BA47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Síndrome Antifosfolipídica.</w:t>
      </w:r>
      <w:r w:rsidR="002B03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F3B60" w14:textId="2B50E8DC" w:rsidR="00BA47D7" w:rsidRDefault="00BA47D7" w:rsidP="00F510E9">
      <w:pPr>
        <w:jc w:val="both"/>
        <w:rPr>
          <w:rFonts w:ascii="Times New Roman" w:hAnsi="Times New Roman" w:cs="Times New Roman"/>
          <w:sz w:val="24"/>
          <w:szCs w:val="24"/>
        </w:rPr>
      </w:pPr>
      <w:r w:rsidRPr="00BA47D7">
        <w:rPr>
          <w:rFonts w:ascii="Times New Roman" w:hAnsi="Times New Roman" w:cs="Times New Roman"/>
          <w:b/>
          <w:bCs/>
          <w:sz w:val="24"/>
          <w:szCs w:val="24"/>
        </w:rPr>
        <w:t>Área Temática:</w:t>
      </w:r>
      <w:r w:rsidR="002A0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11D" w:rsidRPr="002A011D">
        <w:rPr>
          <w:rFonts w:ascii="Times New Roman" w:hAnsi="Times New Roman" w:cs="Times New Roman"/>
          <w:sz w:val="24"/>
          <w:szCs w:val="24"/>
        </w:rPr>
        <w:t xml:space="preserve">Emergências </w:t>
      </w:r>
      <w:r w:rsidR="00E95040">
        <w:rPr>
          <w:rFonts w:ascii="Times New Roman" w:hAnsi="Times New Roman" w:cs="Times New Roman"/>
          <w:sz w:val="24"/>
          <w:szCs w:val="24"/>
        </w:rPr>
        <w:t>clínicas</w:t>
      </w:r>
    </w:p>
    <w:p w14:paraId="6ABD12F8" w14:textId="77777777" w:rsidR="00410C74" w:rsidRDefault="00410C74" w:rsidP="00F510E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301C37E" w14:textId="77777777" w:rsidR="00410C74" w:rsidRPr="00410C74" w:rsidRDefault="00410C74" w:rsidP="00F510E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590C7B" w14:textId="77777777" w:rsidR="002A011D" w:rsidRPr="00BA47D7" w:rsidRDefault="002A011D" w:rsidP="00F510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BA160" w14:textId="77777777" w:rsidR="00BA47D7" w:rsidRDefault="00BA47D7" w:rsidP="00F51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00C34E" w14:textId="05652E0D" w:rsidR="00F510E9" w:rsidRPr="00AF13E6" w:rsidRDefault="00BA47D7" w:rsidP="00F510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7FBC221A" w14:textId="77777777" w:rsidR="00F510E9" w:rsidRPr="00F510E9" w:rsidRDefault="00F510E9" w:rsidP="00F510E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10E9" w:rsidRPr="00F510E9" w:rsidSect="00F510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2F52" w14:textId="77777777" w:rsidR="00717581" w:rsidRDefault="00717581" w:rsidP="00F510E9">
      <w:pPr>
        <w:spacing w:after="0" w:line="240" w:lineRule="auto"/>
      </w:pPr>
      <w:r>
        <w:separator/>
      </w:r>
    </w:p>
  </w:endnote>
  <w:endnote w:type="continuationSeparator" w:id="0">
    <w:p w14:paraId="684C234C" w14:textId="77777777" w:rsidR="00717581" w:rsidRDefault="00717581" w:rsidP="00F5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0ACE" w14:textId="77777777" w:rsidR="00717581" w:rsidRDefault="00717581" w:rsidP="00F510E9">
      <w:pPr>
        <w:spacing w:after="0" w:line="240" w:lineRule="auto"/>
      </w:pPr>
      <w:r>
        <w:separator/>
      </w:r>
    </w:p>
  </w:footnote>
  <w:footnote w:type="continuationSeparator" w:id="0">
    <w:p w14:paraId="1C42BE1E" w14:textId="77777777" w:rsidR="00717581" w:rsidRDefault="00717581" w:rsidP="00F51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E9"/>
    <w:rsid w:val="00040C8E"/>
    <w:rsid w:val="00050303"/>
    <w:rsid w:val="00085DF3"/>
    <w:rsid w:val="001B7700"/>
    <w:rsid w:val="001F10B4"/>
    <w:rsid w:val="002934C1"/>
    <w:rsid w:val="002A011D"/>
    <w:rsid w:val="002B0391"/>
    <w:rsid w:val="00305704"/>
    <w:rsid w:val="00330B85"/>
    <w:rsid w:val="0039547E"/>
    <w:rsid w:val="00410C74"/>
    <w:rsid w:val="0042108B"/>
    <w:rsid w:val="00465AE9"/>
    <w:rsid w:val="005C35EA"/>
    <w:rsid w:val="005C428F"/>
    <w:rsid w:val="005E6BA4"/>
    <w:rsid w:val="00632B9B"/>
    <w:rsid w:val="006B113E"/>
    <w:rsid w:val="00717581"/>
    <w:rsid w:val="00722144"/>
    <w:rsid w:val="00857C95"/>
    <w:rsid w:val="008A5ED0"/>
    <w:rsid w:val="009B0AB1"/>
    <w:rsid w:val="009C117D"/>
    <w:rsid w:val="00AF13E6"/>
    <w:rsid w:val="00BA47D7"/>
    <w:rsid w:val="00BE0C8C"/>
    <w:rsid w:val="00CC4565"/>
    <w:rsid w:val="00CF10DE"/>
    <w:rsid w:val="00DA2DC1"/>
    <w:rsid w:val="00E50EC4"/>
    <w:rsid w:val="00E95040"/>
    <w:rsid w:val="00F5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379B"/>
  <w15:chartTrackingRefBased/>
  <w15:docId w15:val="{EF97BDD0-B0A1-4078-BF5F-75559D6E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1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10E9"/>
  </w:style>
  <w:style w:type="paragraph" w:styleId="Rodap">
    <w:name w:val="footer"/>
    <w:basedOn w:val="Normal"/>
    <w:link w:val="RodapChar"/>
    <w:uiPriority w:val="99"/>
    <w:unhideWhenUsed/>
    <w:rsid w:val="00F51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schults</dc:creator>
  <cp:keywords/>
  <dc:description/>
  <cp:lastModifiedBy>rafael schults</cp:lastModifiedBy>
  <cp:revision>3</cp:revision>
  <dcterms:created xsi:type="dcterms:W3CDTF">2024-03-15T02:23:00Z</dcterms:created>
  <dcterms:modified xsi:type="dcterms:W3CDTF">2024-03-15T02:29:00Z</dcterms:modified>
</cp:coreProperties>
</file>