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E6B23" w14:textId="77777777" w:rsidR="00C91E22" w:rsidRDefault="00C91E22">
      <w:pPr>
        <w:spacing w:line="360" w:lineRule="auto"/>
        <w:jc w:val="center"/>
        <w:rPr>
          <w:b/>
          <w:bCs/>
          <w:sz w:val="24"/>
          <w:szCs w:val="24"/>
        </w:rPr>
      </w:pPr>
    </w:p>
    <w:p w14:paraId="7A63665C" w14:textId="7B1A42D3" w:rsidR="00C91E22" w:rsidRDefault="00AE2547" w:rsidP="00AE2547">
      <w:pPr>
        <w:tabs>
          <w:tab w:val="left" w:pos="1540"/>
        </w:tabs>
        <w:spacing w:line="360" w:lineRule="auto"/>
        <w:ind w:left="-360"/>
        <w:jc w:val="center"/>
        <w:rPr>
          <w:b/>
          <w:bCs/>
          <w:sz w:val="24"/>
          <w:szCs w:val="24"/>
        </w:rPr>
      </w:pPr>
      <w:r w:rsidRPr="00AE2547">
        <w:rPr>
          <w:b/>
          <w:bCs/>
          <w:sz w:val="24"/>
          <w:szCs w:val="24"/>
        </w:rPr>
        <w:t>MANEJO DO NEONATO CANINO NAS PRIMEIRAS 24 HORAS DE VIDA: CUIDADOS ESSENCIAIS E</w:t>
      </w:r>
      <w:r>
        <w:rPr>
          <w:b/>
          <w:bCs/>
          <w:sz w:val="24"/>
          <w:szCs w:val="24"/>
        </w:rPr>
        <w:t xml:space="preserve"> </w:t>
      </w:r>
      <w:r w:rsidRPr="00AE2547">
        <w:rPr>
          <w:b/>
          <w:bCs/>
          <w:sz w:val="24"/>
          <w:szCs w:val="24"/>
        </w:rPr>
        <w:t>PROTOCOLOS DE REANIMAÇÃO</w:t>
      </w:r>
    </w:p>
    <w:p w14:paraId="041C9526" w14:textId="77777777" w:rsidR="00AE2547" w:rsidRPr="00AE2547" w:rsidRDefault="00AE2547" w:rsidP="00AE2547">
      <w:pPr>
        <w:tabs>
          <w:tab w:val="left" w:pos="1540"/>
        </w:tabs>
        <w:spacing w:line="360" w:lineRule="auto"/>
        <w:ind w:left="-360"/>
        <w:jc w:val="center"/>
        <w:rPr>
          <w:b/>
          <w:bCs/>
          <w:sz w:val="24"/>
          <w:szCs w:val="24"/>
        </w:rPr>
      </w:pPr>
    </w:p>
    <w:p w14:paraId="525AD8AC" w14:textId="424CA618" w:rsidR="00C91E22" w:rsidRDefault="00381ED7" w:rsidP="00381ED7">
      <w:pPr>
        <w:tabs>
          <w:tab w:val="left" w:pos="1540"/>
        </w:tabs>
        <w:spacing w:line="360" w:lineRule="auto"/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>Joniel de Meneses Costa</w:t>
      </w:r>
      <w:r w:rsidR="00000000">
        <w:rPr>
          <w:sz w:val="24"/>
          <w:szCs w:val="24"/>
        </w:rPr>
        <w:t>:</w:t>
      </w:r>
      <w:r w:rsidR="00000000">
        <w:rPr>
          <w:sz w:val="24"/>
          <w:szCs w:val="24"/>
          <w:vertAlign w:val="superscript"/>
        </w:rPr>
        <w:footnoteReference w:id="1"/>
      </w:r>
    </w:p>
    <w:p w14:paraId="02372511" w14:textId="60081D0A" w:rsidR="00C91E22" w:rsidRDefault="00381ED7">
      <w:pPr>
        <w:tabs>
          <w:tab w:val="left" w:pos="2060"/>
        </w:tabs>
        <w:spacing w:line="360" w:lineRule="auto"/>
        <w:ind w:left="-360"/>
        <w:jc w:val="right"/>
        <w:rPr>
          <w:sz w:val="24"/>
          <w:szCs w:val="24"/>
        </w:rPr>
      </w:pPr>
      <w:r w:rsidRPr="5EBDCE38">
        <w:rPr>
          <w:sz w:val="24"/>
          <w:szCs w:val="24"/>
        </w:rPr>
        <w:t>Vanessa Maria de Melo Ferreira</w:t>
      </w:r>
      <w:r w:rsidR="00000000">
        <w:rPr>
          <w:sz w:val="24"/>
          <w:szCs w:val="24"/>
        </w:rPr>
        <w:t>:</w:t>
      </w:r>
      <w:r>
        <w:rPr>
          <w:sz w:val="24"/>
          <w:szCs w:val="24"/>
        </w:rPr>
        <w:t>¹</w:t>
      </w:r>
    </w:p>
    <w:p w14:paraId="1895A3D7" w14:textId="62C3B195" w:rsidR="00C91E22" w:rsidRDefault="00381ED7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 w:rsidRPr="5EBDCE38">
        <w:rPr>
          <w:sz w:val="24"/>
          <w:szCs w:val="24"/>
        </w:rPr>
        <w:t>Vicente de Paula Fernandes Neto</w:t>
      </w:r>
      <w:r w:rsidR="00000000">
        <w:rPr>
          <w:sz w:val="24"/>
          <w:szCs w:val="24"/>
        </w:rPr>
        <w:t>:</w:t>
      </w:r>
      <w:r>
        <w:rPr>
          <w:sz w:val="24"/>
          <w:szCs w:val="24"/>
        </w:rPr>
        <w:t>²</w:t>
      </w:r>
    </w:p>
    <w:p w14:paraId="615C3F7D" w14:textId="2472DED7" w:rsidR="002E5F94" w:rsidRPr="00AE2547" w:rsidRDefault="00381ED7" w:rsidP="00E155C2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 w:rsidRPr="5EBDCE38">
        <w:rPr>
          <w:sz w:val="24"/>
          <w:szCs w:val="24"/>
        </w:rPr>
        <w:t>Paloma Medeiros Ferreira</w:t>
      </w:r>
      <w:r w:rsidR="00000000">
        <w:rPr>
          <w:sz w:val="24"/>
          <w:szCs w:val="24"/>
        </w:rPr>
        <w:t>:</w:t>
      </w:r>
      <w:r w:rsidRPr="00381ED7">
        <w:t xml:space="preserve"> </w:t>
      </w:r>
      <w:r>
        <w:rPr>
          <w:sz w:val="24"/>
          <w:szCs w:val="24"/>
        </w:rPr>
        <w:t>³</w:t>
      </w:r>
    </w:p>
    <w:p w14:paraId="4DFDD85F" w14:textId="5CD137F3" w:rsidR="00C91E22" w:rsidRDefault="00000000">
      <w:pPr>
        <w:spacing w:line="36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RESUMO</w:t>
      </w:r>
    </w:p>
    <w:p w14:paraId="49B70F55" w14:textId="70534A3C" w:rsidR="002D56FE" w:rsidRPr="002D56FE" w:rsidRDefault="00AE2547" w:rsidP="002D56FE">
      <w:pPr>
        <w:jc w:val="both"/>
        <w:rPr>
          <w:sz w:val="24"/>
          <w:szCs w:val="24"/>
        </w:rPr>
      </w:pPr>
      <w:r w:rsidRPr="00AE2547">
        <w:rPr>
          <w:sz w:val="24"/>
          <w:szCs w:val="24"/>
        </w:rPr>
        <w:t xml:space="preserve">A neonatologia canina aborda as particularidades fisiológicas e clínicas do recém-nascido durante a adaptação à vida extrauterina, período marcado pela imaturidade dos sistemas orgânicos e maior susceptibilidade a alterações respiratórias, térmicas e metabólicas. Este estudo teve como objetivo revisar a literatura sobre o manejo do neonato canino nas primeiras 24 horas de vida, com enfoque na avaliação da vitalidade, termorregulação, suporte respiratório e cardiovascular, </w:t>
      </w:r>
      <w:proofErr w:type="spellStart"/>
      <w:r w:rsidRPr="00AE2547">
        <w:rPr>
          <w:sz w:val="24"/>
          <w:szCs w:val="24"/>
        </w:rPr>
        <w:t>colostragem</w:t>
      </w:r>
      <w:proofErr w:type="spellEnd"/>
      <w:r w:rsidRPr="00AE2547">
        <w:rPr>
          <w:sz w:val="24"/>
          <w:szCs w:val="24"/>
        </w:rPr>
        <w:t xml:space="preserve">, controle glicêmico, suporte nutricional e monitoramento clínico. Foi realizada revisão da literatura, organizada em eixos relacionados aos principais cuidados neonatais e protocolos de assistência e reanimação. Os estudos analisados demonstraram associação entre condições obstétricas, depressão neonatal e mortalidade, destacando-se distocia e hipóxia como fatores relacionados às perdas nas primeiras horas. O escore </w:t>
      </w:r>
      <w:proofErr w:type="spellStart"/>
      <w:r w:rsidRPr="00AE2547">
        <w:rPr>
          <w:sz w:val="24"/>
          <w:szCs w:val="24"/>
        </w:rPr>
        <w:t>Apgar</w:t>
      </w:r>
      <w:proofErr w:type="spellEnd"/>
      <w:r w:rsidRPr="00AE2547">
        <w:rPr>
          <w:sz w:val="24"/>
          <w:szCs w:val="24"/>
        </w:rPr>
        <w:t xml:space="preserve"> mostrou-se aplicável à avaliação sistemática da vitalidade, considerando frequência cardíaca, frequência respiratória, tônus muscular, irritabilidade reflexa e coloração das mucosas. A literatura evidenciou a necessidade de controle térmico, estabelecimento precoce da ventilação e acompanhamento da ingestão de colostro, devido à limitada transferência transplacentária de imunoglobulinas em cães. Conclui-se que o manejo sistematizado nas primeiras 24 horas favorece a identificação precoce de alterações e direciona medidas de suporte, contribuindo para o acompanhamento da adaptação neonatal e redução de riscos associados à mortalidade.</w:t>
      </w:r>
    </w:p>
    <w:p w14:paraId="172E58DE" w14:textId="65BAC8D2" w:rsidR="00E155C2" w:rsidRPr="00E155C2" w:rsidRDefault="00000000" w:rsidP="00E155C2">
      <w:pPr>
        <w:spacing w:line="360" w:lineRule="auto"/>
        <w:rPr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 xml:space="preserve">Palavras-chave: </w:t>
      </w:r>
      <w:r w:rsidR="00AE2547" w:rsidRPr="00AE2547">
        <w:rPr>
          <w:sz w:val="24"/>
          <w:szCs w:val="24"/>
        </w:rPr>
        <w:t>neonatologia; manejo; reanimação; colostro; mortalidade.</w:t>
      </w:r>
      <w:bookmarkStart w:id="0" w:name="f5vk82do5j7i" w:colFirst="0" w:colLast="0"/>
      <w:bookmarkEnd w:id="0"/>
    </w:p>
    <w:p w14:paraId="175E38DC" w14:textId="77777777" w:rsidR="002D56FE" w:rsidRDefault="002D56FE" w:rsidP="00E155C2">
      <w:pPr>
        <w:spacing w:line="360" w:lineRule="auto"/>
        <w:jc w:val="both"/>
        <w:rPr>
          <w:b/>
          <w:bCs/>
          <w:sz w:val="24"/>
          <w:szCs w:val="24"/>
        </w:rPr>
      </w:pPr>
    </w:p>
    <w:p w14:paraId="2F1D2101" w14:textId="4653C94C" w:rsidR="00E155C2" w:rsidRPr="00E155C2" w:rsidRDefault="00E155C2" w:rsidP="00E155C2">
      <w:pPr>
        <w:spacing w:line="360" w:lineRule="auto"/>
        <w:jc w:val="both"/>
        <w:rPr>
          <w:b/>
          <w:bCs/>
          <w:sz w:val="24"/>
          <w:szCs w:val="24"/>
        </w:rPr>
      </w:pPr>
      <w:r w:rsidRPr="00E155C2">
        <w:rPr>
          <w:b/>
          <w:bCs/>
          <w:sz w:val="24"/>
          <w:szCs w:val="24"/>
        </w:rPr>
        <w:t>1 INTRODUÇÃO</w:t>
      </w:r>
    </w:p>
    <w:p w14:paraId="0B87EB86" w14:textId="77777777" w:rsidR="00E155C2" w:rsidRPr="00E155C2" w:rsidRDefault="00E155C2" w:rsidP="00E155C2">
      <w:pPr>
        <w:spacing w:line="360" w:lineRule="auto"/>
        <w:jc w:val="both"/>
        <w:rPr>
          <w:sz w:val="24"/>
          <w:szCs w:val="24"/>
        </w:rPr>
      </w:pPr>
      <w:r w:rsidRPr="00E155C2">
        <w:rPr>
          <w:sz w:val="24"/>
          <w:szCs w:val="24"/>
        </w:rPr>
        <w:t xml:space="preserve">A neonatologia canina compreende o estudo das características fisiológicas, metabólicas e clínicas do recém-nascido e de sua adaptação à vida extrauterina. A imaturidade dos sistemas orgânicos limita a manutenção da homeostase e aumenta a susceptibilidade a alterações respiratórias, térmicas e metabólicas nas primeiras horas de vida (VEZZALI et al., 2021; </w:t>
      </w:r>
      <w:r w:rsidRPr="00E155C2">
        <w:rPr>
          <w:sz w:val="24"/>
          <w:szCs w:val="24"/>
        </w:rPr>
        <w:lastRenderedPageBreak/>
        <w:t>ALVES, 2022). A mortalidade neonatal está associada a fatores maternos, fetais, obstétricos, ambientais e neonatais, destacando-se distocia, hipóxia, baixo peso, alterações congênitas, infecções e distúrbios metabólicos. Em hospital veterinário brasileiro, foram registrados 39 óbitos entre 69 neonatos nas primeiras 24 horas, correspondendo a 56,52% da população estudada, com associação entre distocia, hipóxia e mortalidade (BRUN et al., 2021).</w:t>
      </w:r>
    </w:p>
    <w:p w14:paraId="78632415" w14:textId="77777777" w:rsidR="00E155C2" w:rsidRPr="00E155C2" w:rsidRDefault="00E155C2" w:rsidP="00E155C2">
      <w:pPr>
        <w:spacing w:line="360" w:lineRule="auto"/>
        <w:ind w:firstLine="720"/>
        <w:jc w:val="both"/>
        <w:rPr>
          <w:sz w:val="24"/>
          <w:szCs w:val="24"/>
        </w:rPr>
      </w:pPr>
      <w:r w:rsidRPr="00E155C2">
        <w:rPr>
          <w:sz w:val="24"/>
          <w:szCs w:val="24"/>
        </w:rPr>
        <w:t>A transição para a vida extrauterina exige o estabelecimento da ventilação, oxigenação, circulação e termorregulação. A avaliação imediata permite identificar alterações e direcionar a assistência, sendo observadas diferenças nos parâmetros de vitalidade conforme as condições obstétricas (SILVA et al., 2008; GREGHI, 2023). Entre os cuidados iniciais estão a avaliação clínica, desobstrução das vias aéreas, secagem, controle térmico e acompanhamento da sucção e ingestão de colostro (VANNUCCHI; ABREU, 2017; ALVES, 2022).</w:t>
      </w:r>
    </w:p>
    <w:p w14:paraId="0E6C2082" w14:textId="77777777" w:rsidR="00E155C2" w:rsidRPr="00E155C2" w:rsidRDefault="00E155C2" w:rsidP="00E155C2">
      <w:pPr>
        <w:spacing w:line="360" w:lineRule="auto"/>
        <w:ind w:firstLine="720"/>
        <w:jc w:val="both"/>
        <w:rPr>
          <w:sz w:val="24"/>
          <w:szCs w:val="24"/>
        </w:rPr>
      </w:pPr>
      <w:r w:rsidRPr="00E155C2">
        <w:rPr>
          <w:sz w:val="24"/>
          <w:szCs w:val="24"/>
        </w:rPr>
        <w:t xml:space="preserve">A vitalidade neonatal pode ser avaliada pelo escore </w:t>
      </w:r>
      <w:proofErr w:type="spellStart"/>
      <w:r w:rsidRPr="00E155C2">
        <w:rPr>
          <w:sz w:val="24"/>
          <w:szCs w:val="24"/>
        </w:rPr>
        <w:t>Apgar</w:t>
      </w:r>
      <w:proofErr w:type="spellEnd"/>
      <w:r w:rsidRPr="00E155C2">
        <w:rPr>
          <w:sz w:val="24"/>
          <w:szCs w:val="24"/>
        </w:rPr>
        <w:t xml:space="preserve"> adaptado para cães, que considera frequência cardíaca, esforço respiratório, tônus muscular, irritabilidade reflexa e coloração das mucosas. Alterações nesses parâmetros foram observadas em neonatos submetidos a diferentes condições obstétricas (SILVA et al., 2008; CAVALCANTE et al., 2019). Na depressão respiratória, devem ser priorizados a desobstrução das vias aéreas, estímulo tátil e suporte ventilatório, podendo ser necessária ventilação por pressão positiva e intubação. A persistência de alterações cardiovasculares pode exigir medidas adicionais de reanimação (VANNUCCHI; ABREU, 2017).</w:t>
      </w:r>
    </w:p>
    <w:p w14:paraId="6527DDD6" w14:textId="77777777" w:rsidR="00E155C2" w:rsidRPr="00E155C2" w:rsidRDefault="00E155C2" w:rsidP="00E155C2">
      <w:pPr>
        <w:spacing w:line="360" w:lineRule="auto"/>
        <w:ind w:firstLine="720"/>
        <w:jc w:val="both"/>
        <w:rPr>
          <w:sz w:val="24"/>
          <w:szCs w:val="24"/>
        </w:rPr>
      </w:pPr>
      <w:r w:rsidRPr="00E155C2">
        <w:rPr>
          <w:sz w:val="24"/>
          <w:szCs w:val="24"/>
        </w:rPr>
        <w:t>O manejo neonatal também envolve controle térmico, equilíbrio metabólico e aquisição de imunidade passiva. A limitada transferência transplacentária de imunoglobulinas torna a ingestão de colostro necessária para a proteção imunológica, enquanto a reduzida reserva energética favorece a hipoglicemia quando a ingestão alimentar é insuficiente. A hipotermia pode comprometer a sucção e contribuir para alterações metabólicas, exigindo acompanhamento da temperatura, alimentação e condição clínica (VEZZALI et al., 2021; VANNUCCHI, 2022a).</w:t>
      </w:r>
    </w:p>
    <w:p w14:paraId="457646F0" w14:textId="77777777" w:rsidR="00E155C2" w:rsidRPr="00E155C2" w:rsidRDefault="00E155C2" w:rsidP="00E155C2">
      <w:pPr>
        <w:spacing w:line="360" w:lineRule="auto"/>
        <w:ind w:firstLine="720"/>
        <w:jc w:val="both"/>
        <w:rPr>
          <w:sz w:val="24"/>
          <w:szCs w:val="24"/>
        </w:rPr>
      </w:pPr>
      <w:r w:rsidRPr="00E155C2">
        <w:rPr>
          <w:sz w:val="24"/>
          <w:szCs w:val="24"/>
        </w:rPr>
        <w:t xml:space="preserve">A ocorrência de mortalidade, distocia, natimortalidade e falhas nos cuidados neonatais reforça a necessidade de assistência sistematizada desde o nascimento (SILVA; SILVA; POSE, 2025; SAMPAIO et al., 2024). Assim, o manejo nas primeiras 24 horas deve integrar avaliação da vitalidade, controle térmico, suporte respiratório e cardiovascular, fornecimento de colostro, </w:t>
      </w:r>
      <w:r w:rsidRPr="00E155C2">
        <w:rPr>
          <w:sz w:val="24"/>
          <w:szCs w:val="24"/>
        </w:rPr>
        <w:lastRenderedPageBreak/>
        <w:t>acompanhamento metabólico e monitoramento clínico, permitindo a identificação precoce de alterações e a instituição de medidas de suporte.</w:t>
      </w:r>
    </w:p>
    <w:p w14:paraId="33E2AD80" w14:textId="77777777" w:rsidR="00E155C2" w:rsidRDefault="00E155C2" w:rsidP="00E2106E">
      <w:pPr>
        <w:spacing w:line="360" w:lineRule="auto"/>
        <w:jc w:val="both"/>
        <w:rPr>
          <w:b/>
          <w:bCs/>
          <w:sz w:val="24"/>
          <w:szCs w:val="24"/>
        </w:rPr>
      </w:pPr>
    </w:p>
    <w:p w14:paraId="14A39674" w14:textId="65DB94A7" w:rsidR="00C91E22" w:rsidRDefault="00000000" w:rsidP="00E2106E">
      <w:pPr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2 OBJETIVOS</w:t>
      </w:r>
    </w:p>
    <w:p w14:paraId="51505E13" w14:textId="45F4CE46" w:rsidR="00C250A4" w:rsidRPr="00C250A4" w:rsidRDefault="00C250A4" w:rsidP="00306BC1">
      <w:pPr>
        <w:spacing w:line="360" w:lineRule="auto"/>
        <w:ind w:firstLine="720"/>
        <w:jc w:val="both"/>
        <w:rPr>
          <w:sz w:val="24"/>
          <w:szCs w:val="24"/>
        </w:rPr>
      </w:pPr>
      <w:r w:rsidRPr="00C250A4">
        <w:rPr>
          <w:sz w:val="24"/>
          <w:szCs w:val="24"/>
        </w:rPr>
        <w:t>Este artigo tem como objetivo revisar a literatura científica acerca do manejo do neonato canino nas primeiras 24 horas de vida, abordando os principais cuidados necessários para a adaptação à vida extrauterina e para o acompanhamento da vitalidade neonatal.</w:t>
      </w:r>
    </w:p>
    <w:p w14:paraId="5E3B53D2" w14:textId="77777777" w:rsidR="00E155C2" w:rsidRDefault="00E155C2" w:rsidP="00E2106E">
      <w:pPr>
        <w:spacing w:line="360" w:lineRule="auto"/>
        <w:jc w:val="both"/>
        <w:rPr>
          <w:b/>
          <w:bCs/>
          <w:sz w:val="24"/>
          <w:szCs w:val="24"/>
        </w:rPr>
      </w:pPr>
    </w:p>
    <w:p w14:paraId="4CA95FEA" w14:textId="1A26D162" w:rsidR="00EE5E64" w:rsidRPr="00EE5E64" w:rsidRDefault="00000000" w:rsidP="00E2106E">
      <w:pPr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3 MÉTODO</w:t>
      </w:r>
    </w:p>
    <w:p w14:paraId="2BD705D8" w14:textId="6689909E" w:rsidR="00530289" w:rsidRDefault="00530289" w:rsidP="00E2106E">
      <w:pPr>
        <w:spacing w:line="360" w:lineRule="auto"/>
        <w:ind w:firstLine="720"/>
        <w:jc w:val="both"/>
        <w:rPr>
          <w:sz w:val="24"/>
          <w:szCs w:val="24"/>
        </w:rPr>
      </w:pPr>
      <w:r w:rsidRPr="00530289">
        <w:rPr>
          <w:sz w:val="24"/>
          <w:szCs w:val="24"/>
        </w:rPr>
        <w:t xml:space="preserve">A presente revisão da literatura foi estruturada a partir da análise de dados científicos consolidados, organizando-se em eixos direcionados ao manejo do neonato canino nas primeiras 24 horas de vida. Inicialmente, determinou-se o levantamento dos critérios de avaliação inicial da vitalidade imediata, pautados no escore </w:t>
      </w:r>
      <w:proofErr w:type="spellStart"/>
      <w:r w:rsidRPr="00530289">
        <w:rPr>
          <w:sz w:val="24"/>
          <w:szCs w:val="24"/>
        </w:rPr>
        <w:t>Apgar</w:t>
      </w:r>
      <w:proofErr w:type="spellEnd"/>
      <w:r w:rsidRPr="00530289">
        <w:rPr>
          <w:sz w:val="24"/>
          <w:szCs w:val="24"/>
        </w:rPr>
        <w:t xml:space="preserve"> adaptado e em parâmetros clínicos como frequências cardíaca e respiratória, tônus muscular, irritabilidade reflexa e coloração de mucosas (SILVA et al., 2008; CAVALCANTE et al., 2019). </w:t>
      </w:r>
    </w:p>
    <w:p w14:paraId="12073F2A" w14:textId="77777777" w:rsidR="00530289" w:rsidRDefault="00530289" w:rsidP="00E2106E">
      <w:pPr>
        <w:spacing w:line="360" w:lineRule="auto"/>
        <w:ind w:firstLine="720"/>
        <w:jc w:val="both"/>
        <w:rPr>
          <w:sz w:val="24"/>
          <w:szCs w:val="24"/>
        </w:rPr>
      </w:pPr>
      <w:r w:rsidRPr="00530289">
        <w:rPr>
          <w:sz w:val="24"/>
          <w:szCs w:val="24"/>
        </w:rPr>
        <w:t xml:space="preserve">Em seguida, integraram-se os mecanismos de termorregulação e os cuidados para a manutenção da temperatura corporal ativa, seguidos pelas manobras de desobstrução de vias aéreas, estímulo à respiração espontânea e suporte ventilatório sob pressão positiva (VANNUCCHI; ABREU, 2017; VEZZALI; PRADO; OCTAVIANO, 2021). No âmbito circulatório, revisaram-se as diretrizes de suporte cardiovascular e os protocolos emergenciais de reanimação cardiopulmonar (VANNUCCHI; ABREU, 2017; CAVALCANTE et al., 2019). </w:t>
      </w:r>
    </w:p>
    <w:p w14:paraId="7344C40E" w14:textId="69824743" w:rsidR="00530289" w:rsidRPr="00E00A55" w:rsidRDefault="00530289" w:rsidP="00306BC1">
      <w:pPr>
        <w:spacing w:line="360" w:lineRule="auto"/>
        <w:ind w:firstLine="720"/>
        <w:jc w:val="both"/>
        <w:rPr>
          <w:sz w:val="24"/>
          <w:szCs w:val="24"/>
        </w:rPr>
      </w:pPr>
      <w:r w:rsidRPr="00530289">
        <w:rPr>
          <w:sz w:val="24"/>
          <w:szCs w:val="24"/>
        </w:rPr>
        <w:t>Os aspectos metabólicos e imunológicos foram abordados por meio da investigação do controle glicêmico, suporte nutricional artificial e a dinâmica da transferência de imunidade passiva via ingestão</w:t>
      </w:r>
      <w:r w:rsidR="001E15BE">
        <w:rPr>
          <w:sz w:val="24"/>
          <w:szCs w:val="24"/>
        </w:rPr>
        <w:t xml:space="preserve"> </w:t>
      </w:r>
      <w:r w:rsidRPr="00530289">
        <w:rPr>
          <w:sz w:val="24"/>
          <w:szCs w:val="24"/>
        </w:rPr>
        <w:t>de colostro (VEZZALI; PRADO; OCTAVIANO, 2021; VANNUCCHI, 2022). Por fim, estabeleceram-se os critérios para o monitoramento clínico contínuo</w:t>
      </w:r>
      <w:r>
        <w:rPr>
          <w:sz w:val="24"/>
          <w:szCs w:val="24"/>
        </w:rPr>
        <w:t xml:space="preserve">, </w:t>
      </w:r>
      <w:r w:rsidRPr="00530289">
        <w:rPr>
          <w:sz w:val="24"/>
          <w:szCs w:val="24"/>
        </w:rPr>
        <w:t>incluindo peso, hidratação e comportamento</w:t>
      </w:r>
      <w:r>
        <w:rPr>
          <w:sz w:val="24"/>
          <w:szCs w:val="24"/>
        </w:rPr>
        <w:t>,</w:t>
      </w:r>
      <w:r w:rsidRPr="00530289">
        <w:rPr>
          <w:sz w:val="24"/>
          <w:szCs w:val="24"/>
        </w:rPr>
        <w:t xml:space="preserve"> em associação direta com a identificação e prevenção dos fatores causais de mortalidade perinatal, tais como distocias, hipóxia tecidual, infecções e debilidades materno-fetais (BRUN et al., 2021; ALVES, 2022; SAMPAIO et al., 2024).</w:t>
      </w:r>
    </w:p>
    <w:p w14:paraId="4931DF1C" w14:textId="77777777" w:rsidR="00E155C2" w:rsidRDefault="00E155C2" w:rsidP="00E2106E">
      <w:pPr>
        <w:spacing w:line="360" w:lineRule="auto"/>
        <w:jc w:val="both"/>
        <w:rPr>
          <w:b/>
          <w:bCs/>
          <w:sz w:val="24"/>
          <w:szCs w:val="24"/>
        </w:rPr>
      </w:pPr>
    </w:p>
    <w:p w14:paraId="7E6D2AFF" w14:textId="250B9A79" w:rsidR="00530289" w:rsidRDefault="00000000" w:rsidP="00E2106E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 RESULTADOS E DISCUSSÃO</w:t>
      </w:r>
    </w:p>
    <w:p w14:paraId="0D7A6A6E" w14:textId="6C4DC436" w:rsidR="00530289" w:rsidRPr="00530289" w:rsidRDefault="00530289" w:rsidP="00E2106E">
      <w:pPr>
        <w:spacing w:line="360" w:lineRule="auto"/>
        <w:jc w:val="both"/>
        <w:rPr>
          <w:b/>
          <w:bCs/>
          <w:sz w:val="24"/>
          <w:szCs w:val="24"/>
        </w:rPr>
      </w:pPr>
      <w:r w:rsidRPr="00530289">
        <w:rPr>
          <w:b/>
          <w:bCs/>
          <w:sz w:val="24"/>
          <w:szCs w:val="24"/>
        </w:rPr>
        <w:t>4.1 Avaliação clínica e vitalidade neonatal</w:t>
      </w:r>
    </w:p>
    <w:p w14:paraId="2C51BF3A" w14:textId="77777777" w:rsidR="00530289" w:rsidRPr="00530289" w:rsidRDefault="00530289" w:rsidP="00E2106E">
      <w:pPr>
        <w:spacing w:line="360" w:lineRule="auto"/>
        <w:ind w:firstLine="720"/>
        <w:jc w:val="both"/>
        <w:rPr>
          <w:sz w:val="24"/>
          <w:szCs w:val="24"/>
        </w:rPr>
      </w:pPr>
      <w:r w:rsidRPr="00530289">
        <w:rPr>
          <w:sz w:val="24"/>
          <w:szCs w:val="24"/>
        </w:rPr>
        <w:lastRenderedPageBreak/>
        <w:t xml:space="preserve">A literatura analisada utiliza a avaliação clínica imediata para determinar a vitalidade do neonato e identificar a necessidade de intervenção. O escore </w:t>
      </w:r>
      <w:proofErr w:type="spellStart"/>
      <w:r w:rsidRPr="00530289">
        <w:rPr>
          <w:sz w:val="24"/>
          <w:szCs w:val="24"/>
        </w:rPr>
        <w:t>Apgar</w:t>
      </w:r>
      <w:proofErr w:type="spellEnd"/>
      <w:r w:rsidRPr="00530289">
        <w:rPr>
          <w:sz w:val="24"/>
          <w:szCs w:val="24"/>
        </w:rPr>
        <w:t xml:space="preserve"> adaptado para cães considera frequência cardíaca, frequência respiratória, tônus muscular, irritabilidade reflexa e coloração das mucosas, com pontuação de 0 a 2 para cada parâmetro e escore total de 0 a 10 (VANNUCCHI; ABREU, 2017; CAVALCANTE et al., 2019).</w:t>
      </w:r>
    </w:p>
    <w:p w14:paraId="2168694D" w14:textId="77777777" w:rsidR="00306BC1" w:rsidRDefault="00306BC1" w:rsidP="00306BC1">
      <w:pPr>
        <w:spacing w:line="360" w:lineRule="auto"/>
        <w:ind w:firstLine="720"/>
        <w:jc w:val="both"/>
      </w:pPr>
      <w:r w:rsidRPr="5EBDCE38">
        <w:rPr>
          <w:sz w:val="24"/>
          <w:szCs w:val="24"/>
        </w:rPr>
        <w:t xml:space="preserve">Conforme Silva et al. (2008), o escore </w:t>
      </w:r>
      <w:proofErr w:type="spellStart"/>
      <w:r w:rsidRPr="5EBDCE38">
        <w:rPr>
          <w:sz w:val="24"/>
          <w:szCs w:val="24"/>
        </w:rPr>
        <w:t>Ápgar</w:t>
      </w:r>
      <w:proofErr w:type="spellEnd"/>
      <w:r w:rsidRPr="5EBDCE38">
        <w:rPr>
          <w:sz w:val="24"/>
          <w:szCs w:val="24"/>
        </w:rPr>
        <w:t xml:space="preserve"> é medido após 5 e 60 minutos avaliando parâmetros como frequência cardíaca, esforço respiratório, tônus muscular, irritabilidade reflexa e coloração da mucosa gengival, atribuindo-lhes notas de 0 a 2, conforme Quadro 1. A somatória das notas em cada parâmetro varia de 0 a 10 dentro do escore </w:t>
      </w:r>
      <w:proofErr w:type="spellStart"/>
      <w:r w:rsidRPr="5EBDCE38">
        <w:rPr>
          <w:sz w:val="24"/>
          <w:szCs w:val="24"/>
        </w:rPr>
        <w:t>Ápgar</w:t>
      </w:r>
      <w:proofErr w:type="spellEnd"/>
      <w:r w:rsidRPr="5EBDCE38">
        <w:rPr>
          <w:sz w:val="24"/>
          <w:szCs w:val="24"/>
        </w:rPr>
        <w:t xml:space="preserve">. Notas de 0 a 3 classificam o neonato em estado grave, notas de 4 a 6 identificam o neonato em estado moderado e notas de 7 a 10 mostra o neonato hígido logo após o nascimento. As Figuras 1, 2 e 3 ilustram exemplos de resultados do escore </w:t>
      </w:r>
      <w:proofErr w:type="spellStart"/>
      <w:r w:rsidRPr="5EBDCE38">
        <w:rPr>
          <w:sz w:val="24"/>
          <w:szCs w:val="24"/>
        </w:rPr>
        <w:t>Ápgar</w:t>
      </w:r>
      <w:proofErr w:type="spellEnd"/>
      <w:r w:rsidRPr="5EBDCE38">
        <w:rPr>
          <w:sz w:val="24"/>
          <w:szCs w:val="24"/>
        </w:rPr>
        <w:t xml:space="preserve"> logo após o nascimento de neonatos caninos (VASSALO et al., 2005).</w:t>
      </w:r>
    </w:p>
    <w:p w14:paraId="24C06065" w14:textId="6E706152" w:rsidR="00436385" w:rsidRDefault="00436385" w:rsidP="00436385">
      <w:pPr>
        <w:spacing w:line="360" w:lineRule="auto"/>
      </w:pPr>
      <w:r w:rsidRPr="00436385">
        <w:rPr>
          <w:b/>
          <w:bCs/>
        </w:rPr>
        <w:t>Quadro 1.</w:t>
      </w:r>
      <w:r w:rsidRPr="5EBDCE38">
        <w:t xml:space="preserve"> Parâmetros adotados para o escore </w:t>
      </w:r>
      <w:proofErr w:type="spellStart"/>
      <w:r w:rsidRPr="5EBDCE38">
        <w:t>Ápgar</w:t>
      </w:r>
      <w:proofErr w:type="spellEnd"/>
      <w:r w:rsidRPr="5EBDCE38">
        <w:t xml:space="preserve"> de vitalidade neonatal em Medicina Veterinária</w:t>
      </w:r>
    </w:p>
    <w:p w14:paraId="398B015F" w14:textId="68527B3A" w:rsidR="00436385" w:rsidRPr="00530289" w:rsidRDefault="002D56FE" w:rsidP="00436385">
      <w:pPr>
        <w:spacing w:line="360" w:lineRule="auto"/>
        <w:jc w:val="both"/>
        <w:rPr>
          <w:sz w:val="24"/>
          <w:szCs w:val="24"/>
        </w:rPr>
      </w:pPr>
      <w:r w:rsidRPr="00436385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4574892" wp14:editId="63985326">
                <wp:simplePos x="0" y="0"/>
                <wp:positionH relativeFrom="margin">
                  <wp:align>right</wp:align>
                </wp:positionH>
                <wp:positionV relativeFrom="paragraph">
                  <wp:posOffset>6985</wp:posOffset>
                </wp:positionV>
                <wp:extent cx="1623060" cy="937260"/>
                <wp:effectExtent l="0" t="0" r="15240" b="1524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3060" cy="937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FCF291" w14:textId="099CB925" w:rsidR="00436385" w:rsidRDefault="00436385" w:rsidP="004363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436385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Quadro 1.</w:t>
                            </w:r>
                            <w:r w:rsidRPr="00436385">
                              <w:rPr>
                                <w:sz w:val="18"/>
                                <w:szCs w:val="18"/>
                              </w:rPr>
                              <w:t xml:space="preserve"> Parâmetros adotados para o escore </w:t>
                            </w:r>
                            <w:proofErr w:type="spellStart"/>
                            <w:r w:rsidRPr="00436385">
                              <w:rPr>
                                <w:sz w:val="18"/>
                                <w:szCs w:val="18"/>
                              </w:rPr>
                              <w:t>Ápgar</w:t>
                            </w:r>
                            <w:proofErr w:type="spellEnd"/>
                            <w:r w:rsidRPr="00436385">
                              <w:rPr>
                                <w:sz w:val="18"/>
                                <w:szCs w:val="18"/>
                              </w:rPr>
                              <w:t xml:space="preserve"> de vitalidade neonatal em Medicina Veterinária</w:t>
                            </w:r>
                          </w:p>
                          <w:p w14:paraId="72185140" w14:textId="2E37820F" w:rsidR="00436385" w:rsidRPr="00436385" w:rsidRDefault="00436385" w:rsidP="004363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436385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Fonte</w:t>
                            </w:r>
                            <w:r w:rsidRPr="00436385">
                              <w:rPr>
                                <w:sz w:val="18"/>
                                <w:szCs w:val="18"/>
                              </w:rPr>
                              <w:t xml:space="preserve">: </w:t>
                            </w:r>
                            <w:r w:rsidRPr="00436385">
                              <w:rPr>
                                <w:sz w:val="18"/>
                                <w:szCs w:val="18"/>
                              </w:rPr>
                              <w:t xml:space="preserve">SILVA </w:t>
                            </w:r>
                            <w:r w:rsidRPr="00436385">
                              <w:rPr>
                                <w:sz w:val="18"/>
                                <w:szCs w:val="18"/>
                              </w:rPr>
                              <w:t xml:space="preserve">et al. (2008) e </w:t>
                            </w:r>
                            <w:r w:rsidRPr="00436385">
                              <w:rPr>
                                <w:sz w:val="18"/>
                                <w:szCs w:val="18"/>
                              </w:rPr>
                              <w:t xml:space="preserve">KUSTRITZ </w:t>
                            </w:r>
                            <w:r w:rsidRPr="00436385">
                              <w:rPr>
                                <w:sz w:val="18"/>
                                <w:szCs w:val="18"/>
                              </w:rPr>
                              <w:t>(2011).</w:t>
                            </w:r>
                          </w:p>
                          <w:p w14:paraId="53F2ED30" w14:textId="1C8085E1" w:rsidR="00436385" w:rsidRPr="00436385" w:rsidRDefault="00436385" w:rsidP="0043638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574892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76.6pt;margin-top:.55pt;width:127.8pt;height:73.8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">
                <v:textbox>
                  <w:txbxContent>
                    <w:p w14:paraId="2CFCF291" w14:textId="099CB925" w:rsidR="00436385" w:rsidRDefault="00436385" w:rsidP="00436385">
                      <w:pPr>
                        <w:rPr>
                          <w:sz w:val="18"/>
                          <w:szCs w:val="18"/>
                        </w:rPr>
                      </w:pPr>
                      <w:r w:rsidRPr="00436385">
                        <w:rPr>
                          <w:b/>
                          <w:bCs/>
                          <w:sz w:val="18"/>
                          <w:szCs w:val="18"/>
                        </w:rPr>
                        <w:t>Quadro 1.</w:t>
                      </w:r>
                      <w:r w:rsidRPr="00436385">
                        <w:rPr>
                          <w:sz w:val="18"/>
                          <w:szCs w:val="18"/>
                        </w:rPr>
                        <w:t xml:space="preserve"> Parâmetros adotados para o escore </w:t>
                      </w:r>
                      <w:proofErr w:type="spellStart"/>
                      <w:r w:rsidRPr="00436385">
                        <w:rPr>
                          <w:sz w:val="18"/>
                          <w:szCs w:val="18"/>
                        </w:rPr>
                        <w:t>Ápgar</w:t>
                      </w:r>
                      <w:proofErr w:type="spellEnd"/>
                      <w:r w:rsidRPr="00436385">
                        <w:rPr>
                          <w:sz w:val="18"/>
                          <w:szCs w:val="18"/>
                        </w:rPr>
                        <w:t xml:space="preserve"> de vitalidade neonatal em Medicina Veterinária</w:t>
                      </w:r>
                    </w:p>
                    <w:p w14:paraId="72185140" w14:textId="2E37820F" w:rsidR="00436385" w:rsidRPr="00436385" w:rsidRDefault="00436385" w:rsidP="00436385">
                      <w:pPr>
                        <w:rPr>
                          <w:sz w:val="18"/>
                          <w:szCs w:val="18"/>
                        </w:rPr>
                      </w:pPr>
                      <w:r w:rsidRPr="00436385">
                        <w:rPr>
                          <w:b/>
                          <w:bCs/>
                          <w:sz w:val="18"/>
                          <w:szCs w:val="18"/>
                        </w:rPr>
                        <w:t>Fonte</w:t>
                      </w:r>
                      <w:r w:rsidRPr="00436385">
                        <w:rPr>
                          <w:sz w:val="18"/>
                          <w:szCs w:val="18"/>
                        </w:rPr>
                        <w:t xml:space="preserve">: </w:t>
                      </w:r>
                      <w:r w:rsidRPr="00436385">
                        <w:rPr>
                          <w:sz w:val="18"/>
                          <w:szCs w:val="18"/>
                        </w:rPr>
                        <w:t xml:space="preserve">SILVA </w:t>
                      </w:r>
                      <w:r w:rsidRPr="00436385">
                        <w:rPr>
                          <w:sz w:val="18"/>
                          <w:szCs w:val="18"/>
                        </w:rPr>
                        <w:t xml:space="preserve">et al. (2008) e </w:t>
                      </w:r>
                      <w:r w:rsidRPr="00436385">
                        <w:rPr>
                          <w:sz w:val="18"/>
                          <w:szCs w:val="18"/>
                        </w:rPr>
                        <w:t xml:space="preserve">KUSTRITZ </w:t>
                      </w:r>
                      <w:r w:rsidRPr="00436385">
                        <w:rPr>
                          <w:sz w:val="18"/>
                          <w:szCs w:val="18"/>
                        </w:rPr>
                        <w:t>(2011).</w:t>
                      </w:r>
                    </w:p>
                    <w:p w14:paraId="53F2ED30" w14:textId="1C8085E1" w:rsidR="00436385" w:rsidRPr="00436385" w:rsidRDefault="00436385" w:rsidP="00436385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36385">
        <w:rPr>
          <w:noProof/>
        </w:rPr>
        <w:drawing>
          <wp:inline distT="0" distB="0" distL="0" distR="0" wp14:anchorId="4FFC16FD" wp14:editId="0E6B8B61">
            <wp:extent cx="3909060" cy="959405"/>
            <wp:effectExtent l="0" t="0" r="0" b="0"/>
            <wp:docPr id="1437738478" name="drawing" descr="Interface gráfica do usuário, Text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738478" name="drawing" descr="Interface gráfica do usuário, Texto&#10;&#10;O conteúdo gerado por IA pode estar incorreto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0081" cy="971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2F19D" w14:textId="0F347533" w:rsidR="00530289" w:rsidRDefault="00436385" w:rsidP="00E2106E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288EB713" wp14:editId="6C5E711F">
            <wp:extent cx="2790825" cy="1311267"/>
            <wp:effectExtent l="0" t="0" r="0" b="0"/>
            <wp:docPr id="1756654014" name="drawing" descr="Uma imagem contendo no interior, comida, comendo, rosquinh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654014" name="drawing" descr="Uma imagem contendo no interior, comida, comendo, rosquinha&#10;&#10;O conteúdo gerado por IA pode estar incorreto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11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4"/>
          <w:szCs w:val="24"/>
        </w:rPr>
        <w:t xml:space="preserve">   </w:t>
      </w:r>
      <w:r>
        <w:rPr>
          <w:noProof/>
        </w:rPr>
        <mc:AlternateContent>
          <mc:Choice Requires="wps">
            <w:drawing>
              <wp:inline distT="0" distB="0" distL="0" distR="0" wp14:anchorId="6A80EE48" wp14:editId="36827703">
                <wp:extent cx="2791460" cy="1097280"/>
                <wp:effectExtent l="0" t="0" r="27940" b="26670"/>
                <wp:docPr id="2001806606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1460" cy="1097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2CB7E281" w14:textId="77777777" w:rsidR="00DA053F" w:rsidRDefault="00436385" w:rsidP="00436385">
                            <w:pPr>
                              <w:spacing w:line="276" w:lineRule="auto"/>
                              <w:rPr>
                                <w:rFonts w:ascii="Cambria" w:eastAsia="Cambria" w:hAnsi="Cambria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Figura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1. </w:t>
                            </w:r>
                            <w:proofErr w:type="gram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A</w:t>
                            </w:r>
                            <w:proofErr w:type="gram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esquerda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um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filhote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com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mucosas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de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coloração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rósea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intensa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, o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que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garante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sua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higidez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e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pontuação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2 no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escore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Ápgar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. À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direita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, um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filhote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com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mucosas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de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coloração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ictérica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indicando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pontuação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0 no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escore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Ápgar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.</w:t>
                            </w:r>
                            <w:r w:rsidRPr="005F6257">
                              <w:rPr>
                                <w:rFonts w:ascii="Cambria" w:eastAsia="Cambria" w:hAnsi="Cambria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</w:p>
                          <w:p w14:paraId="62631BF5" w14:textId="23130BC9" w:rsidR="00436385" w:rsidRPr="005F6257" w:rsidRDefault="00436385" w:rsidP="00436385">
                            <w:pPr>
                              <w:spacing w:line="276" w:lineRule="auto"/>
                              <w:rPr>
                                <w:rFonts w:ascii="Cambria" w:eastAsia="Cambria" w:hAnsi="Cambria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5F6257">
                              <w:rPr>
                                <w:rFonts w:ascii="Cambria" w:eastAsia="Cambria" w:hAnsi="Cambria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Fonte: </w:t>
                            </w:r>
                            <w:r w:rsidR="00DA053F" w:rsidRPr="00DA053F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SORRIBAS</w:t>
                            </w:r>
                            <w:r w:rsidR="00DA053F" w:rsidRPr="005F6257">
                              <w:rPr>
                                <w:rFonts w:ascii="Cambria" w:eastAsia="Cambria" w:hAnsi="Cambria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Pr="005F6257">
                              <w:rPr>
                                <w:rFonts w:ascii="Cambria" w:eastAsia="Cambria" w:hAnsi="Cambria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(2007).</w:t>
                            </w:r>
                          </w:p>
                        </w:txbxContent>
                      </wps:txbx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6A80EE48" id="Retângulo 1" o:spid="_x0000_s1027" style="width:219.8pt;height:86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" fillcolor="white [3201]">
                <v:textbox>
                  <w:txbxContent>
                    <w:p w14:paraId="2CB7E281" w14:textId="77777777" w:rsidR="00DA053F" w:rsidRDefault="00436385" w:rsidP="00436385">
                      <w:pPr>
                        <w:spacing w:line="276" w:lineRule="auto"/>
                        <w:rPr>
                          <w:rFonts w:ascii="Cambria" w:eastAsia="Cambria" w:hAnsi="Cambria"/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r w:rsidRPr="005F6257">
                        <w:rPr>
                          <w:rFonts w:ascii="Cambria" w:eastAsia="Cambria" w:hAnsi="Cambria"/>
                          <w:b/>
                          <w:bCs/>
                          <w:sz w:val="18"/>
                          <w:szCs w:val="18"/>
                          <w:lang w:val="en-US"/>
                        </w:rPr>
                        <w:t>Figura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 1. </w:t>
                      </w:r>
                      <w:proofErr w:type="gram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A</w:t>
                      </w:r>
                      <w:proofErr w:type="gram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esquerda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um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filhote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com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mucosas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de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coloração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rósea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intensa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, o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que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garante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sua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higidez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e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pontuação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2 no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escore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Ápgar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. À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direita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, um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filhote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com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mucosas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de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coloração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ictérica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indicando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pontuação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0 no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escore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Ápgar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.</w:t>
                      </w:r>
                      <w:r w:rsidRPr="005F6257">
                        <w:rPr>
                          <w:rFonts w:ascii="Cambria" w:eastAsia="Cambria" w:hAnsi="Cambria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</w:p>
                    <w:p w14:paraId="62631BF5" w14:textId="23130BC9" w:rsidR="00436385" w:rsidRPr="005F6257" w:rsidRDefault="00436385" w:rsidP="00436385">
                      <w:pPr>
                        <w:spacing w:line="276" w:lineRule="auto"/>
                        <w:rPr>
                          <w:rFonts w:ascii="Cambria" w:eastAsia="Cambria" w:hAnsi="Cambria"/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  <w:r w:rsidRPr="005F6257">
                        <w:rPr>
                          <w:rFonts w:ascii="Cambria" w:eastAsia="Cambria" w:hAnsi="Cambria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Fonte: </w:t>
                      </w:r>
                      <w:r w:rsidR="00DA053F" w:rsidRPr="00DA053F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SORRIBAS</w:t>
                      </w:r>
                      <w:r w:rsidR="00DA053F" w:rsidRPr="005F6257">
                        <w:rPr>
                          <w:rFonts w:ascii="Cambria" w:eastAsia="Cambria" w:hAnsi="Cambria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 w:rsidRPr="005F6257">
                        <w:rPr>
                          <w:rFonts w:ascii="Cambria" w:eastAsia="Cambria" w:hAnsi="Cambria"/>
                          <w:b/>
                          <w:bCs/>
                          <w:sz w:val="18"/>
                          <w:szCs w:val="18"/>
                          <w:lang w:val="en-US"/>
                        </w:rPr>
                        <w:t>(2007).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B58C4E8" w14:textId="172B188E" w:rsidR="00436385" w:rsidRDefault="00436385" w:rsidP="00E2106E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31E8C859" wp14:editId="4248AF46">
            <wp:extent cx="2564646" cy="1306518"/>
            <wp:effectExtent l="0" t="0" r="0" b="0"/>
            <wp:docPr id="1200671850" name="drawing" descr="Animal com a boca abert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671850" name="drawing" descr="Animal com a boca aberta&#10;&#10;O conteúdo gerado por IA pode estar incorreto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4646" cy="1306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4"/>
          <w:szCs w:val="24"/>
        </w:rPr>
        <w:t xml:space="preserve">   </w:t>
      </w:r>
      <w:r w:rsidR="005F6257">
        <w:rPr>
          <w:noProof/>
        </w:rPr>
        <mc:AlternateContent>
          <mc:Choice Requires="wps">
            <w:drawing>
              <wp:inline distT="0" distB="0" distL="0" distR="0" wp14:anchorId="6B59C4F8" wp14:editId="1257FB15">
                <wp:extent cx="2791460" cy="1074420"/>
                <wp:effectExtent l="0" t="0" r="27940" b="11430"/>
                <wp:docPr id="1593772678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1460" cy="1074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3903B1C5" w14:textId="77777777" w:rsidR="00DA053F" w:rsidRDefault="005F6257" w:rsidP="005F6257">
                            <w:pPr>
                              <w:spacing w:line="276" w:lineRule="auto"/>
                              <w:rPr>
                                <w:rFonts w:ascii="Cambria" w:eastAsia="Cambria" w:hAnsi="Cambria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Figura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1. </w:t>
                            </w:r>
                            <w:proofErr w:type="gram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A</w:t>
                            </w:r>
                            <w:proofErr w:type="gram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esquerda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um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filhote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com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mucosas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de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coloração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rósea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intensa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, o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que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garante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sua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higidez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e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pontuação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2 no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escore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Ápgar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. À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direita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, um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filhote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com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mucosas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de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coloração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ictérica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indicando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pontuação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0 no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escore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Ápgar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.</w:t>
                            </w:r>
                            <w:r w:rsidRPr="005F6257">
                              <w:rPr>
                                <w:rFonts w:ascii="Cambria" w:eastAsia="Cambria" w:hAnsi="Cambria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</w:p>
                          <w:p w14:paraId="5E7538BE" w14:textId="25794974" w:rsidR="005F6257" w:rsidRPr="005F6257" w:rsidRDefault="005F6257" w:rsidP="005F6257">
                            <w:pPr>
                              <w:spacing w:line="276" w:lineRule="auto"/>
                              <w:rPr>
                                <w:rFonts w:ascii="Cambria" w:eastAsia="Cambria" w:hAnsi="Cambria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5F6257">
                              <w:rPr>
                                <w:rFonts w:ascii="Cambria" w:eastAsia="Cambria" w:hAnsi="Cambria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Fonte: </w:t>
                            </w:r>
                            <w:r w:rsidR="00DA053F" w:rsidRPr="00DA053F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SORRIBAS</w:t>
                            </w:r>
                            <w:r w:rsidR="00DA053F" w:rsidRPr="005F6257">
                              <w:rPr>
                                <w:rFonts w:ascii="Cambria" w:eastAsia="Cambria" w:hAnsi="Cambria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Pr="005F6257">
                              <w:rPr>
                                <w:rFonts w:ascii="Cambria" w:eastAsia="Cambria" w:hAnsi="Cambria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(2007).</w:t>
                            </w:r>
                          </w:p>
                        </w:txbxContent>
                      </wps:txbx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6B59C4F8" id="_x0000_s1028" style="width:219.8pt;height:8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" fillcolor="white [3201]">
                <v:textbox>
                  <w:txbxContent>
                    <w:p w14:paraId="3903B1C5" w14:textId="77777777" w:rsidR="00DA053F" w:rsidRDefault="005F6257" w:rsidP="005F6257">
                      <w:pPr>
                        <w:spacing w:line="276" w:lineRule="auto"/>
                        <w:rPr>
                          <w:rFonts w:ascii="Cambria" w:eastAsia="Cambria" w:hAnsi="Cambria"/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r w:rsidRPr="005F6257">
                        <w:rPr>
                          <w:rFonts w:ascii="Cambria" w:eastAsia="Cambria" w:hAnsi="Cambria"/>
                          <w:b/>
                          <w:bCs/>
                          <w:sz w:val="18"/>
                          <w:szCs w:val="18"/>
                          <w:lang w:val="en-US"/>
                        </w:rPr>
                        <w:t>Figura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 1. </w:t>
                      </w:r>
                      <w:proofErr w:type="gram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A</w:t>
                      </w:r>
                      <w:proofErr w:type="gram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esquerda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um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filhote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com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mucosas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de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coloração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rósea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intensa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, o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que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garante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sua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higidez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e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pontuação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2 no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escore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Ápgar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. À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direita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, um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filhote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com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mucosas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de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coloração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ictérica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indicando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pontuação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0 no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escore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Ápgar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.</w:t>
                      </w:r>
                      <w:r w:rsidRPr="005F6257">
                        <w:rPr>
                          <w:rFonts w:ascii="Cambria" w:eastAsia="Cambria" w:hAnsi="Cambria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</w:p>
                    <w:p w14:paraId="5E7538BE" w14:textId="25794974" w:rsidR="005F6257" w:rsidRPr="005F6257" w:rsidRDefault="005F6257" w:rsidP="005F6257">
                      <w:pPr>
                        <w:spacing w:line="276" w:lineRule="auto"/>
                        <w:rPr>
                          <w:rFonts w:ascii="Cambria" w:eastAsia="Cambria" w:hAnsi="Cambria"/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  <w:r w:rsidRPr="005F6257">
                        <w:rPr>
                          <w:rFonts w:ascii="Cambria" w:eastAsia="Cambria" w:hAnsi="Cambria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Fonte: </w:t>
                      </w:r>
                      <w:r w:rsidR="00DA053F" w:rsidRPr="00DA053F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SORRIBAS</w:t>
                      </w:r>
                      <w:r w:rsidR="00DA053F" w:rsidRPr="005F6257">
                        <w:rPr>
                          <w:rFonts w:ascii="Cambria" w:eastAsia="Cambria" w:hAnsi="Cambria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 w:rsidRPr="005F6257">
                        <w:rPr>
                          <w:rFonts w:ascii="Cambria" w:eastAsia="Cambria" w:hAnsi="Cambria"/>
                          <w:b/>
                          <w:bCs/>
                          <w:sz w:val="18"/>
                          <w:szCs w:val="18"/>
                          <w:lang w:val="en-US"/>
                        </w:rPr>
                        <w:t>(2007).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1343BD44" w14:textId="1A4C00CF" w:rsidR="005F6257" w:rsidRDefault="00436385" w:rsidP="00E2106E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7730268" wp14:editId="13588722">
            <wp:extent cx="1911364" cy="1569720"/>
            <wp:effectExtent l="0" t="0" r="0" b="0"/>
            <wp:docPr id="1511361297" name="drawing" descr="Pessoa alimentando gato ao lado de cachorr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361297" name="drawing" descr="Pessoa alimentando gato ao lado de cachorro&#10;&#10;O conteúdo gerado por IA pode estar incorreto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6384" cy="1606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F6257">
        <w:rPr>
          <w:b/>
          <w:bCs/>
          <w:sz w:val="24"/>
          <w:szCs w:val="24"/>
        </w:rPr>
        <w:t xml:space="preserve">   </w:t>
      </w:r>
      <w:r w:rsidR="005F6257">
        <w:rPr>
          <w:noProof/>
        </w:rPr>
        <mc:AlternateContent>
          <mc:Choice Requires="wps">
            <w:drawing>
              <wp:inline distT="0" distB="0" distL="0" distR="0" wp14:anchorId="1F58495C" wp14:editId="549774CB">
                <wp:extent cx="2575560" cy="1074420"/>
                <wp:effectExtent l="0" t="0" r="15240" b="11430"/>
                <wp:docPr id="2005888926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5560" cy="1074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484EA27A" w14:textId="1D445E25" w:rsidR="005F6257" w:rsidRPr="005F6257" w:rsidRDefault="005F6257" w:rsidP="005F6257">
                            <w:pPr>
                              <w:spacing w:line="276" w:lineRule="auto"/>
                              <w:rPr>
                                <w:rFonts w:ascii="Cambria" w:eastAsia="Cambria" w:hAnsi="Cambria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Figura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3. </w:t>
                            </w:r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À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esquerda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um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neonato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com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bom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tônus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muscular e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movimento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ativo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, o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que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confere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pontuação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2 no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escore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Ápgar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. À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direita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, um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neonato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com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tônus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muscular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flácido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garantindo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sua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pontuação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0 no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escore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F6257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Ápgar</w:t>
                            </w:r>
                            <w:proofErr w:type="spellEnd"/>
                            <w:r w:rsidRPr="005F6257">
                              <w:rPr>
                                <w:rFonts w:ascii="Cambria" w:eastAsia="Cambria" w:hAnsi="Cambria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. Fonte: </w:t>
                            </w:r>
                            <w:r w:rsidR="00DA053F" w:rsidRPr="00DA053F">
                              <w:rPr>
                                <w:rFonts w:ascii="Cambria" w:eastAsia="Cambria" w:hAnsi="Cambria"/>
                                <w:sz w:val="18"/>
                                <w:szCs w:val="18"/>
                                <w:lang w:val="en-US"/>
                              </w:rPr>
                              <w:t>SORRIBAS</w:t>
                            </w:r>
                            <w:r w:rsidR="00DA053F" w:rsidRPr="005F6257">
                              <w:rPr>
                                <w:rFonts w:ascii="Cambria" w:eastAsia="Cambria" w:hAnsi="Cambria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Pr="005F6257">
                              <w:rPr>
                                <w:rFonts w:ascii="Cambria" w:eastAsia="Cambria" w:hAnsi="Cambria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(2007). </w:t>
                            </w:r>
                          </w:p>
                        </w:txbxContent>
                      </wps:txbx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1F58495C" id="_x0000_s1029" style="width:202.8pt;height:8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" fillcolor="white [3201]">
                <v:textbox>
                  <w:txbxContent>
                    <w:p w14:paraId="484EA27A" w14:textId="1D445E25" w:rsidR="005F6257" w:rsidRPr="005F6257" w:rsidRDefault="005F6257" w:rsidP="005F6257">
                      <w:pPr>
                        <w:spacing w:line="276" w:lineRule="auto"/>
                        <w:rPr>
                          <w:rFonts w:ascii="Cambria" w:eastAsia="Cambria" w:hAnsi="Cambria"/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r w:rsidRPr="005F6257">
                        <w:rPr>
                          <w:rFonts w:ascii="Cambria" w:eastAsia="Cambria" w:hAnsi="Cambria"/>
                          <w:b/>
                          <w:bCs/>
                          <w:sz w:val="18"/>
                          <w:szCs w:val="18"/>
                          <w:lang w:val="en-US"/>
                        </w:rPr>
                        <w:t>Figura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 3. </w:t>
                      </w:r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À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esquerda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um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neonato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com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bom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tônus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muscular e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movimento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ativo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, o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que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confere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pontuação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2 no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escore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Ápgar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. À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direita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, um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neonato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com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tônus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muscular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flácido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,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garantindo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sua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pontuação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0 no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escore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5F6257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Ápgar</w:t>
                      </w:r>
                      <w:proofErr w:type="spellEnd"/>
                      <w:r w:rsidRPr="005F6257">
                        <w:rPr>
                          <w:rFonts w:ascii="Cambria" w:eastAsia="Cambria" w:hAnsi="Cambria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. Fonte: </w:t>
                      </w:r>
                      <w:r w:rsidR="00DA053F" w:rsidRPr="00DA053F">
                        <w:rPr>
                          <w:rFonts w:ascii="Cambria" w:eastAsia="Cambria" w:hAnsi="Cambria"/>
                          <w:sz w:val="18"/>
                          <w:szCs w:val="18"/>
                          <w:lang w:val="en-US"/>
                        </w:rPr>
                        <w:t>SORRIBAS</w:t>
                      </w:r>
                      <w:r w:rsidR="00DA053F" w:rsidRPr="005F6257">
                        <w:rPr>
                          <w:rFonts w:ascii="Cambria" w:eastAsia="Cambria" w:hAnsi="Cambria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 w:rsidRPr="005F6257">
                        <w:rPr>
                          <w:rFonts w:ascii="Cambria" w:eastAsia="Cambria" w:hAnsi="Cambria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(2007).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4724A9B1" w14:textId="5159D7A7" w:rsidR="00530289" w:rsidRPr="00530289" w:rsidRDefault="00530289" w:rsidP="00E2106E">
      <w:pPr>
        <w:spacing w:line="360" w:lineRule="auto"/>
        <w:jc w:val="both"/>
        <w:rPr>
          <w:b/>
          <w:bCs/>
          <w:sz w:val="24"/>
          <w:szCs w:val="24"/>
        </w:rPr>
      </w:pPr>
      <w:r w:rsidRPr="00530289">
        <w:rPr>
          <w:b/>
          <w:bCs/>
          <w:sz w:val="24"/>
          <w:szCs w:val="24"/>
        </w:rPr>
        <w:t>4.2 Frequência cardíaca e respiratória</w:t>
      </w:r>
    </w:p>
    <w:p w14:paraId="648ED818" w14:textId="23AF1538" w:rsidR="00530289" w:rsidRPr="00530289" w:rsidRDefault="001E15BE" w:rsidP="00E2106E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530289" w:rsidRPr="00530289">
        <w:rPr>
          <w:sz w:val="24"/>
          <w:szCs w:val="24"/>
        </w:rPr>
        <w:t xml:space="preserve"> determinação pode ser realizada por auscultação torácica ou palpação da parede torácica. No protocolo de </w:t>
      </w:r>
      <w:proofErr w:type="spellStart"/>
      <w:r w:rsidR="00530289" w:rsidRPr="00530289">
        <w:rPr>
          <w:sz w:val="24"/>
          <w:szCs w:val="24"/>
        </w:rPr>
        <w:t>Apgar</w:t>
      </w:r>
      <w:proofErr w:type="spellEnd"/>
      <w:r w:rsidR="00530289" w:rsidRPr="00530289">
        <w:rPr>
          <w:sz w:val="24"/>
          <w:szCs w:val="24"/>
        </w:rPr>
        <w:t xml:space="preserve"> descrito por Vannucchi e Abreu (2017), valores inferiores a 200 bpm recebem pontuação intermediária, enquanto frequências entre 200 e 250 bpm correspondem à pontuação máxima.</w:t>
      </w:r>
    </w:p>
    <w:p w14:paraId="47BA6687" w14:textId="1F9D1D85" w:rsidR="00530289" w:rsidRPr="00306BC1" w:rsidRDefault="00530289" w:rsidP="00306BC1">
      <w:pPr>
        <w:spacing w:line="360" w:lineRule="auto"/>
        <w:ind w:firstLine="720"/>
        <w:jc w:val="both"/>
        <w:rPr>
          <w:sz w:val="24"/>
          <w:szCs w:val="24"/>
        </w:rPr>
      </w:pPr>
      <w:r w:rsidRPr="00530289">
        <w:rPr>
          <w:sz w:val="24"/>
          <w:szCs w:val="24"/>
        </w:rPr>
        <w:t xml:space="preserve">A frequência respiratória pode ser avaliada pela observação dos movimentos torácicos e abdominais. </w:t>
      </w:r>
      <w:proofErr w:type="spellStart"/>
      <w:r w:rsidRPr="00530289">
        <w:rPr>
          <w:sz w:val="24"/>
          <w:szCs w:val="24"/>
        </w:rPr>
        <w:t>Vezzali</w:t>
      </w:r>
      <w:proofErr w:type="spellEnd"/>
      <w:r w:rsidRPr="00530289">
        <w:rPr>
          <w:sz w:val="24"/>
          <w:szCs w:val="24"/>
        </w:rPr>
        <w:t xml:space="preserve">, Prado e Octaviano (2021) descrevem valores de aproximadamente 10 a 18 </w:t>
      </w:r>
      <w:proofErr w:type="spellStart"/>
      <w:r w:rsidRPr="00530289">
        <w:rPr>
          <w:sz w:val="24"/>
          <w:szCs w:val="24"/>
        </w:rPr>
        <w:t>mpm</w:t>
      </w:r>
      <w:proofErr w:type="spellEnd"/>
      <w:r w:rsidRPr="00530289">
        <w:rPr>
          <w:sz w:val="24"/>
          <w:szCs w:val="24"/>
        </w:rPr>
        <w:t xml:space="preserve"> no primeiro dia de vida e 16 a 32 </w:t>
      </w:r>
      <w:proofErr w:type="spellStart"/>
      <w:r w:rsidRPr="00530289">
        <w:rPr>
          <w:sz w:val="24"/>
          <w:szCs w:val="24"/>
        </w:rPr>
        <w:t>mpm</w:t>
      </w:r>
      <w:proofErr w:type="spellEnd"/>
      <w:r w:rsidRPr="00530289">
        <w:rPr>
          <w:sz w:val="24"/>
          <w:szCs w:val="24"/>
        </w:rPr>
        <w:t xml:space="preserve"> durante a primeira semana. Já Vannucchi e Abreu (2017) consideram, no </w:t>
      </w:r>
      <w:proofErr w:type="spellStart"/>
      <w:r w:rsidRPr="00530289">
        <w:rPr>
          <w:sz w:val="24"/>
          <w:szCs w:val="24"/>
        </w:rPr>
        <w:t>Apgar</w:t>
      </w:r>
      <w:proofErr w:type="spellEnd"/>
      <w:r w:rsidRPr="00530289">
        <w:rPr>
          <w:sz w:val="24"/>
          <w:szCs w:val="24"/>
        </w:rPr>
        <w:t xml:space="preserve">, respiração regular e vocalização entre 15 e 40 </w:t>
      </w:r>
      <w:proofErr w:type="spellStart"/>
      <w:r w:rsidRPr="00530289">
        <w:rPr>
          <w:sz w:val="24"/>
          <w:szCs w:val="24"/>
        </w:rPr>
        <w:t>mpm</w:t>
      </w:r>
      <w:proofErr w:type="spellEnd"/>
      <w:r w:rsidRPr="00530289">
        <w:rPr>
          <w:sz w:val="24"/>
          <w:szCs w:val="24"/>
        </w:rPr>
        <w:t xml:space="preserve"> como parâmetro de maior pontuação. As diferenças entre os valores descritos demonstram a necessidade de considerar o momento e o método de avaliação.</w:t>
      </w:r>
    </w:p>
    <w:p w14:paraId="76EB9079" w14:textId="31EC0CF8" w:rsidR="00530289" w:rsidRPr="00530289" w:rsidRDefault="00530289" w:rsidP="00E2106E">
      <w:pPr>
        <w:spacing w:line="360" w:lineRule="auto"/>
        <w:jc w:val="both"/>
        <w:rPr>
          <w:b/>
          <w:bCs/>
          <w:sz w:val="24"/>
          <w:szCs w:val="24"/>
        </w:rPr>
      </w:pPr>
      <w:r w:rsidRPr="00530289">
        <w:rPr>
          <w:b/>
          <w:bCs/>
          <w:sz w:val="24"/>
          <w:szCs w:val="24"/>
        </w:rPr>
        <w:t>4.3 Cuidados imediatos e termorregulação</w:t>
      </w:r>
    </w:p>
    <w:p w14:paraId="09FA33B9" w14:textId="023C23A7" w:rsidR="00306BC1" w:rsidRDefault="00306BC1" w:rsidP="00306BC1">
      <w:pPr>
        <w:spacing w:line="360" w:lineRule="auto"/>
        <w:ind w:firstLine="720"/>
        <w:jc w:val="both"/>
      </w:pPr>
      <w:r w:rsidRPr="5EBDCE38">
        <w:rPr>
          <w:sz w:val="24"/>
          <w:szCs w:val="24"/>
        </w:rPr>
        <w:t xml:space="preserve">Landim-Alvarenga et al. (2006) salientam que as vias respiratórias superiores do neonato logo após o nascimento devem estar escassas de conteúdo líquido, muco, mecônio e sem indícios de anexos fetais e fluidos placentários. Caso contrário, o profissional responsável por inspecionar o local pode fazer a retirada destes com os dedos enluvados, ou ainda, como melhor escolha, utilizar de sistema de sucção próprio para esta manobra, assim como mostra a Figura </w:t>
      </w:r>
      <w:r>
        <w:rPr>
          <w:sz w:val="24"/>
          <w:szCs w:val="24"/>
        </w:rPr>
        <w:t>4</w:t>
      </w:r>
      <w:r w:rsidRPr="5EBDCE38">
        <w:rPr>
          <w:sz w:val="24"/>
          <w:szCs w:val="24"/>
        </w:rPr>
        <w:t xml:space="preserve"> (MCMICHAEL, 2011).</w:t>
      </w:r>
    </w:p>
    <w:p w14:paraId="4DA99585" w14:textId="77777777" w:rsidR="00530289" w:rsidRPr="00530289" w:rsidRDefault="00530289" w:rsidP="00E2106E">
      <w:pPr>
        <w:spacing w:line="360" w:lineRule="auto"/>
        <w:ind w:firstLine="720"/>
        <w:jc w:val="both"/>
        <w:rPr>
          <w:sz w:val="24"/>
          <w:szCs w:val="24"/>
        </w:rPr>
      </w:pPr>
      <w:r w:rsidRPr="00530289">
        <w:rPr>
          <w:sz w:val="24"/>
          <w:szCs w:val="24"/>
        </w:rPr>
        <w:t xml:space="preserve">A termorregulação representa uma limitação fisiológica do neonato canino. </w:t>
      </w:r>
      <w:proofErr w:type="spellStart"/>
      <w:r w:rsidRPr="00530289">
        <w:rPr>
          <w:sz w:val="24"/>
          <w:szCs w:val="24"/>
        </w:rPr>
        <w:t>Vezzali</w:t>
      </w:r>
      <w:proofErr w:type="spellEnd"/>
      <w:r w:rsidRPr="00530289">
        <w:rPr>
          <w:sz w:val="24"/>
          <w:szCs w:val="24"/>
        </w:rPr>
        <w:t>, Prado e Octaviano (2021) descrevem temperatura ambiental de aproximadamente 30 a 32 °C e temperatura corporal entre 35,0 e 37,2 °C durante a primeira semana de vida. O aquecimento deve ser gradual e controlado, uma vez que o excesso de calor pode causar lesões e alterações fisiológicas.</w:t>
      </w:r>
    </w:p>
    <w:p w14:paraId="6682B8E7" w14:textId="4C842AD4" w:rsidR="00530289" w:rsidRDefault="00DA053F" w:rsidP="00E2106E">
      <w:pPr>
        <w:spacing w:line="360" w:lineRule="auto"/>
        <w:jc w:val="both"/>
        <w:rPr>
          <w:b/>
          <w:bCs/>
          <w:sz w:val="24"/>
          <w:szCs w:val="24"/>
        </w:rPr>
      </w:pPr>
      <w:r w:rsidRPr="00DA053F">
        <w:rPr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56BF22B" wp14:editId="6568225A">
                <wp:simplePos x="0" y="0"/>
                <wp:positionH relativeFrom="column">
                  <wp:posOffset>2368550</wp:posOffset>
                </wp:positionH>
                <wp:positionV relativeFrom="paragraph">
                  <wp:posOffset>480060</wp:posOffset>
                </wp:positionV>
                <wp:extent cx="2360930" cy="1404620"/>
                <wp:effectExtent l="0" t="0" r="22860" b="11430"/>
                <wp:wrapSquare wrapText="bothSides"/>
                <wp:docPr id="37891041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6D6986" w14:textId="77777777" w:rsidR="00DA053F" w:rsidRDefault="00DA053F" w:rsidP="00DA053F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DA053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Figura 4.</w:t>
                            </w:r>
                            <w:r w:rsidRPr="00DA053F">
                              <w:rPr>
                                <w:sz w:val="18"/>
                                <w:szCs w:val="18"/>
                              </w:rPr>
                              <w:t xml:space="preserve"> Uso de pêra de sucção para delivramento das vias aéreas.</w:t>
                            </w:r>
                            <w:r w:rsidRPr="00DA053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6DF183EF" w14:textId="77777777" w:rsidR="00DA053F" w:rsidRPr="00DA053F" w:rsidRDefault="00DA053F" w:rsidP="00DA053F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3ECF9A4F" w14:textId="526AB0DD" w:rsidR="00DA053F" w:rsidRPr="00DA053F" w:rsidRDefault="00DA053F" w:rsidP="00DA053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A053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Fonte:</w:t>
                            </w:r>
                            <w:r w:rsidRPr="00DA053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A053F">
                              <w:rPr>
                                <w:sz w:val="18"/>
                                <w:szCs w:val="18"/>
                              </w:rPr>
                              <w:t xml:space="preserve">MCMICHAEL </w:t>
                            </w:r>
                            <w:r w:rsidRPr="00DA053F">
                              <w:rPr>
                                <w:sz w:val="18"/>
                                <w:szCs w:val="18"/>
                              </w:rPr>
                              <w:t>(2011)</w:t>
                            </w:r>
                          </w:p>
                          <w:p w14:paraId="7B81E49A" w14:textId="71E023F0" w:rsidR="00DA053F" w:rsidRPr="00DA053F" w:rsidRDefault="00DA053F" w:rsidP="00DA053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56BF22B" id="_x0000_s1030" type="#_x0000_t202" style="position:absolute;left:0;text-align:left;margin-left:186.5pt;margin-top:37.8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">
                <v:textbox style="mso-fit-shape-to-text:t">
                  <w:txbxContent>
                    <w:p w14:paraId="446D6986" w14:textId="77777777" w:rsidR="00DA053F" w:rsidRDefault="00DA053F" w:rsidP="00DA053F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DA053F">
                        <w:rPr>
                          <w:b/>
                          <w:bCs/>
                          <w:sz w:val="18"/>
                          <w:szCs w:val="18"/>
                        </w:rPr>
                        <w:t>Figura 4.</w:t>
                      </w:r>
                      <w:r w:rsidRPr="00DA053F">
                        <w:rPr>
                          <w:sz w:val="18"/>
                          <w:szCs w:val="18"/>
                        </w:rPr>
                        <w:t xml:space="preserve"> Uso de pêra de sucção para delivramento das vias aéreas.</w:t>
                      </w:r>
                      <w:r w:rsidRPr="00DA053F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14:paraId="6DF183EF" w14:textId="77777777" w:rsidR="00DA053F" w:rsidRPr="00DA053F" w:rsidRDefault="00DA053F" w:rsidP="00DA053F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3ECF9A4F" w14:textId="526AB0DD" w:rsidR="00DA053F" w:rsidRPr="00DA053F" w:rsidRDefault="00DA053F" w:rsidP="00DA053F">
                      <w:pPr>
                        <w:rPr>
                          <w:sz w:val="18"/>
                          <w:szCs w:val="18"/>
                        </w:rPr>
                      </w:pPr>
                      <w:r w:rsidRPr="00DA053F">
                        <w:rPr>
                          <w:b/>
                          <w:bCs/>
                          <w:sz w:val="18"/>
                          <w:szCs w:val="18"/>
                        </w:rPr>
                        <w:t>Fonte:</w:t>
                      </w:r>
                      <w:r w:rsidRPr="00DA053F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DA053F">
                        <w:rPr>
                          <w:sz w:val="18"/>
                          <w:szCs w:val="18"/>
                        </w:rPr>
                        <w:t xml:space="preserve">MCMICHAEL </w:t>
                      </w:r>
                      <w:r w:rsidRPr="00DA053F">
                        <w:rPr>
                          <w:sz w:val="18"/>
                          <w:szCs w:val="18"/>
                        </w:rPr>
                        <w:t>(2011)</w:t>
                      </w:r>
                    </w:p>
                    <w:p w14:paraId="7B81E49A" w14:textId="71E023F0" w:rsidR="00DA053F" w:rsidRPr="00DA053F" w:rsidRDefault="00DA053F" w:rsidP="00DA053F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F6257">
        <w:rPr>
          <w:noProof/>
        </w:rPr>
        <w:drawing>
          <wp:inline distT="0" distB="0" distL="0" distR="0" wp14:anchorId="4F8BD8E4" wp14:editId="0309DD57">
            <wp:extent cx="2194560" cy="1591056"/>
            <wp:effectExtent l="0" t="0" r="0" b="9525"/>
            <wp:docPr id="1134332561" name="drawing" descr="Uma imagem contendo pessoa, fralda, bebê, segurand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332561" name="drawing" descr="Uma imagem contendo pessoa, fralda, bebê, segurando&#10;&#10;O conteúdo gerado por IA pode estar incorreto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2315" cy="1596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F6257">
        <w:rPr>
          <w:b/>
          <w:bCs/>
          <w:sz w:val="24"/>
          <w:szCs w:val="24"/>
        </w:rPr>
        <w:t xml:space="preserve">   </w:t>
      </w:r>
    </w:p>
    <w:p w14:paraId="7DD9E688" w14:textId="54FC1A1D" w:rsidR="00530289" w:rsidRPr="00530289" w:rsidRDefault="00530289" w:rsidP="00E2106E">
      <w:pPr>
        <w:spacing w:line="360" w:lineRule="auto"/>
        <w:jc w:val="both"/>
        <w:rPr>
          <w:b/>
          <w:bCs/>
          <w:sz w:val="24"/>
          <w:szCs w:val="24"/>
        </w:rPr>
      </w:pPr>
      <w:r w:rsidRPr="00530289">
        <w:rPr>
          <w:b/>
          <w:bCs/>
          <w:sz w:val="24"/>
          <w:szCs w:val="24"/>
        </w:rPr>
        <w:t>4.4 Reanimação respiratória</w:t>
      </w:r>
    </w:p>
    <w:p w14:paraId="2B6DD9BB" w14:textId="77777777" w:rsidR="00530289" w:rsidRPr="00530289" w:rsidRDefault="00530289" w:rsidP="00E2106E">
      <w:pPr>
        <w:spacing w:line="360" w:lineRule="auto"/>
        <w:ind w:firstLine="720"/>
        <w:jc w:val="both"/>
        <w:rPr>
          <w:sz w:val="24"/>
          <w:szCs w:val="24"/>
        </w:rPr>
      </w:pPr>
      <w:r w:rsidRPr="00530289">
        <w:rPr>
          <w:sz w:val="24"/>
          <w:szCs w:val="24"/>
        </w:rPr>
        <w:t>A reanimação é indicada diante de apneia, respiração inadequada ou bradicardia. Após a desobstrução das vias aéreas e a estimulação tátil, deve-se avaliar o estabelecimento da respiração espontânea. Quando esta não ocorre, pode ser empregado oxigênio por máscara e, diante da persistência da depressão respiratória ou bradicardia, ventilação com pressão positiva (VANNUCCHI; ABREU, 2017).</w:t>
      </w:r>
    </w:p>
    <w:p w14:paraId="50BFD24A" w14:textId="25A7560E" w:rsidR="00530289" w:rsidRPr="00306BC1" w:rsidRDefault="00530289" w:rsidP="00306BC1">
      <w:pPr>
        <w:spacing w:line="360" w:lineRule="auto"/>
        <w:ind w:firstLine="720"/>
        <w:jc w:val="both"/>
        <w:rPr>
          <w:sz w:val="24"/>
          <w:szCs w:val="24"/>
        </w:rPr>
      </w:pPr>
      <w:r w:rsidRPr="00530289">
        <w:rPr>
          <w:sz w:val="24"/>
          <w:szCs w:val="24"/>
        </w:rPr>
        <w:t>Nos casos sem resposta adequada às medidas iniciais, a literatura descreve a possibilidade de intubação endotraqueal. O acompanhamento da frequência cardíaca durante a intervenção permite avaliar a resposta à ventilação e determinar a necessidade de continuidade do suporte (VANNUCCHI; ABREU, 2017).</w:t>
      </w:r>
    </w:p>
    <w:p w14:paraId="2221F228" w14:textId="3FFC651D" w:rsidR="00530289" w:rsidRPr="00530289" w:rsidRDefault="00530289" w:rsidP="00E2106E">
      <w:pPr>
        <w:spacing w:line="360" w:lineRule="auto"/>
        <w:jc w:val="both"/>
        <w:rPr>
          <w:b/>
          <w:bCs/>
          <w:sz w:val="24"/>
          <w:szCs w:val="24"/>
        </w:rPr>
      </w:pPr>
      <w:r w:rsidRPr="00530289">
        <w:rPr>
          <w:b/>
          <w:bCs/>
          <w:sz w:val="24"/>
          <w:szCs w:val="24"/>
        </w:rPr>
        <w:t>4.5 Suporte cardiovascular</w:t>
      </w:r>
    </w:p>
    <w:p w14:paraId="0B53B855" w14:textId="77777777" w:rsidR="00530289" w:rsidRPr="00530289" w:rsidRDefault="00530289" w:rsidP="00E2106E">
      <w:pPr>
        <w:spacing w:line="360" w:lineRule="auto"/>
        <w:ind w:firstLine="720"/>
        <w:jc w:val="both"/>
        <w:rPr>
          <w:sz w:val="24"/>
          <w:szCs w:val="24"/>
        </w:rPr>
      </w:pPr>
      <w:r w:rsidRPr="00530289">
        <w:rPr>
          <w:sz w:val="24"/>
          <w:szCs w:val="24"/>
        </w:rPr>
        <w:t>A frequência cardíaca deve ser reavaliada durante a reanimação, principalmente após o estabelecimento da ventilação. A bradicardia em neonatos deprimidos pode estar relacionada à hipóxia, tornando a correção da insuficiência respiratória uma das primeiras medidas do atendimento (VANNUCCHI; ABREU, 2017).</w:t>
      </w:r>
    </w:p>
    <w:p w14:paraId="25D35984" w14:textId="73FDBFA6" w:rsidR="00530289" w:rsidRPr="00530289" w:rsidRDefault="00530289" w:rsidP="00E2106E">
      <w:pPr>
        <w:spacing w:line="360" w:lineRule="auto"/>
        <w:ind w:firstLine="720"/>
        <w:jc w:val="both"/>
        <w:rPr>
          <w:sz w:val="24"/>
          <w:szCs w:val="24"/>
        </w:rPr>
      </w:pPr>
      <w:r w:rsidRPr="00530289">
        <w:rPr>
          <w:sz w:val="24"/>
          <w:szCs w:val="24"/>
        </w:rPr>
        <w:t>Quando o comprometimento cardiovascular persiste após o suporte ventilatório, podem ser empregadas medidas adicionais, incluindo massagem cardíaca externa. A resposta deve ser acompanhada por avaliações sucessivas da frequência cardíaca e das condições respiratórias (VANNUCCHI; ABREU, 2017).</w:t>
      </w:r>
    </w:p>
    <w:p w14:paraId="3D112853" w14:textId="68AE277B" w:rsidR="00530289" w:rsidRDefault="00DA053F" w:rsidP="00E2106E">
      <w:pPr>
        <w:spacing w:line="360" w:lineRule="auto"/>
        <w:jc w:val="both"/>
        <w:rPr>
          <w:b/>
          <w:bCs/>
          <w:sz w:val="24"/>
          <w:szCs w:val="24"/>
        </w:rPr>
      </w:pPr>
      <w:r w:rsidRPr="00DA053F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4F8D743" wp14:editId="3737512D">
                <wp:simplePos x="0" y="0"/>
                <wp:positionH relativeFrom="column">
                  <wp:posOffset>2376170</wp:posOffset>
                </wp:positionH>
                <wp:positionV relativeFrom="paragraph">
                  <wp:posOffset>396240</wp:posOffset>
                </wp:positionV>
                <wp:extent cx="2360930" cy="1404620"/>
                <wp:effectExtent l="0" t="0" r="22860" b="11430"/>
                <wp:wrapSquare wrapText="bothSides"/>
                <wp:docPr id="135696833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3983AF" w14:textId="77777777" w:rsidR="00DA053F" w:rsidRDefault="00DA053F" w:rsidP="00DA053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A053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Figura 5</w:t>
                            </w:r>
                            <w:r w:rsidRPr="00DA053F">
                              <w:rPr>
                                <w:sz w:val="18"/>
                                <w:szCs w:val="18"/>
                              </w:rPr>
                              <w:t xml:space="preserve">. Reanimação neonatal. </w:t>
                            </w:r>
                          </w:p>
                          <w:p w14:paraId="56B96599" w14:textId="0758922D" w:rsidR="00DA053F" w:rsidRPr="00DA053F" w:rsidRDefault="00DA053F" w:rsidP="00DA053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A053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Fonte</w:t>
                            </w:r>
                            <w:r w:rsidRPr="00DA053F">
                              <w:rPr>
                                <w:sz w:val="18"/>
                                <w:szCs w:val="18"/>
                              </w:rPr>
                              <w:t xml:space="preserve">: </w:t>
                            </w:r>
                            <w:r w:rsidRPr="00DA053F">
                              <w:rPr>
                                <w:sz w:val="18"/>
                                <w:szCs w:val="18"/>
                              </w:rPr>
                              <w:t xml:space="preserve">MCMICHAEL </w:t>
                            </w:r>
                            <w:r w:rsidRPr="00DA053F">
                              <w:rPr>
                                <w:sz w:val="18"/>
                                <w:szCs w:val="18"/>
                              </w:rPr>
                              <w:t>(2011).</w:t>
                            </w:r>
                          </w:p>
                          <w:p w14:paraId="2AD0F1B7" w14:textId="70B7D027" w:rsidR="00DA053F" w:rsidRPr="00DA053F" w:rsidRDefault="00DA053F" w:rsidP="00DA053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F8D743" id="_x0000_s1031" type="#_x0000_t202" style="position:absolute;left:0;text-align:left;margin-left:187.1pt;margin-top:31.2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">
                <v:textbox style="mso-fit-shape-to-text:t">
                  <w:txbxContent>
                    <w:p w14:paraId="523983AF" w14:textId="77777777" w:rsidR="00DA053F" w:rsidRDefault="00DA053F" w:rsidP="00DA053F">
                      <w:pPr>
                        <w:rPr>
                          <w:sz w:val="18"/>
                          <w:szCs w:val="18"/>
                        </w:rPr>
                      </w:pPr>
                      <w:r w:rsidRPr="00DA053F">
                        <w:rPr>
                          <w:b/>
                          <w:bCs/>
                          <w:sz w:val="18"/>
                          <w:szCs w:val="18"/>
                        </w:rPr>
                        <w:t>Figura 5</w:t>
                      </w:r>
                      <w:r w:rsidRPr="00DA053F">
                        <w:rPr>
                          <w:sz w:val="18"/>
                          <w:szCs w:val="18"/>
                        </w:rPr>
                        <w:t xml:space="preserve">. Reanimação neonatal. </w:t>
                      </w:r>
                    </w:p>
                    <w:p w14:paraId="56B96599" w14:textId="0758922D" w:rsidR="00DA053F" w:rsidRPr="00DA053F" w:rsidRDefault="00DA053F" w:rsidP="00DA053F">
                      <w:pPr>
                        <w:rPr>
                          <w:sz w:val="18"/>
                          <w:szCs w:val="18"/>
                        </w:rPr>
                      </w:pPr>
                      <w:r w:rsidRPr="00DA053F">
                        <w:rPr>
                          <w:b/>
                          <w:bCs/>
                          <w:sz w:val="18"/>
                          <w:szCs w:val="18"/>
                        </w:rPr>
                        <w:t>Fonte</w:t>
                      </w:r>
                      <w:r w:rsidRPr="00DA053F">
                        <w:rPr>
                          <w:sz w:val="18"/>
                          <w:szCs w:val="18"/>
                        </w:rPr>
                        <w:t xml:space="preserve">: </w:t>
                      </w:r>
                      <w:r w:rsidRPr="00DA053F">
                        <w:rPr>
                          <w:sz w:val="18"/>
                          <w:szCs w:val="18"/>
                        </w:rPr>
                        <w:t xml:space="preserve">MCMICHAEL </w:t>
                      </w:r>
                      <w:r w:rsidRPr="00DA053F">
                        <w:rPr>
                          <w:sz w:val="18"/>
                          <w:szCs w:val="18"/>
                        </w:rPr>
                        <w:t>(2011).</w:t>
                      </w:r>
                    </w:p>
                    <w:p w14:paraId="2AD0F1B7" w14:textId="70B7D027" w:rsidR="00DA053F" w:rsidRPr="00DA053F" w:rsidRDefault="00DA053F" w:rsidP="00DA053F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C14C03E" wp14:editId="068B588E">
            <wp:extent cx="2240280" cy="1486731"/>
            <wp:effectExtent l="0" t="0" r="7620" b="0"/>
            <wp:docPr id="102443300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346937" name="Picture 155634693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9572" cy="1492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DDF1E" w14:textId="74C4CD9E" w:rsidR="00530289" w:rsidRPr="00530289" w:rsidRDefault="00530289" w:rsidP="00E2106E">
      <w:pPr>
        <w:spacing w:line="360" w:lineRule="auto"/>
        <w:jc w:val="both"/>
        <w:rPr>
          <w:b/>
          <w:bCs/>
          <w:sz w:val="24"/>
          <w:szCs w:val="24"/>
        </w:rPr>
      </w:pPr>
      <w:r w:rsidRPr="00530289">
        <w:rPr>
          <w:b/>
          <w:bCs/>
          <w:sz w:val="24"/>
          <w:szCs w:val="24"/>
        </w:rPr>
        <w:lastRenderedPageBreak/>
        <w:t>4.6 Colostro e transferência de imunidade passiva</w:t>
      </w:r>
    </w:p>
    <w:p w14:paraId="486E645A" w14:textId="319CFD59" w:rsidR="00DA053F" w:rsidRPr="00DA053F" w:rsidRDefault="00DA053F" w:rsidP="00DA053F">
      <w:pPr>
        <w:spacing w:line="360" w:lineRule="auto"/>
        <w:ind w:firstLine="283"/>
        <w:jc w:val="both"/>
      </w:pPr>
      <w:r w:rsidRPr="5EBDCE38">
        <w:rPr>
          <w:sz w:val="24"/>
          <w:szCs w:val="24"/>
        </w:rPr>
        <w:t>Landim-Alvarenga et al. (2006) afirmam que para o neonato adquirir imunidade sistêmica adequada, é imprescindível que ingiram o colostro dentro das primeiras 12 horas após o nascimento. Com 16 horas de vida já não é possível a realização da transferência passiva de imunoglobulinas com eficiência total. A imunodeficiência neonatal pode estar presente decorrente da não ingestão ou incorreto consumo do colostro devidamente acompanhado das suas imunoglobulinas, podendo predispor o filhote a infecções (FEITOSA, 2014).</w:t>
      </w:r>
    </w:p>
    <w:p w14:paraId="6D054448" w14:textId="69C868EE" w:rsidR="00530289" w:rsidRPr="00530289" w:rsidRDefault="00530289" w:rsidP="00E2106E">
      <w:pPr>
        <w:spacing w:line="360" w:lineRule="auto"/>
        <w:ind w:firstLine="720"/>
        <w:jc w:val="both"/>
        <w:rPr>
          <w:sz w:val="24"/>
          <w:szCs w:val="24"/>
        </w:rPr>
      </w:pPr>
      <w:r w:rsidRPr="00530289">
        <w:rPr>
          <w:sz w:val="24"/>
          <w:szCs w:val="24"/>
        </w:rPr>
        <w:t xml:space="preserve">Nos cães, a transferência transplacentária de imunoglobulinas é limitada, fazendo com que o colostro constitua a principal fonte de imunidade passiva após o nascimento. O colostro contém IgG, IgA e </w:t>
      </w:r>
      <w:proofErr w:type="spellStart"/>
      <w:r w:rsidRPr="00530289">
        <w:rPr>
          <w:sz w:val="24"/>
          <w:szCs w:val="24"/>
        </w:rPr>
        <w:t>IgM</w:t>
      </w:r>
      <w:proofErr w:type="spellEnd"/>
      <w:r w:rsidRPr="00530289">
        <w:rPr>
          <w:sz w:val="24"/>
          <w:szCs w:val="24"/>
        </w:rPr>
        <w:t>, sendo a IgG a principal classe de imunoglobulina. Vannucchi (2022</w:t>
      </w:r>
      <w:r w:rsidR="001E15BE">
        <w:rPr>
          <w:sz w:val="24"/>
          <w:szCs w:val="24"/>
        </w:rPr>
        <w:t>a</w:t>
      </w:r>
      <w:r w:rsidRPr="00530289">
        <w:rPr>
          <w:sz w:val="24"/>
          <w:szCs w:val="24"/>
        </w:rPr>
        <w:t>) descreve que a IgG representa aproximadamente 65% a 90% das imunoglobulinas do colostro de mamíferos domésticos e que, no cão, sua concentração colostral é aproximadamente 2,8 vezes superior à sérica materna.</w:t>
      </w:r>
    </w:p>
    <w:p w14:paraId="7E197BCF" w14:textId="092ED450" w:rsidR="00530289" w:rsidRDefault="00530289" w:rsidP="00E2106E">
      <w:pPr>
        <w:spacing w:line="360" w:lineRule="auto"/>
        <w:ind w:firstLine="720"/>
        <w:jc w:val="both"/>
        <w:rPr>
          <w:sz w:val="24"/>
          <w:szCs w:val="24"/>
        </w:rPr>
      </w:pPr>
      <w:r w:rsidRPr="00530289">
        <w:rPr>
          <w:sz w:val="24"/>
          <w:szCs w:val="24"/>
        </w:rPr>
        <w:t>A absorção intestinal das imunoglobulinas ocorre principalmente nas primeiras horas de vida, apresentando redução progressiva até aproximadamente 24 horas. Por isso, a ingestão precoce de colostro deve ser acompanhada, especialmente em neonatos debilitados, de baixo peso ou com dificuldade de sucção (VANNUCCHI; ABREU, 2017; VANNUCCHI, 2022</w:t>
      </w:r>
      <w:r w:rsidR="001E15BE">
        <w:rPr>
          <w:sz w:val="24"/>
          <w:szCs w:val="24"/>
        </w:rPr>
        <w:t>a</w:t>
      </w:r>
      <w:r w:rsidRPr="00530289">
        <w:rPr>
          <w:sz w:val="24"/>
          <w:szCs w:val="24"/>
        </w:rPr>
        <w:t>).</w:t>
      </w:r>
    </w:p>
    <w:p w14:paraId="52509E82" w14:textId="25D0BD04" w:rsidR="00DA053F" w:rsidRDefault="00DA053F" w:rsidP="00DA053F">
      <w:pPr>
        <w:spacing w:line="360" w:lineRule="auto"/>
        <w:ind w:firstLine="720"/>
        <w:jc w:val="both"/>
      </w:pPr>
      <w:r w:rsidRPr="5EBDCE38">
        <w:rPr>
          <w:sz w:val="24"/>
          <w:szCs w:val="24"/>
        </w:rPr>
        <w:t xml:space="preserve">É interessante que o neonato apresente reflexo de sucção (Figura </w:t>
      </w:r>
      <w:r w:rsidR="00306BC1">
        <w:rPr>
          <w:sz w:val="24"/>
          <w:szCs w:val="24"/>
        </w:rPr>
        <w:t>6</w:t>
      </w:r>
      <w:r w:rsidRPr="5EBDCE38">
        <w:rPr>
          <w:sz w:val="24"/>
          <w:szCs w:val="24"/>
        </w:rPr>
        <w:t>) para que consiga mamar diretamente na mãe, e se caso necessário, seja alimentado por mamadeira ou seringa. O neonato deve ser alimentado a cada 2 a 4 horas durante a primeira semana de vida, e a cada 4 a 6 horas até o desmame (Landim-Alvarenga et al., 2017). A capacidade estomacal do neonato é de 50 ml/kg, e a cada mamada não se pode ultrapassar este volume de alimento (MACINTIRE et al., 2007).</w:t>
      </w:r>
    </w:p>
    <w:p w14:paraId="4343C084" w14:textId="4744306B" w:rsidR="00FD0D49" w:rsidRPr="00DA053F" w:rsidRDefault="00DA053F" w:rsidP="00E2106E">
      <w:pPr>
        <w:spacing w:line="360" w:lineRule="auto"/>
        <w:jc w:val="both"/>
        <w:rPr>
          <w:sz w:val="24"/>
          <w:szCs w:val="24"/>
        </w:rPr>
      </w:pPr>
      <w:r w:rsidRPr="00DA053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0F70D7B" wp14:editId="14F6E8B4">
                <wp:simplePos x="0" y="0"/>
                <wp:positionH relativeFrom="column">
                  <wp:posOffset>2277110</wp:posOffset>
                </wp:positionH>
                <wp:positionV relativeFrom="paragraph">
                  <wp:posOffset>373380</wp:posOffset>
                </wp:positionV>
                <wp:extent cx="2360930" cy="1404620"/>
                <wp:effectExtent l="0" t="0" r="22860" b="11430"/>
                <wp:wrapSquare wrapText="bothSides"/>
                <wp:docPr id="159671245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AFDEA3" w14:textId="77777777" w:rsidR="00DA053F" w:rsidRPr="00DA053F" w:rsidRDefault="00DA053F" w:rsidP="00DA053F">
                            <w:pPr>
                              <w:jc w:val="both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DA053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Figura 6</w:t>
                            </w:r>
                            <w:r w:rsidRPr="00DA053F">
                              <w:rPr>
                                <w:sz w:val="18"/>
                                <w:szCs w:val="18"/>
                              </w:rPr>
                              <w:t>. Demonstração do reflexo de sucção em neonatos caninos.</w:t>
                            </w:r>
                            <w:r w:rsidRPr="00DA053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4744ACAC" w14:textId="7678C3D6" w:rsidR="00DA053F" w:rsidRPr="00DA053F" w:rsidRDefault="00DA053F" w:rsidP="00DA053F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DA053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Fonte</w:t>
                            </w:r>
                            <w:r w:rsidRPr="00DA053F">
                              <w:rPr>
                                <w:sz w:val="18"/>
                                <w:szCs w:val="18"/>
                              </w:rPr>
                              <w:t xml:space="preserve">: </w:t>
                            </w:r>
                            <w:r w:rsidRPr="00DA053F">
                              <w:rPr>
                                <w:sz w:val="18"/>
                                <w:szCs w:val="18"/>
                              </w:rPr>
                              <w:t xml:space="preserve">KUSTRITZ </w:t>
                            </w:r>
                            <w:r w:rsidRPr="00DA053F">
                              <w:rPr>
                                <w:sz w:val="18"/>
                                <w:szCs w:val="18"/>
                              </w:rPr>
                              <w:t>(2011).</w:t>
                            </w:r>
                          </w:p>
                          <w:p w14:paraId="2DBD85E8" w14:textId="55DE2BD7" w:rsidR="00DA053F" w:rsidRPr="00DA053F" w:rsidRDefault="00DA053F" w:rsidP="00DA053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0F70D7B" id="_x0000_s1032" type="#_x0000_t202" style="position:absolute;left:0;text-align:left;margin-left:179.3pt;margin-top:29.4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">
                <v:textbox style="mso-fit-shape-to-text:t">
                  <w:txbxContent>
                    <w:p w14:paraId="69AFDEA3" w14:textId="77777777" w:rsidR="00DA053F" w:rsidRPr="00DA053F" w:rsidRDefault="00DA053F" w:rsidP="00DA053F">
                      <w:pPr>
                        <w:jc w:val="both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DA053F">
                        <w:rPr>
                          <w:b/>
                          <w:bCs/>
                          <w:sz w:val="18"/>
                          <w:szCs w:val="18"/>
                        </w:rPr>
                        <w:t>Figura 6</w:t>
                      </w:r>
                      <w:r w:rsidRPr="00DA053F">
                        <w:rPr>
                          <w:sz w:val="18"/>
                          <w:szCs w:val="18"/>
                        </w:rPr>
                        <w:t>. Demonstração do reflexo de sucção em neonatos caninos.</w:t>
                      </w:r>
                      <w:r w:rsidRPr="00DA053F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14:paraId="4744ACAC" w14:textId="7678C3D6" w:rsidR="00DA053F" w:rsidRPr="00DA053F" w:rsidRDefault="00DA053F" w:rsidP="00DA053F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DA053F">
                        <w:rPr>
                          <w:b/>
                          <w:bCs/>
                          <w:sz w:val="18"/>
                          <w:szCs w:val="18"/>
                        </w:rPr>
                        <w:t>Fonte</w:t>
                      </w:r>
                      <w:r w:rsidRPr="00DA053F">
                        <w:rPr>
                          <w:sz w:val="18"/>
                          <w:szCs w:val="18"/>
                        </w:rPr>
                        <w:t xml:space="preserve">: </w:t>
                      </w:r>
                      <w:r w:rsidRPr="00DA053F">
                        <w:rPr>
                          <w:sz w:val="18"/>
                          <w:szCs w:val="18"/>
                        </w:rPr>
                        <w:t xml:space="preserve">KUSTRITZ </w:t>
                      </w:r>
                      <w:r w:rsidRPr="00DA053F">
                        <w:rPr>
                          <w:sz w:val="18"/>
                          <w:szCs w:val="18"/>
                        </w:rPr>
                        <w:t>(2011).</w:t>
                      </w:r>
                    </w:p>
                    <w:p w14:paraId="2DBD85E8" w14:textId="55DE2BD7" w:rsidR="00DA053F" w:rsidRPr="00DA053F" w:rsidRDefault="00DA053F" w:rsidP="00DA053F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4541B41" wp14:editId="1803A54F">
            <wp:extent cx="2153761" cy="1455420"/>
            <wp:effectExtent l="0" t="0" r="0" b="0"/>
            <wp:docPr id="1718475684" name="drawing" descr="Pessoa posando para fot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8475684" name="drawing" descr="Pessoa posando para foto&#10;&#10;O conteúdo gerado por IA pode estar incorreto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8565" cy="1458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</w:t>
      </w:r>
    </w:p>
    <w:p w14:paraId="32AFA591" w14:textId="6646C015" w:rsidR="00530289" w:rsidRPr="00530289" w:rsidRDefault="00530289" w:rsidP="00E2106E">
      <w:pPr>
        <w:spacing w:line="360" w:lineRule="auto"/>
        <w:jc w:val="both"/>
        <w:rPr>
          <w:b/>
          <w:bCs/>
          <w:sz w:val="24"/>
          <w:szCs w:val="24"/>
        </w:rPr>
      </w:pPr>
      <w:r w:rsidRPr="00530289">
        <w:rPr>
          <w:b/>
          <w:bCs/>
          <w:sz w:val="24"/>
          <w:szCs w:val="24"/>
        </w:rPr>
        <w:t xml:space="preserve">4.7 </w:t>
      </w:r>
      <w:proofErr w:type="spellStart"/>
      <w:r w:rsidRPr="00530289">
        <w:rPr>
          <w:b/>
          <w:bCs/>
          <w:sz w:val="24"/>
          <w:szCs w:val="24"/>
        </w:rPr>
        <w:t>Colostragem</w:t>
      </w:r>
      <w:proofErr w:type="spellEnd"/>
      <w:r w:rsidRPr="00530289">
        <w:rPr>
          <w:b/>
          <w:bCs/>
          <w:sz w:val="24"/>
          <w:szCs w:val="24"/>
        </w:rPr>
        <w:t>, glicemia e suporte nutricional</w:t>
      </w:r>
    </w:p>
    <w:p w14:paraId="1A8D9CB3" w14:textId="6493B729" w:rsidR="00511168" w:rsidRDefault="00511168" w:rsidP="00E2106E">
      <w:pPr>
        <w:spacing w:line="360" w:lineRule="auto"/>
        <w:ind w:firstLine="720"/>
        <w:jc w:val="both"/>
        <w:rPr>
          <w:sz w:val="24"/>
          <w:szCs w:val="24"/>
        </w:rPr>
      </w:pPr>
      <w:r w:rsidRPr="00511168">
        <w:rPr>
          <w:sz w:val="24"/>
          <w:szCs w:val="24"/>
        </w:rPr>
        <w:t xml:space="preserve">Quando a mãe apresenta produção adequada de colostro e o filhote possui capacidade de sucção, a amamentação direta constitui a principal forma de fornecimento. Em situações de </w:t>
      </w:r>
      <w:r w:rsidRPr="00511168">
        <w:rPr>
          <w:sz w:val="24"/>
          <w:szCs w:val="24"/>
        </w:rPr>
        <w:lastRenderedPageBreak/>
        <w:t xml:space="preserve">óbito ou debilidade materna, ausência de aptidão materna, rejeição da ninhada, alterações mamárias, </w:t>
      </w:r>
      <w:proofErr w:type="spellStart"/>
      <w:r w:rsidRPr="00511168">
        <w:rPr>
          <w:sz w:val="24"/>
          <w:szCs w:val="24"/>
        </w:rPr>
        <w:t>agalactia</w:t>
      </w:r>
      <w:proofErr w:type="spellEnd"/>
      <w:r w:rsidRPr="00511168">
        <w:rPr>
          <w:sz w:val="24"/>
          <w:szCs w:val="24"/>
        </w:rPr>
        <w:t>, hipogalactia ou debilidade do filhote, pode ser necessária a reposição de colostro. Essa reposição pode utilizar preparações comerciais, banco de colostro ou fêmea doadora, conforme a disponibilidade e a condição do neonato (VANNUCCHI, 2022</w:t>
      </w:r>
      <w:r w:rsidR="001E15BE">
        <w:rPr>
          <w:sz w:val="24"/>
          <w:szCs w:val="24"/>
        </w:rPr>
        <w:t>b</w:t>
      </w:r>
      <w:r w:rsidRPr="00511168">
        <w:rPr>
          <w:sz w:val="24"/>
          <w:szCs w:val="24"/>
        </w:rPr>
        <w:t>).</w:t>
      </w:r>
    </w:p>
    <w:p w14:paraId="235EC799" w14:textId="6C464916" w:rsidR="00DA053F" w:rsidRPr="00DA053F" w:rsidRDefault="00DA053F" w:rsidP="00DA053F">
      <w:pPr>
        <w:spacing w:line="360" w:lineRule="auto"/>
        <w:ind w:firstLine="720"/>
        <w:jc w:val="both"/>
      </w:pPr>
      <w:r w:rsidRPr="5EBDCE38">
        <w:rPr>
          <w:sz w:val="24"/>
          <w:szCs w:val="24"/>
        </w:rPr>
        <w:t>A posição correta para alimentar o neonato via mamadeira é em decúbito esternal, como na Figura 7, e o neonato deve ser capaz de empurrar a mamadeira com os membros anteriores bem como faria caso estivesse amamentando na própria mãe. O neonato não pode estender demais a cabeça durante a mamada, pois isso pode aumentar o risco de aspiração do leite (PETERSON &amp; KUTZLER, 2011).</w:t>
      </w:r>
    </w:p>
    <w:p w14:paraId="2B5F3644" w14:textId="5BA350C7" w:rsidR="00530289" w:rsidRDefault="00530289" w:rsidP="00E2106E">
      <w:pPr>
        <w:spacing w:line="360" w:lineRule="auto"/>
        <w:ind w:firstLine="720"/>
        <w:jc w:val="both"/>
        <w:rPr>
          <w:sz w:val="24"/>
          <w:szCs w:val="24"/>
        </w:rPr>
      </w:pPr>
      <w:r w:rsidRPr="00530289">
        <w:rPr>
          <w:sz w:val="24"/>
          <w:szCs w:val="24"/>
        </w:rPr>
        <w:t xml:space="preserve">A ingestão adequada de nutrientes também está relacionada à manutenção da glicemia. </w:t>
      </w:r>
      <w:proofErr w:type="spellStart"/>
      <w:r w:rsidRPr="00530289">
        <w:rPr>
          <w:sz w:val="24"/>
          <w:szCs w:val="24"/>
        </w:rPr>
        <w:t>Vezzali</w:t>
      </w:r>
      <w:proofErr w:type="spellEnd"/>
      <w:r w:rsidRPr="00530289">
        <w:rPr>
          <w:sz w:val="24"/>
          <w:szCs w:val="24"/>
        </w:rPr>
        <w:t>, Prado e Octaviano (2021) descrevem valores de 111 a 146 mg/</w:t>
      </w:r>
      <w:proofErr w:type="spellStart"/>
      <w:r w:rsidRPr="00530289">
        <w:rPr>
          <w:sz w:val="24"/>
          <w:szCs w:val="24"/>
        </w:rPr>
        <w:t>dL</w:t>
      </w:r>
      <w:proofErr w:type="spellEnd"/>
      <w:r w:rsidRPr="00530289">
        <w:rPr>
          <w:sz w:val="24"/>
          <w:szCs w:val="24"/>
        </w:rPr>
        <w:t xml:space="preserve"> entre o nascimento e duas semanas de idade. Em casos de hipoglicemia, Vannucchi e Abreu (2017) descrevem o uso de soluções de dextrose, com escolha da via e da dose conforme o estado clínico do neonato. A hipotermia deve ser considerada durante o suporte nutricional, pois pode comprometer a sucção e a função gastrointestinal.</w:t>
      </w:r>
    </w:p>
    <w:p w14:paraId="45BFB4D8" w14:textId="3CB12458" w:rsidR="00E2106E" w:rsidRPr="00530289" w:rsidRDefault="00306BC1" w:rsidP="00306BC1">
      <w:pPr>
        <w:spacing w:line="360" w:lineRule="auto"/>
        <w:jc w:val="both"/>
        <w:rPr>
          <w:sz w:val="24"/>
          <w:szCs w:val="24"/>
        </w:rPr>
      </w:pPr>
      <w:r w:rsidRPr="00306BC1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2CC29F2" wp14:editId="7C7B4EFA">
                <wp:simplePos x="0" y="0"/>
                <wp:positionH relativeFrom="margin">
                  <wp:align>center</wp:align>
                </wp:positionH>
                <wp:positionV relativeFrom="paragraph">
                  <wp:posOffset>144780</wp:posOffset>
                </wp:positionV>
                <wp:extent cx="2360930" cy="1404620"/>
                <wp:effectExtent l="0" t="0" r="20320" b="21590"/>
                <wp:wrapSquare wrapText="bothSides"/>
                <wp:docPr id="123898495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EF3CE" w14:textId="77777777" w:rsidR="00306BC1" w:rsidRDefault="00306BC1" w:rsidP="00306BC1">
                            <w:pPr>
                              <w:spacing w:line="360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306BC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Figura 7</w:t>
                            </w:r>
                            <w:r w:rsidRPr="00306BC1">
                              <w:rPr>
                                <w:sz w:val="18"/>
                                <w:szCs w:val="18"/>
                              </w:rPr>
                              <w:t>. Neonato apoiado sobre os membros e leve inclinação caudal, para facilitar a sucção e diminuir os riscos de uma falsa via.</w:t>
                            </w:r>
                            <w:r w:rsidRPr="00306BC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EF8D5AB" w14:textId="5EE7026B" w:rsidR="00306BC1" w:rsidRPr="00306BC1" w:rsidRDefault="00306BC1" w:rsidP="00306BC1">
                            <w:pPr>
                              <w:spacing w:line="36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306BC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Fonte:</w:t>
                            </w:r>
                            <w:r w:rsidRPr="00306BC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06BC1">
                              <w:rPr>
                                <w:sz w:val="18"/>
                                <w:szCs w:val="18"/>
                              </w:rPr>
                              <w:t xml:space="preserve">SORRIBAS </w:t>
                            </w:r>
                            <w:r w:rsidRPr="00306BC1">
                              <w:rPr>
                                <w:sz w:val="18"/>
                                <w:szCs w:val="18"/>
                              </w:rPr>
                              <w:t>(2007).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2CC29F2" id="_x0000_s1033" type="#_x0000_t202" style="position:absolute;left:0;text-align:left;margin-left:0;margin-top:11.4pt;width:185.9pt;height:110.6pt;z-index:251667456;visibility:visible;mso-wrap-style:square;mso-width-percent:40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">
                <v:textbox style="mso-fit-shape-to-text:t">
                  <w:txbxContent>
                    <w:p w14:paraId="50CEF3CE" w14:textId="77777777" w:rsidR="00306BC1" w:rsidRDefault="00306BC1" w:rsidP="00306BC1">
                      <w:pPr>
                        <w:spacing w:line="360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306BC1">
                        <w:rPr>
                          <w:b/>
                          <w:bCs/>
                          <w:sz w:val="18"/>
                          <w:szCs w:val="18"/>
                        </w:rPr>
                        <w:t>Figura 7</w:t>
                      </w:r>
                      <w:r w:rsidRPr="00306BC1">
                        <w:rPr>
                          <w:sz w:val="18"/>
                          <w:szCs w:val="18"/>
                        </w:rPr>
                        <w:t>. Neonato apoiado sobre os membros e leve inclinação caudal, para facilitar a sucção e diminuir os riscos de uma falsa via.</w:t>
                      </w:r>
                      <w:r w:rsidRPr="00306BC1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14:paraId="3EF8D5AB" w14:textId="5EE7026B" w:rsidR="00306BC1" w:rsidRPr="00306BC1" w:rsidRDefault="00306BC1" w:rsidP="00306BC1">
                      <w:pPr>
                        <w:spacing w:line="360" w:lineRule="auto"/>
                        <w:rPr>
                          <w:sz w:val="18"/>
                          <w:szCs w:val="18"/>
                        </w:rPr>
                      </w:pPr>
                      <w:r w:rsidRPr="00306BC1">
                        <w:rPr>
                          <w:b/>
                          <w:bCs/>
                          <w:sz w:val="18"/>
                          <w:szCs w:val="18"/>
                        </w:rPr>
                        <w:t>Fonte:</w:t>
                      </w:r>
                      <w:r w:rsidRPr="00306BC1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306BC1">
                        <w:rPr>
                          <w:sz w:val="18"/>
                          <w:szCs w:val="18"/>
                        </w:rPr>
                        <w:t xml:space="preserve">SORRIBAS </w:t>
                      </w:r>
                      <w:r w:rsidRPr="00306BC1">
                        <w:rPr>
                          <w:sz w:val="18"/>
                          <w:szCs w:val="18"/>
                        </w:rPr>
                        <w:t>(2007).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5F890B1" wp14:editId="32EA7C23">
            <wp:extent cx="1516380" cy="1219051"/>
            <wp:effectExtent l="0" t="0" r="7620" b="635"/>
            <wp:docPr id="1761491258" name="drawing" descr="Pessoa segurando um cachorr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491258" name="drawing" descr="Pessoa segurando um cachorro&#10;&#10;O conteúdo gerado por IA pode estar incorreto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0189" cy="1230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</w:t>
      </w:r>
    </w:p>
    <w:p w14:paraId="2FACD759" w14:textId="2E68B64F" w:rsidR="00C91E22" w:rsidRPr="00932D6A" w:rsidRDefault="00E2106E" w:rsidP="00E2106E">
      <w:pPr>
        <w:spacing w:line="360" w:lineRule="auto"/>
        <w:jc w:val="both"/>
        <w:rPr>
          <w:b/>
          <w:bCs/>
          <w:sz w:val="24"/>
          <w:szCs w:val="24"/>
        </w:rPr>
      </w:pPr>
      <w:r w:rsidRPr="00E2106E">
        <w:rPr>
          <w:b/>
          <w:bCs/>
          <w:sz w:val="24"/>
          <w:szCs w:val="24"/>
        </w:rPr>
        <w:t>4.8 Monitoramento nas primeiras 24 horas e mortalidade</w:t>
      </w:r>
    </w:p>
    <w:p w14:paraId="2076B916" w14:textId="77777777" w:rsidR="00932D6A" w:rsidRDefault="00932D6A" w:rsidP="00E2106E">
      <w:pPr>
        <w:spacing w:line="360" w:lineRule="auto"/>
        <w:ind w:firstLine="720"/>
        <w:jc w:val="both"/>
        <w:rPr>
          <w:sz w:val="24"/>
          <w:szCs w:val="24"/>
        </w:rPr>
      </w:pPr>
      <w:r w:rsidRPr="00694669">
        <w:rPr>
          <w:sz w:val="24"/>
          <w:szCs w:val="24"/>
        </w:rPr>
        <w:t>Os estudos analisados demonstram associação entre alterações obstétricas, depressão neonatal e mortalidade. Brun et al. (2021), ao avaliar neonatos caninos atendidos em hospital veterinário brasileiro, identificaram mortalidade elevada durante o período neonatal, com destaque para as primeiras horas de vida. Os autores relacionaram as perdas a condições como hipóxia e distocia, demonstrando que alterações decorrentes do parto podem interferir diretamente na adaptação do filhote à vida extrauterina.</w:t>
      </w:r>
    </w:p>
    <w:p w14:paraId="18413DA1" w14:textId="545206B5" w:rsidR="00306BC1" w:rsidRPr="00306BC1" w:rsidRDefault="00306BC1" w:rsidP="00306BC1">
      <w:pPr>
        <w:spacing w:line="360" w:lineRule="auto"/>
        <w:ind w:firstLine="720"/>
        <w:jc w:val="both"/>
      </w:pPr>
      <w:r w:rsidRPr="5EBDCE38">
        <w:rPr>
          <w:sz w:val="24"/>
          <w:szCs w:val="24"/>
        </w:rPr>
        <w:t xml:space="preserve">Segundo </w:t>
      </w:r>
      <w:proofErr w:type="spellStart"/>
      <w:r w:rsidRPr="5EBDCE38">
        <w:rPr>
          <w:sz w:val="24"/>
          <w:szCs w:val="24"/>
        </w:rPr>
        <w:t>Tønnessen</w:t>
      </w:r>
      <w:proofErr w:type="spellEnd"/>
      <w:r w:rsidRPr="5EBDCE38">
        <w:rPr>
          <w:sz w:val="24"/>
          <w:szCs w:val="24"/>
        </w:rPr>
        <w:t xml:space="preserve"> et al. (2012), a mortalidade neonatal é definida pela morte do filhote após o nascimento, e pode ser classificada como mortalidade neonatal precoce quando as mortes ocorrem nos primeiros sete dias de vida, e tardia cujas mortes ocorrem de sete a 28 dias após o nascimento. A taxa de mortalidade neonatal em cães diminui à medida que o neonato cresce e se desenvolve, tendo como estatísticas 75% das mortes em filhotes nas três primeiras semanas </w:t>
      </w:r>
      <w:r w:rsidRPr="5EBDCE38">
        <w:rPr>
          <w:sz w:val="24"/>
          <w:szCs w:val="24"/>
        </w:rPr>
        <w:lastRenderedPageBreak/>
        <w:t>de vida, 50% das mortes neonatais ocorrendo em até três dias após o nascimento e 65% de mortalidade na primeira semana de vida (PETERSON &amp; KUTZLER, 2011). Angulo (2012) afirma que em partos assistidos por médicos veterinários há uma queda significativa na mortalidade neonatal.</w:t>
      </w:r>
    </w:p>
    <w:p w14:paraId="674F12F5" w14:textId="69D82F9C" w:rsidR="00E2106E" w:rsidRPr="00694669" w:rsidRDefault="00932D6A" w:rsidP="00306BC1">
      <w:pPr>
        <w:spacing w:line="360" w:lineRule="auto"/>
        <w:ind w:firstLine="720"/>
        <w:jc w:val="both"/>
        <w:rPr>
          <w:sz w:val="24"/>
          <w:szCs w:val="24"/>
        </w:rPr>
      </w:pPr>
      <w:r w:rsidRPr="00694669">
        <w:rPr>
          <w:sz w:val="24"/>
          <w:szCs w:val="24"/>
        </w:rPr>
        <w:t xml:space="preserve">Sampaio et al. (2024) também destacam a relação entre distocia e mortalidade neonatal, reforçando a necessidade de assistência durante o parto e avaliação imediata dos filhotes. A ocorrência de hipóxia durante partos prolongados ou complicados pode resultar em depressão respiratória, alterações cardiovasculares e necessidade de reanimação. Dessa forma, a avaliação por </w:t>
      </w:r>
      <w:proofErr w:type="spellStart"/>
      <w:r w:rsidRPr="00694669">
        <w:rPr>
          <w:sz w:val="24"/>
          <w:szCs w:val="24"/>
        </w:rPr>
        <w:t>Apgar</w:t>
      </w:r>
      <w:proofErr w:type="spellEnd"/>
      <w:r w:rsidRPr="00694669">
        <w:rPr>
          <w:sz w:val="24"/>
          <w:szCs w:val="24"/>
        </w:rPr>
        <w:t xml:space="preserve"> </w:t>
      </w:r>
      <w:r w:rsidR="00FD0D49">
        <w:rPr>
          <w:sz w:val="24"/>
          <w:szCs w:val="24"/>
        </w:rPr>
        <w:t>com</w:t>
      </w:r>
      <w:r w:rsidRPr="00694669">
        <w:rPr>
          <w:sz w:val="24"/>
          <w:szCs w:val="24"/>
        </w:rPr>
        <w:t xml:space="preserve"> acompanhamento cardiorrespiratório permite identificar neonatos que necessitam de intervenção imediata (SAMPAIO et al., 2024; </w:t>
      </w:r>
      <w:r w:rsidR="00F41A78" w:rsidRPr="00694669">
        <w:rPr>
          <w:sz w:val="24"/>
          <w:szCs w:val="24"/>
        </w:rPr>
        <w:t xml:space="preserve">CAVALCANTE </w:t>
      </w:r>
      <w:r w:rsidRPr="00694669">
        <w:rPr>
          <w:sz w:val="24"/>
          <w:szCs w:val="24"/>
        </w:rPr>
        <w:t>et al., 2019).</w:t>
      </w:r>
    </w:p>
    <w:p w14:paraId="23E2CB7A" w14:textId="77777777" w:rsidR="00E155C2" w:rsidRDefault="00E155C2" w:rsidP="00E2106E">
      <w:pPr>
        <w:spacing w:line="360" w:lineRule="auto"/>
        <w:jc w:val="both"/>
        <w:rPr>
          <w:b/>
          <w:bCs/>
          <w:sz w:val="24"/>
          <w:szCs w:val="24"/>
        </w:rPr>
      </w:pPr>
    </w:p>
    <w:p w14:paraId="2FEDBFDC" w14:textId="19491622" w:rsidR="00E2106E" w:rsidRDefault="00E2106E" w:rsidP="00E2106E">
      <w:pPr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5 CONSIDERAÇÕES FINAIS</w:t>
      </w:r>
    </w:p>
    <w:p w14:paraId="2B3C1B67" w14:textId="77777777" w:rsidR="00E2106E" w:rsidRDefault="00E2106E" w:rsidP="00E2106E">
      <w:pPr>
        <w:spacing w:line="360" w:lineRule="auto"/>
        <w:ind w:firstLine="720"/>
        <w:jc w:val="both"/>
        <w:rPr>
          <w:sz w:val="24"/>
          <w:szCs w:val="24"/>
        </w:rPr>
      </w:pPr>
      <w:r w:rsidRPr="00E2106E">
        <w:rPr>
          <w:sz w:val="24"/>
          <w:szCs w:val="24"/>
        </w:rPr>
        <w:t xml:space="preserve">A literatura demonstra a relação direta entre intercorrências obstétricas, como distocias e hipóxia perinatal, e os índices de mortalidade de neonatos caninos nas primeiras 24 horas de vida. As falhas na adaptação extrauterina decorrentes de partos prolongados ou operatórios demandam intervenção clínica estruturada. A aplicação do escore </w:t>
      </w:r>
      <w:proofErr w:type="spellStart"/>
      <w:r w:rsidRPr="00E2106E">
        <w:rPr>
          <w:sz w:val="24"/>
          <w:szCs w:val="24"/>
        </w:rPr>
        <w:t>Apgar</w:t>
      </w:r>
      <w:proofErr w:type="spellEnd"/>
      <w:r w:rsidRPr="00E2106E">
        <w:rPr>
          <w:sz w:val="24"/>
          <w:szCs w:val="24"/>
        </w:rPr>
        <w:t xml:space="preserve"> modificado para a triagem de vitalidade, associada ao controle da termorregulação, suporte ventilatório, correção da glicemia e garantia da ingestão de colostro nas primeiras horas pós-parto, constitui o manejo necessário para a redução das perdas neonatais. </w:t>
      </w:r>
    </w:p>
    <w:p w14:paraId="1D287B1A" w14:textId="0E00D422" w:rsidR="00E2106E" w:rsidRPr="00932D6A" w:rsidRDefault="00E2106E" w:rsidP="00306BC1">
      <w:pPr>
        <w:spacing w:line="360" w:lineRule="auto"/>
        <w:ind w:firstLine="720"/>
        <w:jc w:val="both"/>
        <w:rPr>
          <w:sz w:val="24"/>
          <w:szCs w:val="24"/>
        </w:rPr>
      </w:pPr>
      <w:r w:rsidRPr="00E2106E">
        <w:rPr>
          <w:sz w:val="24"/>
          <w:szCs w:val="24"/>
        </w:rPr>
        <w:t xml:space="preserve">Diante das falhas de manejo reprodutivo identificadas em canis e da variação nos parâmetros de referência descritos na literatura, evidencia-se a necessidade de padronização dos cuidados clínicos </w:t>
      </w:r>
      <w:proofErr w:type="spellStart"/>
      <w:r w:rsidRPr="00E2106E">
        <w:rPr>
          <w:sz w:val="24"/>
          <w:szCs w:val="24"/>
        </w:rPr>
        <w:t>peripartum</w:t>
      </w:r>
      <w:proofErr w:type="spellEnd"/>
      <w:r w:rsidRPr="00E2106E">
        <w:rPr>
          <w:sz w:val="24"/>
          <w:szCs w:val="24"/>
        </w:rPr>
        <w:t xml:space="preserve"> e do desenvolvimento de estudos complementares sobre os limites fisiológicos do neonato canino.</w:t>
      </w:r>
    </w:p>
    <w:p w14:paraId="49BC2351" w14:textId="50D6C94F" w:rsidR="00C91E22" w:rsidRPr="00306BC1" w:rsidRDefault="00000000" w:rsidP="00306BC1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REFERÊNCIAS</w:t>
      </w:r>
    </w:p>
    <w:p w14:paraId="6A989139" w14:textId="77777777" w:rsidR="00306BC1" w:rsidRPr="00E155C2" w:rsidRDefault="00306BC1" w:rsidP="00E155C2">
      <w:pPr>
        <w:spacing w:before="240" w:after="240"/>
        <w:rPr>
          <w:sz w:val="20"/>
          <w:szCs w:val="20"/>
        </w:rPr>
      </w:pPr>
      <w:r w:rsidRPr="00E155C2">
        <w:rPr>
          <w:sz w:val="20"/>
          <w:szCs w:val="20"/>
        </w:rPr>
        <w:t>ALVES, Sylvia Lacerda da Gama. Neonatologia canina: revisão de literatura. 2022. 56 f. Trabalho de Conclusão de Curso (Graduação em Medicina Veterinária) – Universidade Federal de Santa Catarina, Curitibanos, 2022.</w:t>
      </w:r>
    </w:p>
    <w:p w14:paraId="7A0833A3" w14:textId="77777777" w:rsidR="00306BC1" w:rsidRPr="00E155C2" w:rsidRDefault="00306BC1" w:rsidP="00E155C2">
      <w:pPr>
        <w:spacing w:before="240" w:after="240"/>
        <w:rPr>
          <w:sz w:val="20"/>
          <w:szCs w:val="20"/>
        </w:rPr>
      </w:pPr>
      <w:r w:rsidRPr="00E155C2">
        <w:rPr>
          <w:sz w:val="20"/>
          <w:szCs w:val="20"/>
        </w:rPr>
        <w:t xml:space="preserve">BRUN, Cristiane Ferreira da Luz et al. Neonatal </w:t>
      </w:r>
      <w:proofErr w:type="spellStart"/>
      <w:r w:rsidRPr="00E155C2">
        <w:rPr>
          <w:sz w:val="20"/>
          <w:szCs w:val="20"/>
        </w:rPr>
        <w:t>mortality</w:t>
      </w:r>
      <w:proofErr w:type="spellEnd"/>
      <w:r w:rsidRPr="00E155C2">
        <w:rPr>
          <w:sz w:val="20"/>
          <w:szCs w:val="20"/>
        </w:rPr>
        <w:t xml:space="preserve"> in dogs in a </w:t>
      </w:r>
      <w:proofErr w:type="spellStart"/>
      <w:r w:rsidRPr="00E155C2">
        <w:rPr>
          <w:sz w:val="20"/>
          <w:szCs w:val="20"/>
        </w:rPr>
        <w:t>veterinary</w:t>
      </w:r>
      <w:proofErr w:type="spellEnd"/>
      <w:r w:rsidRPr="00E155C2">
        <w:rPr>
          <w:sz w:val="20"/>
          <w:szCs w:val="20"/>
        </w:rPr>
        <w:t xml:space="preserve"> hospital in </w:t>
      </w:r>
      <w:proofErr w:type="spellStart"/>
      <w:r w:rsidRPr="00E155C2">
        <w:rPr>
          <w:sz w:val="20"/>
          <w:szCs w:val="20"/>
        </w:rPr>
        <w:t>Brazil</w:t>
      </w:r>
      <w:proofErr w:type="spellEnd"/>
      <w:r w:rsidRPr="00E155C2">
        <w:rPr>
          <w:sz w:val="20"/>
          <w:szCs w:val="20"/>
        </w:rPr>
        <w:t xml:space="preserve">. </w:t>
      </w:r>
      <w:proofErr w:type="spellStart"/>
      <w:r w:rsidRPr="00E155C2">
        <w:rPr>
          <w:sz w:val="20"/>
          <w:szCs w:val="20"/>
        </w:rPr>
        <w:t>Research</w:t>
      </w:r>
      <w:proofErr w:type="spellEnd"/>
      <w:r w:rsidRPr="00E155C2">
        <w:rPr>
          <w:sz w:val="20"/>
          <w:szCs w:val="20"/>
        </w:rPr>
        <w:t xml:space="preserve">, Society </w:t>
      </w:r>
      <w:proofErr w:type="spellStart"/>
      <w:r w:rsidRPr="00E155C2">
        <w:rPr>
          <w:sz w:val="20"/>
          <w:szCs w:val="20"/>
        </w:rPr>
        <w:t>and</w:t>
      </w:r>
      <w:proofErr w:type="spellEnd"/>
      <w:r w:rsidRPr="00E155C2">
        <w:rPr>
          <w:sz w:val="20"/>
          <w:szCs w:val="20"/>
        </w:rPr>
        <w:t xml:space="preserve"> </w:t>
      </w:r>
      <w:proofErr w:type="spellStart"/>
      <w:r w:rsidRPr="00E155C2">
        <w:rPr>
          <w:sz w:val="20"/>
          <w:szCs w:val="20"/>
        </w:rPr>
        <w:t>Development</w:t>
      </w:r>
      <w:proofErr w:type="spellEnd"/>
      <w:r w:rsidRPr="00E155C2">
        <w:rPr>
          <w:sz w:val="20"/>
          <w:szCs w:val="20"/>
        </w:rPr>
        <w:t>, [S. l.], v. 10, n. 14, e81101421610, 2021. DOI: 10.33448/rsd-v10i14.21610.</w:t>
      </w:r>
    </w:p>
    <w:p w14:paraId="27B1DEB1" w14:textId="77777777" w:rsidR="00306BC1" w:rsidRPr="00E155C2" w:rsidRDefault="00306BC1" w:rsidP="00E155C2">
      <w:pPr>
        <w:spacing w:before="240" w:after="240"/>
        <w:rPr>
          <w:sz w:val="20"/>
          <w:szCs w:val="20"/>
        </w:rPr>
      </w:pPr>
      <w:r w:rsidRPr="00E155C2">
        <w:rPr>
          <w:sz w:val="20"/>
          <w:szCs w:val="20"/>
        </w:rPr>
        <w:t>CAVALCANTE, Tânia et al. Escore APGAR: aplicação em neonatos caninos nascidos de parto normal e cesariana. PUBVET, [S. l.], v. 13, n. 4, 2019. DOI: 10.31533/</w:t>
      </w:r>
      <w:proofErr w:type="gramStart"/>
      <w:r w:rsidRPr="00E155C2">
        <w:rPr>
          <w:sz w:val="20"/>
          <w:szCs w:val="20"/>
        </w:rPr>
        <w:t>pubvet.v</w:t>
      </w:r>
      <w:proofErr w:type="gramEnd"/>
      <w:r w:rsidRPr="00E155C2">
        <w:rPr>
          <w:sz w:val="20"/>
          <w:szCs w:val="20"/>
        </w:rPr>
        <w:t>13n4a318.1-5</w:t>
      </w:r>
    </w:p>
    <w:p w14:paraId="6DB8E41F" w14:textId="77777777" w:rsidR="00306BC1" w:rsidRPr="00E155C2" w:rsidRDefault="00306BC1" w:rsidP="00E155C2">
      <w:pPr>
        <w:spacing w:before="240" w:after="240"/>
        <w:rPr>
          <w:sz w:val="20"/>
          <w:szCs w:val="20"/>
        </w:rPr>
      </w:pPr>
      <w:r w:rsidRPr="00E155C2">
        <w:rPr>
          <w:sz w:val="20"/>
          <w:szCs w:val="20"/>
        </w:rPr>
        <w:t xml:space="preserve">FEITOSA, Francisco </w:t>
      </w:r>
      <w:proofErr w:type="spellStart"/>
      <w:r w:rsidRPr="00E155C2">
        <w:rPr>
          <w:sz w:val="20"/>
          <w:szCs w:val="20"/>
        </w:rPr>
        <w:t>Leydson</w:t>
      </w:r>
      <w:proofErr w:type="spellEnd"/>
      <w:r w:rsidRPr="00E155C2">
        <w:rPr>
          <w:sz w:val="20"/>
          <w:szCs w:val="20"/>
        </w:rPr>
        <w:t xml:space="preserve"> Formiga. Semiologia veterinária: a arte do diagnóstico. São Paulo: Roca, 2014.</w:t>
      </w:r>
    </w:p>
    <w:p w14:paraId="69145F76" w14:textId="77777777" w:rsidR="00306BC1" w:rsidRPr="00E155C2" w:rsidRDefault="00306BC1" w:rsidP="00E155C2">
      <w:pPr>
        <w:spacing w:before="240" w:after="240"/>
        <w:rPr>
          <w:sz w:val="20"/>
          <w:szCs w:val="20"/>
        </w:rPr>
      </w:pPr>
      <w:r w:rsidRPr="00E155C2">
        <w:rPr>
          <w:sz w:val="20"/>
          <w:szCs w:val="20"/>
        </w:rPr>
        <w:lastRenderedPageBreak/>
        <w:t xml:space="preserve">FTITZGERARD, Kenneth T.; NEWQUIST, Kristin L. </w:t>
      </w:r>
      <w:proofErr w:type="spellStart"/>
      <w:r w:rsidRPr="00E155C2">
        <w:rPr>
          <w:sz w:val="20"/>
          <w:szCs w:val="20"/>
        </w:rPr>
        <w:t>Husbandry</w:t>
      </w:r>
      <w:proofErr w:type="spellEnd"/>
      <w:r w:rsidRPr="00E155C2">
        <w:rPr>
          <w:sz w:val="20"/>
          <w:szCs w:val="20"/>
        </w:rPr>
        <w:t xml:space="preserve"> </w:t>
      </w:r>
      <w:proofErr w:type="spellStart"/>
      <w:r w:rsidRPr="00E155C2">
        <w:rPr>
          <w:sz w:val="20"/>
          <w:szCs w:val="20"/>
        </w:rPr>
        <w:t>of</w:t>
      </w:r>
      <w:proofErr w:type="spellEnd"/>
      <w:r w:rsidRPr="00E155C2">
        <w:rPr>
          <w:sz w:val="20"/>
          <w:szCs w:val="20"/>
        </w:rPr>
        <w:t xml:space="preserve"> </w:t>
      </w:r>
      <w:proofErr w:type="spellStart"/>
      <w:r w:rsidRPr="00E155C2">
        <w:rPr>
          <w:sz w:val="20"/>
          <w:szCs w:val="20"/>
        </w:rPr>
        <w:t>the</w:t>
      </w:r>
      <w:proofErr w:type="spellEnd"/>
      <w:r w:rsidRPr="00E155C2">
        <w:rPr>
          <w:sz w:val="20"/>
          <w:szCs w:val="20"/>
        </w:rPr>
        <w:t xml:space="preserve"> </w:t>
      </w:r>
      <w:proofErr w:type="spellStart"/>
      <w:r w:rsidRPr="00E155C2">
        <w:rPr>
          <w:sz w:val="20"/>
          <w:szCs w:val="20"/>
        </w:rPr>
        <w:t>neonate</w:t>
      </w:r>
      <w:proofErr w:type="spellEnd"/>
      <w:r w:rsidRPr="00E155C2">
        <w:rPr>
          <w:sz w:val="20"/>
          <w:szCs w:val="20"/>
        </w:rPr>
        <w:t xml:space="preserve">. In: PETERSON, Michael E.; KUTZLER, Michelle Anne (ed.). </w:t>
      </w:r>
      <w:proofErr w:type="spellStart"/>
      <w:r w:rsidRPr="00E155C2">
        <w:rPr>
          <w:sz w:val="20"/>
          <w:szCs w:val="20"/>
        </w:rPr>
        <w:t>Small</w:t>
      </w:r>
      <w:proofErr w:type="spellEnd"/>
      <w:r w:rsidRPr="00E155C2">
        <w:rPr>
          <w:sz w:val="20"/>
          <w:szCs w:val="20"/>
        </w:rPr>
        <w:t xml:space="preserve"> animal </w:t>
      </w:r>
      <w:proofErr w:type="spellStart"/>
      <w:r w:rsidRPr="00E155C2">
        <w:rPr>
          <w:sz w:val="20"/>
          <w:szCs w:val="20"/>
        </w:rPr>
        <w:t>pediatrics</w:t>
      </w:r>
      <w:proofErr w:type="spellEnd"/>
      <w:r w:rsidRPr="00E155C2">
        <w:rPr>
          <w:sz w:val="20"/>
          <w:szCs w:val="20"/>
        </w:rPr>
        <w:t xml:space="preserve">: </w:t>
      </w:r>
      <w:proofErr w:type="spellStart"/>
      <w:r w:rsidRPr="00E155C2">
        <w:rPr>
          <w:sz w:val="20"/>
          <w:szCs w:val="20"/>
        </w:rPr>
        <w:t>the</w:t>
      </w:r>
      <w:proofErr w:type="spellEnd"/>
      <w:r w:rsidRPr="00E155C2">
        <w:rPr>
          <w:sz w:val="20"/>
          <w:szCs w:val="20"/>
        </w:rPr>
        <w:t xml:space="preserve"> </w:t>
      </w:r>
      <w:proofErr w:type="spellStart"/>
      <w:r w:rsidRPr="00E155C2">
        <w:rPr>
          <w:sz w:val="20"/>
          <w:szCs w:val="20"/>
        </w:rPr>
        <w:t>first</w:t>
      </w:r>
      <w:proofErr w:type="spellEnd"/>
      <w:r w:rsidRPr="00E155C2">
        <w:rPr>
          <w:sz w:val="20"/>
          <w:szCs w:val="20"/>
        </w:rPr>
        <w:t xml:space="preserve"> 12 </w:t>
      </w:r>
      <w:proofErr w:type="spellStart"/>
      <w:r w:rsidRPr="00E155C2">
        <w:rPr>
          <w:sz w:val="20"/>
          <w:szCs w:val="20"/>
        </w:rPr>
        <w:t>months</w:t>
      </w:r>
      <w:proofErr w:type="spellEnd"/>
      <w:r w:rsidRPr="00E155C2">
        <w:rPr>
          <w:sz w:val="20"/>
          <w:szCs w:val="20"/>
        </w:rPr>
        <w:t xml:space="preserve"> </w:t>
      </w:r>
      <w:proofErr w:type="spellStart"/>
      <w:r w:rsidRPr="00E155C2">
        <w:rPr>
          <w:sz w:val="20"/>
          <w:szCs w:val="20"/>
        </w:rPr>
        <w:t>of</w:t>
      </w:r>
      <w:proofErr w:type="spellEnd"/>
      <w:r w:rsidRPr="00E155C2">
        <w:rPr>
          <w:sz w:val="20"/>
          <w:szCs w:val="20"/>
        </w:rPr>
        <w:t xml:space="preserve"> </w:t>
      </w:r>
      <w:proofErr w:type="spellStart"/>
      <w:r w:rsidRPr="00E155C2">
        <w:rPr>
          <w:sz w:val="20"/>
          <w:szCs w:val="20"/>
        </w:rPr>
        <w:t>life</w:t>
      </w:r>
      <w:proofErr w:type="spellEnd"/>
      <w:r w:rsidRPr="00E155C2">
        <w:rPr>
          <w:sz w:val="20"/>
          <w:szCs w:val="20"/>
        </w:rPr>
        <w:t>. St. Louis: Saunders Elsevier, 2011. p. 44-52. DOI: 10.1016/B978-1-4160-4889-3.00006-1.</w:t>
      </w:r>
    </w:p>
    <w:p w14:paraId="4D9F28C7" w14:textId="77777777" w:rsidR="00306BC1" w:rsidRPr="00E155C2" w:rsidRDefault="00306BC1" w:rsidP="00E155C2">
      <w:pPr>
        <w:spacing w:before="240" w:after="240"/>
        <w:rPr>
          <w:sz w:val="20"/>
          <w:szCs w:val="20"/>
        </w:rPr>
      </w:pPr>
      <w:r w:rsidRPr="00E155C2">
        <w:rPr>
          <w:sz w:val="20"/>
          <w:szCs w:val="20"/>
        </w:rPr>
        <w:t>GREGHI, Julia Rodrigues. Análise bioquímica do líquido amniótico e histopatologia da placenta como marcadores da viabilidade de neonatos caninos. 2023. 71 f. Dissertação (Mestrado em Ciência Animal) – Universidade Estadual de Londrina, Londrina, 2023.</w:t>
      </w:r>
    </w:p>
    <w:p w14:paraId="6DEC3E3F" w14:textId="77777777" w:rsidR="00306BC1" w:rsidRPr="00E155C2" w:rsidRDefault="00306BC1" w:rsidP="00E155C2">
      <w:pPr>
        <w:spacing w:before="240" w:after="240"/>
        <w:rPr>
          <w:sz w:val="20"/>
          <w:szCs w:val="20"/>
        </w:rPr>
      </w:pPr>
      <w:r w:rsidRPr="00E155C2">
        <w:rPr>
          <w:sz w:val="20"/>
          <w:szCs w:val="20"/>
        </w:rPr>
        <w:t>LANDIM-ALVARENGA, Fernanda da Cruz; PRESTES, Nereu Carlos; SANTOS, T. C. M. Manejo do neonato. In: PRESTES, Nereu Carlos; LANDIM-ALVARENGA, Fernanda da Cruz. Obstetrícia veterinária. Rio de Janeiro: Guanabara Koogan, 2017.</w:t>
      </w:r>
    </w:p>
    <w:p w14:paraId="1B1CDC91" w14:textId="77777777" w:rsidR="00306BC1" w:rsidRPr="00E155C2" w:rsidRDefault="00306BC1" w:rsidP="00E155C2">
      <w:pPr>
        <w:spacing w:before="240" w:after="240"/>
        <w:rPr>
          <w:sz w:val="20"/>
          <w:szCs w:val="20"/>
        </w:rPr>
      </w:pPr>
      <w:r w:rsidRPr="00E155C2">
        <w:rPr>
          <w:sz w:val="20"/>
          <w:szCs w:val="20"/>
        </w:rPr>
        <w:t>MACINTIRE, Douglass K.; DROBATZ, Kenneth J.; HASKINS, Steve C.; SAXON, William D. Emergência e cuidados intensivos em pequenos animais. Barueri: Manole, 2007.</w:t>
      </w:r>
    </w:p>
    <w:p w14:paraId="3D466CE2" w14:textId="77777777" w:rsidR="00306BC1" w:rsidRPr="00E155C2" w:rsidRDefault="00306BC1" w:rsidP="00E155C2">
      <w:pPr>
        <w:spacing w:before="240" w:after="240"/>
        <w:rPr>
          <w:sz w:val="20"/>
          <w:szCs w:val="20"/>
        </w:rPr>
      </w:pPr>
      <w:r w:rsidRPr="00E155C2">
        <w:rPr>
          <w:sz w:val="20"/>
          <w:szCs w:val="20"/>
        </w:rPr>
        <w:t xml:space="preserve">MCMICHAEL, Maureen A. </w:t>
      </w:r>
      <w:proofErr w:type="spellStart"/>
      <w:r w:rsidRPr="00E155C2">
        <w:rPr>
          <w:sz w:val="20"/>
          <w:szCs w:val="20"/>
        </w:rPr>
        <w:t>Emergency</w:t>
      </w:r>
      <w:proofErr w:type="spellEnd"/>
      <w:r w:rsidRPr="00E155C2">
        <w:rPr>
          <w:sz w:val="20"/>
          <w:szCs w:val="20"/>
        </w:rPr>
        <w:t xml:space="preserve"> </w:t>
      </w:r>
      <w:proofErr w:type="spellStart"/>
      <w:r w:rsidRPr="00E155C2">
        <w:rPr>
          <w:sz w:val="20"/>
          <w:szCs w:val="20"/>
        </w:rPr>
        <w:t>and</w:t>
      </w:r>
      <w:proofErr w:type="spellEnd"/>
      <w:r w:rsidRPr="00E155C2">
        <w:rPr>
          <w:sz w:val="20"/>
          <w:szCs w:val="20"/>
        </w:rPr>
        <w:t xml:space="preserve"> </w:t>
      </w:r>
      <w:proofErr w:type="spellStart"/>
      <w:r w:rsidRPr="00E155C2">
        <w:rPr>
          <w:sz w:val="20"/>
          <w:szCs w:val="20"/>
        </w:rPr>
        <w:t>critical</w:t>
      </w:r>
      <w:proofErr w:type="spellEnd"/>
      <w:r w:rsidRPr="00E155C2">
        <w:rPr>
          <w:sz w:val="20"/>
          <w:szCs w:val="20"/>
        </w:rPr>
        <w:t xml:space="preserve"> </w:t>
      </w:r>
      <w:proofErr w:type="spellStart"/>
      <w:r w:rsidRPr="00E155C2">
        <w:rPr>
          <w:sz w:val="20"/>
          <w:szCs w:val="20"/>
        </w:rPr>
        <w:t>care</w:t>
      </w:r>
      <w:proofErr w:type="spellEnd"/>
      <w:r w:rsidRPr="00E155C2">
        <w:rPr>
          <w:sz w:val="20"/>
          <w:szCs w:val="20"/>
        </w:rPr>
        <w:t xml:space="preserve"> </w:t>
      </w:r>
      <w:proofErr w:type="spellStart"/>
      <w:r w:rsidRPr="00E155C2">
        <w:rPr>
          <w:sz w:val="20"/>
          <w:szCs w:val="20"/>
        </w:rPr>
        <w:t>issues</w:t>
      </w:r>
      <w:proofErr w:type="spellEnd"/>
      <w:r w:rsidRPr="00E155C2">
        <w:rPr>
          <w:sz w:val="20"/>
          <w:szCs w:val="20"/>
        </w:rPr>
        <w:t xml:space="preserve">. In: PETERSON, Michael E.; KUTZLER, Michelle Anne (ed.). </w:t>
      </w:r>
      <w:proofErr w:type="spellStart"/>
      <w:r w:rsidRPr="00E155C2">
        <w:rPr>
          <w:sz w:val="20"/>
          <w:szCs w:val="20"/>
        </w:rPr>
        <w:t>Small</w:t>
      </w:r>
      <w:proofErr w:type="spellEnd"/>
      <w:r w:rsidRPr="00E155C2">
        <w:rPr>
          <w:sz w:val="20"/>
          <w:szCs w:val="20"/>
        </w:rPr>
        <w:t xml:space="preserve"> animal </w:t>
      </w:r>
      <w:proofErr w:type="spellStart"/>
      <w:r w:rsidRPr="00E155C2">
        <w:rPr>
          <w:sz w:val="20"/>
          <w:szCs w:val="20"/>
        </w:rPr>
        <w:t>pediatrics</w:t>
      </w:r>
      <w:proofErr w:type="spellEnd"/>
      <w:r w:rsidRPr="00E155C2">
        <w:rPr>
          <w:sz w:val="20"/>
          <w:szCs w:val="20"/>
        </w:rPr>
        <w:t xml:space="preserve">: </w:t>
      </w:r>
      <w:proofErr w:type="spellStart"/>
      <w:r w:rsidRPr="00E155C2">
        <w:rPr>
          <w:sz w:val="20"/>
          <w:szCs w:val="20"/>
        </w:rPr>
        <w:t>the</w:t>
      </w:r>
      <w:proofErr w:type="spellEnd"/>
      <w:r w:rsidRPr="00E155C2">
        <w:rPr>
          <w:sz w:val="20"/>
          <w:szCs w:val="20"/>
        </w:rPr>
        <w:t xml:space="preserve"> </w:t>
      </w:r>
      <w:proofErr w:type="spellStart"/>
      <w:r w:rsidRPr="00E155C2">
        <w:rPr>
          <w:sz w:val="20"/>
          <w:szCs w:val="20"/>
        </w:rPr>
        <w:t>first</w:t>
      </w:r>
      <w:proofErr w:type="spellEnd"/>
      <w:r w:rsidRPr="00E155C2">
        <w:rPr>
          <w:sz w:val="20"/>
          <w:szCs w:val="20"/>
        </w:rPr>
        <w:t xml:space="preserve"> 12 </w:t>
      </w:r>
      <w:proofErr w:type="spellStart"/>
      <w:r w:rsidRPr="00E155C2">
        <w:rPr>
          <w:sz w:val="20"/>
          <w:szCs w:val="20"/>
        </w:rPr>
        <w:t>months</w:t>
      </w:r>
      <w:proofErr w:type="spellEnd"/>
      <w:r w:rsidRPr="00E155C2">
        <w:rPr>
          <w:sz w:val="20"/>
          <w:szCs w:val="20"/>
        </w:rPr>
        <w:t xml:space="preserve"> </w:t>
      </w:r>
      <w:proofErr w:type="spellStart"/>
      <w:r w:rsidRPr="00E155C2">
        <w:rPr>
          <w:sz w:val="20"/>
          <w:szCs w:val="20"/>
        </w:rPr>
        <w:t>of</w:t>
      </w:r>
      <w:proofErr w:type="spellEnd"/>
      <w:r w:rsidRPr="00E155C2">
        <w:rPr>
          <w:sz w:val="20"/>
          <w:szCs w:val="20"/>
        </w:rPr>
        <w:t xml:space="preserve"> </w:t>
      </w:r>
      <w:proofErr w:type="spellStart"/>
      <w:r w:rsidRPr="00E155C2">
        <w:rPr>
          <w:sz w:val="20"/>
          <w:szCs w:val="20"/>
        </w:rPr>
        <w:t>life</w:t>
      </w:r>
      <w:proofErr w:type="spellEnd"/>
      <w:r w:rsidRPr="00E155C2">
        <w:rPr>
          <w:sz w:val="20"/>
          <w:szCs w:val="20"/>
        </w:rPr>
        <w:t>. St. Louis: Saunders Elsevier, 2011. p. 161-167.</w:t>
      </w:r>
    </w:p>
    <w:p w14:paraId="51CBFB82" w14:textId="77777777" w:rsidR="00306BC1" w:rsidRPr="00E155C2" w:rsidRDefault="00306BC1" w:rsidP="00E155C2">
      <w:pPr>
        <w:spacing w:before="240" w:after="240"/>
        <w:rPr>
          <w:sz w:val="20"/>
          <w:szCs w:val="20"/>
        </w:rPr>
      </w:pPr>
      <w:r w:rsidRPr="00E155C2">
        <w:rPr>
          <w:sz w:val="20"/>
          <w:szCs w:val="20"/>
        </w:rPr>
        <w:t xml:space="preserve">SAMPAIO, Amanda </w:t>
      </w:r>
      <w:proofErr w:type="spellStart"/>
      <w:r w:rsidRPr="00E155C2">
        <w:rPr>
          <w:sz w:val="20"/>
          <w:szCs w:val="20"/>
        </w:rPr>
        <w:t>Talys</w:t>
      </w:r>
      <w:proofErr w:type="spellEnd"/>
      <w:r w:rsidRPr="00E155C2">
        <w:rPr>
          <w:sz w:val="20"/>
          <w:szCs w:val="20"/>
        </w:rPr>
        <w:t xml:space="preserve">; CAZUNATTI, Augusto Robledo de Oliveira; ZUNDT, Marilice; CASTILHO, </w:t>
      </w:r>
      <w:proofErr w:type="spellStart"/>
      <w:r w:rsidRPr="00E155C2">
        <w:rPr>
          <w:sz w:val="20"/>
          <w:szCs w:val="20"/>
        </w:rPr>
        <w:t>Caliê</w:t>
      </w:r>
      <w:proofErr w:type="spellEnd"/>
      <w:r w:rsidRPr="00E155C2">
        <w:rPr>
          <w:sz w:val="20"/>
          <w:szCs w:val="20"/>
        </w:rPr>
        <w:t>. Mortalidade neonatal e distocia em cadela: breve revisão. Ensaios e Ciência: Ciências Biológicas, Agrárias e da Saúde, [S. l.], v. 28, n. 1, p. 60–64, 2024. DOI: 10.17921/1415-6938.2024v28n1p60-64.</w:t>
      </w:r>
    </w:p>
    <w:p w14:paraId="197C892A" w14:textId="77777777" w:rsidR="00306BC1" w:rsidRPr="00E155C2" w:rsidRDefault="00306BC1" w:rsidP="00E155C2">
      <w:pPr>
        <w:spacing w:before="240" w:after="240"/>
        <w:rPr>
          <w:sz w:val="20"/>
          <w:szCs w:val="20"/>
        </w:rPr>
      </w:pPr>
      <w:r w:rsidRPr="00E155C2">
        <w:rPr>
          <w:sz w:val="20"/>
          <w:szCs w:val="20"/>
        </w:rPr>
        <w:t xml:space="preserve">SILVA, Liege Cristina Garcia da; LÚCIO, Cristina Fátima; VEIGA, Gisele Aparecida Leite da; RODRIGUES, Jaqueline A.; VANNUCCHI, Camila </w:t>
      </w:r>
      <w:proofErr w:type="spellStart"/>
      <w:r w:rsidRPr="00E155C2">
        <w:rPr>
          <w:sz w:val="20"/>
          <w:szCs w:val="20"/>
        </w:rPr>
        <w:t>Infantosi</w:t>
      </w:r>
      <w:proofErr w:type="spellEnd"/>
      <w:r w:rsidRPr="00E155C2">
        <w:rPr>
          <w:sz w:val="20"/>
          <w:szCs w:val="20"/>
        </w:rPr>
        <w:t xml:space="preserve">. Avaliação clínica neonatal por escore </w:t>
      </w:r>
      <w:proofErr w:type="spellStart"/>
      <w:r w:rsidRPr="00E155C2">
        <w:rPr>
          <w:sz w:val="20"/>
          <w:szCs w:val="20"/>
        </w:rPr>
        <w:t>Apgar</w:t>
      </w:r>
      <w:proofErr w:type="spellEnd"/>
      <w:r w:rsidRPr="00E155C2">
        <w:rPr>
          <w:sz w:val="20"/>
          <w:szCs w:val="20"/>
        </w:rPr>
        <w:t xml:space="preserve"> e temperatura corpórea em diferentes condições obstétricas na espécie canina. Revista Portuguesa de Ciências Veterinárias, v. 103, n. 567/568, p. 165–170, 2008.</w:t>
      </w:r>
    </w:p>
    <w:p w14:paraId="59A6C90D" w14:textId="77777777" w:rsidR="00306BC1" w:rsidRPr="00E155C2" w:rsidRDefault="00306BC1" w:rsidP="00E155C2">
      <w:pPr>
        <w:spacing w:before="240" w:after="240"/>
        <w:rPr>
          <w:sz w:val="20"/>
          <w:szCs w:val="20"/>
        </w:rPr>
      </w:pPr>
      <w:r w:rsidRPr="00E155C2">
        <w:rPr>
          <w:sz w:val="20"/>
          <w:szCs w:val="20"/>
        </w:rPr>
        <w:t xml:space="preserve">SILVA, Liege Cristina Garcia da; SILVA, Letícia </w:t>
      </w:r>
      <w:proofErr w:type="spellStart"/>
      <w:r w:rsidRPr="00E155C2">
        <w:rPr>
          <w:sz w:val="20"/>
          <w:szCs w:val="20"/>
        </w:rPr>
        <w:t>Beliassi</w:t>
      </w:r>
      <w:proofErr w:type="spellEnd"/>
      <w:r w:rsidRPr="00E155C2">
        <w:rPr>
          <w:sz w:val="20"/>
          <w:szCs w:val="20"/>
        </w:rPr>
        <w:t xml:space="preserve"> Bezerra; POSE, Regina Albanese. Estudo do perfil reprodutivo e perinatal em canis comerciais brasileiros. Revista Brasileira de Reprodução Animal, Belo Horizonte, v. 49, n. 1, p. 146–158, 2025. DOI: 10.21451/1809-3000.RBRA2025.012</w:t>
      </w:r>
    </w:p>
    <w:p w14:paraId="6E7BEBC9" w14:textId="77777777" w:rsidR="00306BC1" w:rsidRPr="00E155C2" w:rsidRDefault="00306BC1" w:rsidP="00E155C2">
      <w:pPr>
        <w:spacing w:before="240" w:after="240"/>
        <w:rPr>
          <w:sz w:val="20"/>
          <w:szCs w:val="20"/>
        </w:rPr>
      </w:pPr>
      <w:r w:rsidRPr="00E155C2">
        <w:rPr>
          <w:sz w:val="20"/>
          <w:szCs w:val="20"/>
        </w:rPr>
        <w:t xml:space="preserve">SORRIBAS, Carlos E. Atlas de </w:t>
      </w:r>
      <w:proofErr w:type="spellStart"/>
      <w:r w:rsidRPr="00E155C2">
        <w:rPr>
          <w:sz w:val="20"/>
          <w:szCs w:val="20"/>
        </w:rPr>
        <w:t>neonatología</w:t>
      </w:r>
      <w:proofErr w:type="spellEnd"/>
      <w:r w:rsidRPr="00E155C2">
        <w:rPr>
          <w:sz w:val="20"/>
          <w:szCs w:val="20"/>
        </w:rPr>
        <w:t xml:space="preserve"> y </w:t>
      </w:r>
      <w:proofErr w:type="spellStart"/>
      <w:r w:rsidRPr="00E155C2">
        <w:rPr>
          <w:sz w:val="20"/>
          <w:szCs w:val="20"/>
        </w:rPr>
        <w:t>pediatría</w:t>
      </w:r>
      <w:proofErr w:type="spellEnd"/>
      <w:r w:rsidRPr="00E155C2">
        <w:rPr>
          <w:sz w:val="20"/>
          <w:szCs w:val="20"/>
        </w:rPr>
        <w:t xml:space="preserve"> </w:t>
      </w:r>
      <w:proofErr w:type="spellStart"/>
      <w:r w:rsidRPr="00E155C2">
        <w:rPr>
          <w:sz w:val="20"/>
          <w:szCs w:val="20"/>
        </w:rPr>
        <w:t>en</w:t>
      </w:r>
      <w:proofErr w:type="spellEnd"/>
      <w:r w:rsidRPr="00E155C2">
        <w:rPr>
          <w:sz w:val="20"/>
          <w:szCs w:val="20"/>
        </w:rPr>
        <w:t xml:space="preserve"> caninos. Buenos Aires: </w:t>
      </w:r>
      <w:proofErr w:type="spellStart"/>
      <w:r w:rsidRPr="00E155C2">
        <w:rPr>
          <w:sz w:val="20"/>
          <w:szCs w:val="20"/>
        </w:rPr>
        <w:t>Inter-Médica</w:t>
      </w:r>
      <w:proofErr w:type="spellEnd"/>
      <w:r w:rsidRPr="00E155C2">
        <w:rPr>
          <w:sz w:val="20"/>
          <w:szCs w:val="20"/>
        </w:rPr>
        <w:t>, 2007.</w:t>
      </w:r>
    </w:p>
    <w:p w14:paraId="231165B9" w14:textId="77777777" w:rsidR="00306BC1" w:rsidRPr="00E155C2" w:rsidRDefault="00306BC1" w:rsidP="00E155C2">
      <w:pPr>
        <w:spacing w:before="240" w:after="240"/>
        <w:rPr>
          <w:sz w:val="20"/>
          <w:szCs w:val="20"/>
        </w:rPr>
      </w:pPr>
      <w:r w:rsidRPr="00E155C2">
        <w:rPr>
          <w:sz w:val="20"/>
          <w:szCs w:val="20"/>
        </w:rPr>
        <w:t xml:space="preserve">TØNNESSEN, </w:t>
      </w:r>
      <w:proofErr w:type="spellStart"/>
      <w:r w:rsidRPr="00E155C2">
        <w:rPr>
          <w:sz w:val="20"/>
          <w:szCs w:val="20"/>
        </w:rPr>
        <w:t>Ragnhild</w:t>
      </w:r>
      <w:proofErr w:type="spellEnd"/>
      <w:r w:rsidRPr="00E155C2">
        <w:rPr>
          <w:sz w:val="20"/>
          <w:szCs w:val="20"/>
        </w:rPr>
        <w:t xml:space="preserve">; BORGE, Kaja </w:t>
      </w:r>
      <w:proofErr w:type="spellStart"/>
      <w:r w:rsidRPr="00E155C2">
        <w:rPr>
          <w:sz w:val="20"/>
          <w:szCs w:val="20"/>
        </w:rPr>
        <w:t>Sverdrup</w:t>
      </w:r>
      <w:proofErr w:type="spellEnd"/>
      <w:r w:rsidRPr="00E155C2">
        <w:rPr>
          <w:sz w:val="20"/>
          <w:szCs w:val="20"/>
        </w:rPr>
        <w:t xml:space="preserve">; NØDTVEDT, Ane; INDREBØ, Astrid. </w:t>
      </w:r>
      <w:proofErr w:type="spellStart"/>
      <w:r w:rsidRPr="00E155C2">
        <w:rPr>
          <w:sz w:val="20"/>
          <w:szCs w:val="20"/>
        </w:rPr>
        <w:t>Canine</w:t>
      </w:r>
      <w:proofErr w:type="spellEnd"/>
      <w:r w:rsidRPr="00E155C2">
        <w:rPr>
          <w:sz w:val="20"/>
          <w:szCs w:val="20"/>
        </w:rPr>
        <w:t xml:space="preserve"> perinatal </w:t>
      </w:r>
      <w:proofErr w:type="spellStart"/>
      <w:r w:rsidRPr="00E155C2">
        <w:rPr>
          <w:sz w:val="20"/>
          <w:szCs w:val="20"/>
        </w:rPr>
        <w:t>mortality</w:t>
      </w:r>
      <w:proofErr w:type="spellEnd"/>
      <w:r w:rsidRPr="00E155C2">
        <w:rPr>
          <w:sz w:val="20"/>
          <w:szCs w:val="20"/>
        </w:rPr>
        <w:t xml:space="preserve">: a </w:t>
      </w:r>
      <w:proofErr w:type="spellStart"/>
      <w:r w:rsidRPr="00E155C2">
        <w:rPr>
          <w:sz w:val="20"/>
          <w:szCs w:val="20"/>
        </w:rPr>
        <w:t>cohort</w:t>
      </w:r>
      <w:proofErr w:type="spellEnd"/>
      <w:r w:rsidRPr="00E155C2">
        <w:rPr>
          <w:sz w:val="20"/>
          <w:szCs w:val="20"/>
        </w:rPr>
        <w:t xml:space="preserve"> </w:t>
      </w:r>
      <w:proofErr w:type="spellStart"/>
      <w:r w:rsidRPr="00E155C2">
        <w:rPr>
          <w:sz w:val="20"/>
          <w:szCs w:val="20"/>
        </w:rPr>
        <w:t>study</w:t>
      </w:r>
      <w:proofErr w:type="spellEnd"/>
      <w:r w:rsidRPr="00E155C2">
        <w:rPr>
          <w:sz w:val="20"/>
          <w:szCs w:val="20"/>
        </w:rPr>
        <w:t xml:space="preserve"> </w:t>
      </w:r>
      <w:proofErr w:type="spellStart"/>
      <w:r w:rsidRPr="00E155C2">
        <w:rPr>
          <w:sz w:val="20"/>
          <w:szCs w:val="20"/>
        </w:rPr>
        <w:t>of</w:t>
      </w:r>
      <w:proofErr w:type="spellEnd"/>
      <w:r w:rsidRPr="00E155C2">
        <w:rPr>
          <w:sz w:val="20"/>
          <w:szCs w:val="20"/>
        </w:rPr>
        <w:t xml:space="preserve"> 224 </w:t>
      </w:r>
      <w:proofErr w:type="spellStart"/>
      <w:r w:rsidRPr="00E155C2">
        <w:rPr>
          <w:sz w:val="20"/>
          <w:szCs w:val="20"/>
        </w:rPr>
        <w:t>breeds</w:t>
      </w:r>
      <w:proofErr w:type="spellEnd"/>
      <w:r w:rsidRPr="00E155C2">
        <w:rPr>
          <w:sz w:val="20"/>
          <w:szCs w:val="20"/>
        </w:rPr>
        <w:t xml:space="preserve">. </w:t>
      </w:r>
      <w:proofErr w:type="spellStart"/>
      <w:r w:rsidRPr="00E155C2">
        <w:rPr>
          <w:sz w:val="20"/>
          <w:szCs w:val="20"/>
        </w:rPr>
        <w:t>Theriogenology</w:t>
      </w:r>
      <w:proofErr w:type="spellEnd"/>
      <w:r w:rsidRPr="00E155C2">
        <w:rPr>
          <w:sz w:val="20"/>
          <w:szCs w:val="20"/>
        </w:rPr>
        <w:t>, v. 77, n. 9, p. 1788-1801, 2012.</w:t>
      </w:r>
    </w:p>
    <w:p w14:paraId="6D782CAA" w14:textId="77777777" w:rsidR="00306BC1" w:rsidRPr="00E155C2" w:rsidRDefault="00306BC1" w:rsidP="00E155C2">
      <w:pPr>
        <w:spacing w:before="240" w:after="240"/>
        <w:rPr>
          <w:sz w:val="20"/>
          <w:szCs w:val="20"/>
        </w:rPr>
      </w:pPr>
      <w:r w:rsidRPr="00E155C2">
        <w:rPr>
          <w:sz w:val="20"/>
          <w:szCs w:val="20"/>
        </w:rPr>
        <w:t xml:space="preserve">VANNUCCHI, Camila </w:t>
      </w:r>
      <w:proofErr w:type="spellStart"/>
      <w:r w:rsidRPr="00E155C2">
        <w:rPr>
          <w:sz w:val="20"/>
          <w:szCs w:val="20"/>
        </w:rPr>
        <w:t>Infantosi</w:t>
      </w:r>
      <w:proofErr w:type="spellEnd"/>
      <w:r w:rsidRPr="00E155C2">
        <w:rPr>
          <w:sz w:val="20"/>
          <w:szCs w:val="20"/>
        </w:rPr>
        <w:t>. Período neonatal em cães: a importância dos aspectos imunológicos e nutricionais na sua sobrevivência. Revista Brasileira de Reprodução Animal, Belo Horizonte, v. 46, n. 4, p. 356–359, 2022. DOI: 10.21451/1809-3000.RBRA2022.028.</w:t>
      </w:r>
    </w:p>
    <w:p w14:paraId="36567A62" w14:textId="77777777" w:rsidR="00306BC1" w:rsidRPr="00E155C2" w:rsidRDefault="00306BC1" w:rsidP="00E155C2">
      <w:pPr>
        <w:spacing w:before="240" w:after="240"/>
        <w:rPr>
          <w:sz w:val="20"/>
          <w:szCs w:val="20"/>
        </w:rPr>
      </w:pPr>
      <w:r w:rsidRPr="00E155C2">
        <w:rPr>
          <w:sz w:val="20"/>
          <w:szCs w:val="20"/>
        </w:rPr>
        <w:t xml:space="preserve">VANNUCCHI, Camila </w:t>
      </w:r>
      <w:proofErr w:type="spellStart"/>
      <w:r w:rsidRPr="00E155C2">
        <w:rPr>
          <w:sz w:val="20"/>
          <w:szCs w:val="20"/>
        </w:rPr>
        <w:t>Infantosi</w:t>
      </w:r>
      <w:proofErr w:type="spellEnd"/>
      <w:r w:rsidRPr="00E155C2">
        <w:rPr>
          <w:sz w:val="20"/>
          <w:szCs w:val="20"/>
        </w:rPr>
        <w:t>. Reposição de colostro no neonato: o que, quando e como administrar? Revista Brasileira de Reprodução Animal, Belo Horizonte, v. 46, n. 4, p. 360-363, 2022. DOI: 10.21451/1809-3000.RBRA2022.029.</w:t>
      </w:r>
    </w:p>
    <w:p w14:paraId="2EA1C88F" w14:textId="77777777" w:rsidR="00306BC1" w:rsidRPr="00E155C2" w:rsidRDefault="00306BC1" w:rsidP="00E155C2">
      <w:pPr>
        <w:spacing w:before="240" w:after="240"/>
        <w:rPr>
          <w:sz w:val="20"/>
          <w:szCs w:val="20"/>
        </w:rPr>
      </w:pPr>
      <w:r w:rsidRPr="00E155C2">
        <w:rPr>
          <w:sz w:val="20"/>
          <w:szCs w:val="20"/>
        </w:rPr>
        <w:t xml:space="preserve">VANNUCCHI, Camila </w:t>
      </w:r>
      <w:proofErr w:type="spellStart"/>
      <w:r w:rsidRPr="00E155C2">
        <w:rPr>
          <w:sz w:val="20"/>
          <w:szCs w:val="20"/>
        </w:rPr>
        <w:t>Infantosi</w:t>
      </w:r>
      <w:proofErr w:type="spellEnd"/>
      <w:r w:rsidRPr="00E155C2">
        <w:rPr>
          <w:sz w:val="20"/>
          <w:szCs w:val="20"/>
        </w:rPr>
        <w:t>; ABREU, Renata de Azevedo. Cuidados básicos e intensivos com o neonato canino. Revista Brasileira de Reprodução Animal, Belo Horizonte, v. 41, n. 1, p. 151–156, 2017.</w:t>
      </w:r>
    </w:p>
    <w:p w14:paraId="0F97F051" w14:textId="77777777" w:rsidR="00306BC1" w:rsidRPr="00E155C2" w:rsidRDefault="00306BC1" w:rsidP="00E155C2">
      <w:pPr>
        <w:spacing w:before="240" w:after="240"/>
        <w:rPr>
          <w:sz w:val="20"/>
          <w:szCs w:val="20"/>
        </w:rPr>
      </w:pPr>
      <w:r w:rsidRPr="00E155C2">
        <w:rPr>
          <w:sz w:val="20"/>
          <w:szCs w:val="20"/>
        </w:rPr>
        <w:t xml:space="preserve">VASSALO, Fernanda G.; SILVA, L. P. </w:t>
      </w:r>
      <w:proofErr w:type="spellStart"/>
      <w:r w:rsidRPr="00E155C2">
        <w:rPr>
          <w:sz w:val="20"/>
          <w:szCs w:val="20"/>
        </w:rPr>
        <w:t>da</w:t>
      </w:r>
      <w:proofErr w:type="spellEnd"/>
      <w:r w:rsidRPr="00E155C2">
        <w:rPr>
          <w:sz w:val="20"/>
          <w:szCs w:val="20"/>
        </w:rPr>
        <w:t xml:space="preserve">; LOURENÇO, Maria Lúcia Gomes; CHIACCHIO, Simone Biagio. </w:t>
      </w:r>
      <w:proofErr w:type="spellStart"/>
      <w:r w:rsidRPr="00E155C2">
        <w:rPr>
          <w:sz w:val="20"/>
          <w:szCs w:val="20"/>
        </w:rPr>
        <w:t>Apgar</w:t>
      </w:r>
      <w:proofErr w:type="spellEnd"/>
      <w:r w:rsidRPr="00E155C2">
        <w:rPr>
          <w:sz w:val="20"/>
          <w:szCs w:val="20"/>
        </w:rPr>
        <w:t xml:space="preserve">, V. A </w:t>
      </w:r>
      <w:proofErr w:type="spellStart"/>
      <w:r w:rsidRPr="00E155C2">
        <w:rPr>
          <w:sz w:val="20"/>
          <w:szCs w:val="20"/>
        </w:rPr>
        <w:t>proposal</w:t>
      </w:r>
      <w:proofErr w:type="spellEnd"/>
      <w:r w:rsidRPr="00E155C2">
        <w:rPr>
          <w:sz w:val="20"/>
          <w:szCs w:val="20"/>
        </w:rPr>
        <w:t xml:space="preserve"> for a new </w:t>
      </w:r>
      <w:proofErr w:type="spellStart"/>
      <w:r w:rsidRPr="00E155C2">
        <w:rPr>
          <w:sz w:val="20"/>
          <w:szCs w:val="20"/>
        </w:rPr>
        <w:t>method</w:t>
      </w:r>
      <w:proofErr w:type="spellEnd"/>
      <w:r w:rsidRPr="00E155C2">
        <w:rPr>
          <w:sz w:val="20"/>
          <w:szCs w:val="20"/>
        </w:rPr>
        <w:t xml:space="preserve"> </w:t>
      </w:r>
      <w:proofErr w:type="spellStart"/>
      <w:r w:rsidRPr="00E155C2">
        <w:rPr>
          <w:sz w:val="20"/>
          <w:szCs w:val="20"/>
        </w:rPr>
        <w:t>of</w:t>
      </w:r>
      <w:proofErr w:type="spellEnd"/>
      <w:r w:rsidRPr="00E155C2">
        <w:rPr>
          <w:sz w:val="20"/>
          <w:szCs w:val="20"/>
        </w:rPr>
        <w:t xml:space="preserve"> </w:t>
      </w:r>
      <w:proofErr w:type="spellStart"/>
      <w:r w:rsidRPr="00E155C2">
        <w:rPr>
          <w:sz w:val="20"/>
          <w:szCs w:val="20"/>
        </w:rPr>
        <w:t>evaluation</w:t>
      </w:r>
      <w:proofErr w:type="spellEnd"/>
      <w:r w:rsidRPr="00E155C2">
        <w:rPr>
          <w:sz w:val="20"/>
          <w:szCs w:val="20"/>
        </w:rPr>
        <w:t xml:space="preserve"> </w:t>
      </w:r>
      <w:proofErr w:type="spellStart"/>
      <w:r w:rsidRPr="00E155C2">
        <w:rPr>
          <w:sz w:val="20"/>
          <w:szCs w:val="20"/>
        </w:rPr>
        <w:t>of</w:t>
      </w:r>
      <w:proofErr w:type="spellEnd"/>
      <w:r w:rsidRPr="00E155C2">
        <w:rPr>
          <w:sz w:val="20"/>
          <w:szCs w:val="20"/>
        </w:rPr>
        <w:t xml:space="preserve"> </w:t>
      </w:r>
      <w:proofErr w:type="spellStart"/>
      <w:r w:rsidRPr="00E155C2">
        <w:rPr>
          <w:sz w:val="20"/>
          <w:szCs w:val="20"/>
        </w:rPr>
        <w:t>the</w:t>
      </w:r>
      <w:proofErr w:type="spellEnd"/>
      <w:r w:rsidRPr="00E155C2">
        <w:rPr>
          <w:sz w:val="20"/>
          <w:szCs w:val="20"/>
        </w:rPr>
        <w:t xml:space="preserve"> </w:t>
      </w:r>
      <w:proofErr w:type="spellStart"/>
      <w:r w:rsidRPr="00E155C2">
        <w:rPr>
          <w:sz w:val="20"/>
          <w:szCs w:val="20"/>
        </w:rPr>
        <w:t>newborn</w:t>
      </w:r>
      <w:proofErr w:type="spellEnd"/>
      <w:r w:rsidRPr="00E155C2">
        <w:rPr>
          <w:sz w:val="20"/>
          <w:szCs w:val="20"/>
        </w:rPr>
        <w:t xml:space="preserve"> infant. Revista Brasileira de Reprodução Animal, </w:t>
      </w:r>
      <w:proofErr w:type="spellStart"/>
      <w:r w:rsidRPr="00E155C2">
        <w:rPr>
          <w:sz w:val="20"/>
          <w:szCs w:val="20"/>
        </w:rPr>
        <w:t>Current</w:t>
      </w:r>
      <w:proofErr w:type="spellEnd"/>
      <w:r w:rsidRPr="00E155C2">
        <w:rPr>
          <w:sz w:val="20"/>
          <w:szCs w:val="20"/>
        </w:rPr>
        <w:t xml:space="preserve"> Reports, p. 260-267, 2005.</w:t>
      </w:r>
    </w:p>
    <w:p w14:paraId="3AE81B40" w14:textId="4EA4D8D7" w:rsidR="00C91E22" w:rsidRPr="00E155C2" w:rsidRDefault="00306BC1" w:rsidP="00E155C2">
      <w:pPr>
        <w:spacing w:before="240" w:after="240"/>
        <w:rPr>
          <w:sz w:val="20"/>
          <w:szCs w:val="20"/>
        </w:rPr>
      </w:pPr>
      <w:r w:rsidRPr="00E155C2">
        <w:rPr>
          <w:sz w:val="20"/>
          <w:szCs w:val="20"/>
        </w:rPr>
        <w:t xml:space="preserve">VEZZALI, Beatriz Souza; PRADO, Aline </w:t>
      </w:r>
      <w:proofErr w:type="spellStart"/>
      <w:r w:rsidRPr="00E155C2">
        <w:rPr>
          <w:sz w:val="20"/>
          <w:szCs w:val="20"/>
        </w:rPr>
        <w:t>Ambrogi</w:t>
      </w:r>
      <w:proofErr w:type="spellEnd"/>
      <w:r w:rsidRPr="00E155C2">
        <w:rPr>
          <w:sz w:val="20"/>
          <w:szCs w:val="20"/>
        </w:rPr>
        <w:t xml:space="preserve"> Franco; OCTAVIANO, Juliana Izzo. Neonatologia canina: manejo e particularidades fisiológicas. PUBVET, [S. l.], v. 15, n. 7, a867, p. 1-15, 2021. DOI: 10.31533/</w:t>
      </w:r>
      <w:proofErr w:type="gramStart"/>
      <w:r w:rsidRPr="00E155C2">
        <w:rPr>
          <w:sz w:val="20"/>
          <w:szCs w:val="20"/>
        </w:rPr>
        <w:t>pubvet.v</w:t>
      </w:r>
      <w:proofErr w:type="gramEnd"/>
      <w:r w:rsidRPr="00E155C2">
        <w:rPr>
          <w:sz w:val="20"/>
          <w:szCs w:val="20"/>
        </w:rPr>
        <w:t>15n07a867.1-15.</w:t>
      </w:r>
    </w:p>
    <w:sectPr w:rsidR="00C91E22" w:rsidRPr="00E155C2" w:rsidSect="002E5F94">
      <w:headerReference w:type="default" r:id="rId14"/>
      <w:footerReference w:type="default" r:id="rId15"/>
      <w:pgSz w:w="11906" w:h="16840"/>
      <w:pgMar w:top="2268" w:right="1134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22C9D" w14:textId="77777777" w:rsidR="00CD14C6" w:rsidRDefault="00CD14C6">
      <w:r>
        <w:separator/>
      </w:r>
    </w:p>
  </w:endnote>
  <w:endnote w:type="continuationSeparator" w:id="0">
    <w:p w14:paraId="006CEF20" w14:textId="77777777" w:rsidR="00CD14C6" w:rsidRDefault="00CD1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86496EC-2D01-4DC7-B1E8-79A67F7E561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42A6E820-7075-427F-8AC4-3157B00E5DDD}"/>
    <w:embedBold r:id="rId3" w:fontKey="{BFE73E74-81E9-434E-BF31-59D2BF7950D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7D208D91-F44C-4C08-BE07-B684AB65030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15BD6" w14:textId="77777777" w:rsidR="00C91E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3DD7D0C3" wp14:editId="1B708B01">
          <wp:simplePos x="0" y="0"/>
          <wp:positionH relativeFrom="column">
            <wp:posOffset>-161924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07D0CDC" w14:textId="77777777" w:rsidR="00C91E22" w:rsidRDefault="00C91E2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08635853" w14:textId="77777777" w:rsidR="00C91E22" w:rsidRDefault="00C91E2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C9B4D" w14:textId="77777777" w:rsidR="00CD14C6" w:rsidRDefault="00CD14C6">
      <w:r>
        <w:separator/>
      </w:r>
    </w:p>
  </w:footnote>
  <w:footnote w:type="continuationSeparator" w:id="0">
    <w:p w14:paraId="5E3A5860" w14:textId="77777777" w:rsidR="00CD14C6" w:rsidRDefault="00CD14C6">
      <w:r>
        <w:continuationSeparator/>
      </w:r>
    </w:p>
  </w:footnote>
  <w:footnote w:id="1">
    <w:p w14:paraId="479167C0" w14:textId="52DCEFFF" w:rsidR="00C91E22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Graduando em </w:t>
      </w:r>
      <w:r w:rsidR="00381ED7">
        <w:rPr>
          <w:color w:val="000000"/>
          <w:sz w:val="20"/>
          <w:szCs w:val="20"/>
        </w:rPr>
        <w:t>Bacharelado em Medicina Veterinária</w:t>
      </w:r>
      <w:r>
        <w:rPr>
          <w:color w:val="000000"/>
          <w:sz w:val="20"/>
          <w:szCs w:val="20"/>
        </w:rPr>
        <w:t xml:space="preserve"> – Centro Universitário </w:t>
      </w:r>
      <w:proofErr w:type="spellStart"/>
      <w:r w:rsidR="00381ED7">
        <w:rPr>
          <w:color w:val="000000"/>
          <w:sz w:val="20"/>
          <w:szCs w:val="20"/>
        </w:rPr>
        <w:t>UNI</w:t>
      </w:r>
      <w:r>
        <w:rPr>
          <w:color w:val="000000"/>
          <w:sz w:val="20"/>
          <w:szCs w:val="20"/>
        </w:rPr>
        <w:t>Chrisfapi</w:t>
      </w:r>
      <w:proofErr w:type="spellEnd"/>
      <w:r>
        <w:rPr>
          <w:color w:val="000000"/>
          <w:sz w:val="20"/>
          <w:szCs w:val="20"/>
        </w:rPr>
        <w:t>.</w:t>
      </w:r>
    </w:p>
    <w:p w14:paraId="279D5589" w14:textId="14C00835" w:rsidR="00381ED7" w:rsidRPr="00381ED7" w:rsidRDefault="00381ED7" w:rsidP="00381ED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²</w:t>
      </w:r>
      <w:r w:rsidRPr="00381ED7">
        <w:t xml:space="preserve"> </w:t>
      </w:r>
      <w:r w:rsidRPr="00381ED7">
        <w:rPr>
          <w:color w:val="000000"/>
          <w:sz w:val="20"/>
          <w:szCs w:val="20"/>
        </w:rPr>
        <w:t xml:space="preserve">Médico Veterinário - UFPI. Mestre em Ciência Animal </w:t>
      </w:r>
      <w:proofErr w:type="gramStart"/>
      <w:r w:rsidRPr="00381ED7">
        <w:rPr>
          <w:color w:val="000000"/>
          <w:sz w:val="20"/>
          <w:szCs w:val="20"/>
        </w:rPr>
        <w:t>-  UFPI</w:t>
      </w:r>
      <w:proofErr w:type="gramEnd"/>
      <w:r w:rsidRPr="00381ED7">
        <w:rPr>
          <w:color w:val="000000"/>
          <w:sz w:val="20"/>
          <w:szCs w:val="20"/>
        </w:rPr>
        <w:t>.</w:t>
      </w:r>
    </w:p>
    <w:p w14:paraId="0D137B36" w14:textId="59E72D41" w:rsidR="00381ED7" w:rsidRDefault="00381ED7" w:rsidP="00381ED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 w:rsidRPr="00381ED7">
        <w:rPr>
          <w:color w:val="000000"/>
          <w:sz w:val="20"/>
          <w:szCs w:val="20"/>
        </w:rPr>
        <w:t>Docente do curso de Medicina Veterinária do Centro Universitário UNICHRISFAPI.</w:t>
      </w:r>
    </w:p>
    <w:p w14:paraId="4733798B" w14:textId="77777777" w:rsidR="00436385" w:rsidRDefault="00381ED7" w:rsidP="00381ED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³ </w:t>
      </w:r>
      <w:r w:rsidRPr="00381ED7">
        <w:rPr>
          <w:color w:val="000000"/>
          <w:sz w:val="20"/>
          <w:szCs w:val="20"/>
        </w:rPr>
        <w:t xml:space="preserve">Médica veterinária pela Universidade Federal do Piauí-UFPI. </w:t>
      </w:r>
    </w:p>
    <w:p w14:paraId="0CCB1B4C" w14:textId="22DAE395" w:rsidR="00381ED7" w:rsidRDefault="00381ED7" w:rsidP="00381ED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 w:rsidRPr="00381ED7">
        <w:rPr>
          <w:color w:val="000000"/>
          <w:sz w:val="20"/>
          <w:szCs w:val="20"/>
        </w:rPr>
        <w:t xml:space="preserve">Especialista em clínica médica e cirúrgica de pequenos animais, pela FACULDADE QUALITTAS. Docente do curso de Bacharelado em Medicina Veterinária </w:t>
      </w:r>
      <w:proofErr w:type="spellStart"/>
      <w:r w:rsidRPr="00381ED7">
        <w:rPr>
          <w:color w:val="000000"/>
          <w:sz w:val="20"/>
          <w:szCs w:val="20"/>
        </w:rPr>
        <w:t>Christus</w:t>
      </w:r>
      <w:proofErr w:type="spellEnd"/>
      <w:r w:rsidRPr="00381ED7">
        <w:rPr>
          <w:color w:val="000000"/>
          <w:sz w:val="20"/>
          <w:szCs w:val="20"/>
        </w:rPr>
        <w:t xml:space="preserve"> Faculdade do Piauí.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A8818" w14:textId="77777777" w:rsidR="00C91E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172ED579" wp14:editId="7AC049B0">
          <wp:simplePos x="0" y="0"/>
          <wp:positionH relativeFrom="column">
            <wp:posOffset>-1076324</wp:posOffset>
          </wp:positionH>
          <wp:positionV relativeFrom="paragraph">
            <wp:posOffset>-449579</wp:posOffset>
          </wp:positionV>
          <wp:extent cx="7573328" cy="140017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E22"/>
    <w:rsid w:val="001E15BE"/>
    <w:rsid w:val="002D56FE"/>
    <w:rsid w:val="002E5F94"/>
    <w:rsid w:val="00306BC1"/>
    <w:rsid w:val="00381ED7"/>
    <w:rsid w:val="00436385"/>
    <w:rsid w:val="00511168"/>
    <w:rsid w:val="00530289"/>
    <w:rsid w:val="005F6257"/>
    <w:rsid w:val="00647FCF"/>
    <w:rsid w:val="00651737"/>
    <w:rsid w:val="00694669"/>
    <w:rsid w:val="007336BB"/>
    <w:rsid w:val="007E02A2"/>
    <w:rsid w:val="00932D6A"/>
    <w:rsid w:val="00AD6DB2"/>
    <w:rsid w:val="00AE2547"/>
    <w:rsid w:val="00C250A4"/>
    <w:rsid w:val="00C91E22"/>
    <w:rsid w:val="00CD14C6"/>
    <w:rsid w:val="00CF37F3"/>
    <w:rsid w:val="00DA053F"/>
    <w:rsid w:val="00E00A55"/>
    <w:rsid w:val="00E155C2"/>
    <w:rsid w:val="00E2106E"/>
    <w:rsid w:val="00EE5E64"/>
    <w:rsid w:val="00F41A78"/>
    <w:rsid w:val="00F73418"/>
    <w:rsid w:val="00FD0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34827"/>
  <w15:docId w15:val="{5F0008C6-7EBA-4BBE-A9D8-7EFE4FBBC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511168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111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10</Pages>
  <Words>3349</Words>
  <Characters>18086</Characters>
  <Application>Microsoft Office Word</Application>
  <DocSecurity>0</DocSecurity>
  <Lines>150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joniel Meneses</dc:creator>
  <cp:lastModifiedBy>joniel Meneses</cp:lastModifiedBy>
  <cp:revision>5</cp:revision>
  <dcterms:created xsi:type="dcterms:W3CDTF">2026-09-07T20:35:00Z</dcterms:created>
  <dcterms:modified xsi:type="dcterms:W3CDTF">2026-09-09T22:09:00Z</dcterms:modified>
</cp:coreProperties>
</file>