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B5B" w:rsidRDefault="00672B5B" w:rsidP="001464D5">
      <w:pPr>
        <w:jc w:val="center"/>
        <w:rPr>
          <w:b/>
        </w:rPr>
      </w:pPr>
    </w:p>
    <w:p w:rsidR="005F20E5" w:rsidRDefault="005C7124" w:rsidP="001464D5">
      <w:pPr>
        <w:jc w:val="center"/>
        <w:rPr>
          <w:b/>
          <w:sz w:val="28"/>
          <w:szCs w:val="28"/>
        </w:rPr>
      </w:pPr>
      <w:r>
        <w:rPr>
          <w:b/>
          <w:sz w:val="28"/>
          <w:szCs w:val="28"/>
        </w:rPr>
        <w:t xml:space="preserve">A </w:t>
      </w:r>
      <w:r w:rsidR="005F20E5" w:rsidRPr="001464D5">
        <w:rPr>
          <w:b/>
          <w:sz w:val="28"/>
          <w:szCs w:val="28"/>
        </w:rPr>
        <w:t>VALORAÇÃO DOS DEPOIMENTOS POLICIAIS</w:t>
      </w:r>
      <w:r>
        <w:rPr>
          <w:b/>
          <w:sz w:val="28"/>
          <w:szCs w:val="28"/>
        </w:rPr>
        <w:t xml:space="preserve"> NOS PROCESSOS DE TRÁFICO DE ENTORPECENTES</w:t>
      </w:r>
    </w:p>
    <w:p w:rsidR="00495845" w:rsidRPr="001464D5" w:rsidRDefault="00495845" w:rsidP="001464D5">
      <w:pPr>
        <w:jc w:val="center"/>
        <w:rPr>
          <w:b/>
          <w:sz w:val="28"/>
          <w:szCs w:val="28"/>
        </w:rPr>
      </w:pPr>
    </w:p>
    <w:p w:rsidR="00495845" w:rsidRDefault="00495845" w:rsidP="00495845">
      <w:pPr>
        <w:jc w:val="right"/>
      </w:pPr>
      <w:r>
        <w:t>Gustavo Silva Arantes</w:t>
      </w:r>
      <w:r>
        <w:rPr>
          <w:rStyle w:val="Refdenotaderodap"/>
        </w:rPr>
        <w:footnoteReference w:id="1"/>
      </w:r>
    </w:p>
    <w:p w:rsidR="00495845" w:rsidRDefault="00495845" w:rsidP="00495845">
      <w:pPr>
        <w:jc w:val="right"/>
      </w:pPr>
      <w:r>
        <w:t xml:space="preserve">                                                                                                       </w:t>
      </w:r>
      <w:proofErr w:type="spellStart"/>
      <w:r>
        <w:t>Thainá</w:t>
      </w:r>
      <w:proofErr w:type="spellEnd"/>
      <w:r>
        <w:t xml:space="preserve"> Cecília Lima</w:t>
      </w:r>
      <w:r>
        <w:rPr>
          <w:rStyle w:val="Refdenotaderodap"/>
        </w:rPr>
        <w:footnoteReference w:id="2"/>
      </w:r>
    </w:p>
    <w:p w:rsidR="00495845" w:rsidRPr="009748DF" w:rsidRDefault="005C7124" w:rsidP="00495845">
      <w:pPr>
        <w:jc w:val="right"/>
        <w:rPr>
          <w:b/>
        </w:rPr>
      </w:pPr>
      <w:r w:rsidRPr="00304F21">
        <w:t>Orientadora:</w:t>
      </w:r>
      <w:r>
        <w:t xml:space="preserve"> </w:t>
      </w:r>
      <w:proofErr w:type="spellStart"/>
      <w:r w:rsidR="00495845">
        <w:t>Nathália</w:t>
      </w:r>
      <w:proofErr w:type="spellEnd"/>
      <w:r w:rsidR="00495845">
        <w:t xml:space="preserve"> de Morais </w:t>
      </w:r>
      <w:proofErr w:type="spellStart"/>
      <w:r w:rsidR="00495845">
        <w:t>Coscrato</w:t>
      </w:r>
      <w:proofErr w:type="spellEnd"/>
      <w:r w:rsidR="00495845" w:rsidRPr="009748DF">
        <w:rPr>
          <w:rStyle w:val="Refdenotaderodap"/>
        </w:rPr>
        <w:footnoteReference w:id="3"/>
      </w:r>
    </w:p>
    <w:p w:rsidR="007D0B82" w:rsidRPr="009748DF" w:rsidRDefault="007D0B82" w:rsidP="001464D5">
      <w:pPr>
        <w:jc w:val="right"/>
      </w:pPr>
    </w:p>
    <w:p w:rsidR="00601CBC" w:rsidRPr="00CA1210" w:rsidRDefault="00601CBC" w:rsidP="00601CBC">
      <w:pPr>
        <w:ind w:firstLine="0"/>
        <w:rPr>
          <w:b/>
          <w:sz w:val="22"/>
          <w:szCs w:val="22"/>
        </w:rPr>
      </w:pPr>
      <w:r w:rsidRPr="00CA1210">
        <w:rPr>
          <w:b/>
          <w:sz w:val="22"/>
          <w:szCs w:val="22"/>
        </w:rPr>
        <w:t>RESUMO</w:t>
      </w:r>
    </w:p>
    <w:p w:rsidR="00601CBC" w:rsidRPr="004A3B4E" w:rsidRDefault="00601CBC" w:rsidP="00601CBC">
      <w:pPr>
        <w:ind w:firstLine="0"/>
        <w:rPr>
          <w:sz w:val="22"/>
          <w:szCs w:val="22"/>
        </w:rPr>
      </w:pPr>
      <w:r>
        <w:rPr>
          <w:sz w:val="22"/>
          <w:szCs w:val="22"/>
        </w:rPr>
        <w:t>O presente trabalho teve</w:t>
      </w:r>
      <w:r w:rsidRPr="005F20E5">
        <w:rPr>
          <w:sz w:val="22"/>
          <w:szCs w:val="22"/>
        </w:rPr>
        <w:t xml:space="preserve"> como escopo analisar de forma crítica </w:t>
      </w:r>
      <w:r w:rsidRPr="00E2776A">
        <w:rPr>
          <w:sz w:val="22"/>
          <w:szCs w:val="22"/>
        </w:rPr>
        <w:t>o valor probatório dado</w:t>
      </w:r>
      <w:r>
        <w:rPr>
          <w:sz w:val="22"/>
          <w:szCs w:val="22"/>
        </w:rPr>
        <w:t xml:space="preserve"> </w:t>
      </w:r>
      <w:r w:rsidRPr="00776CDD">
        <w:rPr>
          <w:sz w:val="22"/>
          <w:szCs w:val="22"/>
        </w:rPr>
        <w:t xml:space="preserve">a </w:t>
      </w:r>
      <w:r w:rsidRPr="005F20E5">
        <w:rPr>
          <w:sz w:val="22"/>
          <w:szCs w:val="22"/>
        </w:rPr>
        <w:t>aos depoimentos dos policiais (civis ou militares) nos processos criminais que envolvem tráfico de entorpecentes, de maneira a explorar argumentos utilizados pelos tribunais e por estudiosos da área criminal.</w:t>
      </w:r>
      <w:r>
        <w:rPr>
          <w:sz w:val="22"/>
          <w:szCs w:val="22"/>
        </w:rPr>
        <w:t xml:space="preserve"> Primeiramente foram abordados posicionamentos doutrinários e jurisprudência quanto ao tema e, em seguida, as justificativas quanto a estes posicionamentos. Todo o estudo é analisado de maneira com que traga em seu bojo, entendimentos de autores renomados, tanto da área processual penal quanto da área de direito administrativo. Foram destacadas algumas jurisprudências que são pertinentes para entender a posição dos tribunais quanto ao tema, além de alguns artigos científicos que falam especificamente quanto aos depoimentos policiais. Ao final concluímos que, para que as condenações criminais </w:t>
      </w:r>
      <w:r>
        <w:t xml:space="preserve">não violem princípios constitucionais basilares do processo penal, fundamental que, no conjunto probatório, os depoimentos </w:t>
      </w:r>
      <w:proofErr w:type="gramStart"/>
      <w:r>
        <w:t>policias</w:t>
      </w:r>
      <w:proofErr w:type="gramEnd"/>
      <w:r>
        <w:t xml:space="preserve"> sejam corroborados com os depoimentos de outras testemunhas que não constituam o quadro policial e/ou outras provas.</w:t>
      </w:r>
    </w:p>
    <w:p w:rsidR="00601CBC" w:rsidRPr="00CA1210" w:rsidRDefault="00601CBC" w:rsidP="00601CBC">
      <w:pPr>
        <w:ind w:firstLine="0"/>
        <w:rPr>
          <w:b/>
          <w:sz w:val="22"/>
          <w:szCs w:val="22"/>
        </w:rPr>
      </w:pPr>
      <w:r w:rsidRPr="00CA1210">
        <w:rPr>
          <w:b/>
          <w:sz w:val="22"/>
          <w:szCs w:val="22"/>
        </w:rPr>
        <w:t xml:space="preserve">Palavras-chave: </w:t>
      </w:r>
      <w:r>
        <w:rPr>
          <w:sz w:val="22"/>
          <w:szCs w:val="22"/>
        </w:rPr>
        <w:t>Testemunhas. Policiais. Legitimidade. Valoração</w:t>
      </w:r>
      <w:r w:rsidRPr="00CA1210">
        <w:rPr>
          <w:sz w:val="22"/>
          <w:szCs w:val="22"/>
        </w:rPr>
        <w:t xml:space="preserve">. </w:t>
      </w:r>
    </w:p>
    <w:p w:rsidR="00601CBC" w:rsidRPr="00CA1210" w:rsidRDefault="00601CBC" w:rsidP="00601CBC">
      <w:pPr>
        <w:rPr>
          <w:sz w:val="22"/>
          <w:szCs w:val="22"/>
        </w:rPr>
      </w:pPr>
    </w:p>
    <w:p w:rsidR="00601CBC" w:rsidRPr="00CA1210" w:rsidRDefault="00601CBC" w:rsidP="00601CBC">
      <w:pPr>
        <w:ind w:firstLine="0"/>
        <w:rPr>
          <w:b/>
          <w:i/>
          <w:sz w:val="22"/>
          <w:szCs w:val="22"/>
        </w:rPr>
      </w:pPr>
      <w:r w:rsidRPr="00CA1210">
        <w:rPr>
          <w:b/>
          <w:i/>
          <w:sz w:val="22"/>
          <w:szCs w:val="22"/>
        </w:rPr>
        <w:t>ABSTRACT</w:t>
      </w:r>
    </w:p>
    <w:p w:rsidR="00601CBC" w:rsidRDefault="00601CBC" w:rsidP="00601CBC">
      <w:pPr>
        <w:ind w:firstLine="0"/>
        <w:rPr>
          <w:i/>
          <w:sz w:val="22"/>
          <w:szCs w:val="22"/>
        </w:rPr>
      </w:pPr>
      <w:proofErr w:type="spellStart"/>
      <w:r w:rsidRPr="0051448C">
        <w:rPr>
          <w:i/>
          <w:sz w:val="22"/>
          <w:szCs w:val="22"/>
        </w:rPr>
        <w:t>This</w:t>
      </w:r>
      <w:proofErr w:type="spellEnd"/>
      <w:r w:rsidRPr="0051448C">
        <w:rPr>
          <w:i/>
          <w:sz w:val="22"/>
          <w:szCs w:val="22"/>
        </w:rPr>
        <w:t xml:space="preserve"> </w:t>
      </w:r>
      <w:proofErr w:type="spellStart"/>
      <w:r w:rsidRPr="0051448C">
        <w:rPr>
          <w:i/>
          <w:sz w:val="22"/>
          <w:szCs w:val="22"/>
        </w:rPr>
        <w:t>paper</w:t>
      </w:r>
      <w:proofErr w:type="spellEnd"/>
      <w:r w:rsidRPr="0051448C">
        <w:rPr>
          <w:i/>
          <w:sz w:val="22"/>
          <w:szCs w:val="22"/>
        </w:rPr>
        <w:t xml:space="preserve"> </w:t>
      </w:r>
      <w:proofErr w:type="spellStart"/>
      <w:r w:rsidRPr="0051448C">
        <w:rPr>
          <w:i/>
          <w:sz w:val="22"/>
          <w:szCs w:val="22"/>
        </w:rPr>
        <w:t>aimed</w:t>
      </w:r>
      <w:proofErr w:type="spellEnd"/>
      <w:r w:rsidRPr="0051448C">
        <w:rPr>
          <w:i/>
          <w:sz w:val="22"/>
          <w:szCs w:val="22"/>
        </w:rPr>
        <w:t xml:space="preserve"> to </w:t>
      </w:r>
      <w:proofErr w:type="spellStart"/>
      <w:r w:rsidRPr="0051448C">
        <w:rPr>
          <w:i/>
          <w:sz w:val="22"/>
          <w:szCs w:val="22"/>
        </w:rPr>
        <w:t>critically</w:t>
      </w:r>
      <w:proofErr w:type="spellEnd"/>
      <w:r w:rsidRPr="0051448C">
        <w:rPr>
          <w:i/>
          <w:sz w:val="22"/>
          <w:szCs w:val="22"/>
        </w:rPr>
        <w:t xml:space="preserve"> </w:t>
      </w:r>
      <w:proofErr w:type="spellStart"/>
      <w:r w:rsidRPr="0051448C">
        <w:rPr>
          <w:i/>
          <w:sz w:val="22"/>
          <w:szCs w:val="22"/>
        </w:rPr>
        <w:t>analyze</w:t>
      </w:r>
      <w:proofErr w:type="spellEnd"/>
      <w:r w:rsidRPr="0051448C">
        <w:rPr>
          <w:i/>
          <w:sz w:val="22"/>
          <w:szCs w:val="22"/>
        </w:rPr>
        <w:t xml:space="preserve"> </w:t>
      </w:r>
      <w:proofErr w:type="spellStart"/>
      <w:r w:rsidRPr="0051448C">
        <w:rPr>
          <w:i/>
          <w:sz w:val="22"/>
          <w:szCs w:val="22"/>
        </w:rPr>
        <w:t>the</w:t>
      </w:r>
      <w:proofErr w:type="spellEnd"/>
      <w:r w:rsidRPr="0051448C">
        <w:rPr>
          <w:i/>
          <w:sz w:val="22"/>
          <w:szCs w:val="22"/>
        </w:rPr>
        <w:t xml:space="preserve"> </w:t>
      </w:r>
      <w:proofErr w:type="spellStart"/>
      <w:r w:rsidRPr="0051448C">
        <w:rPr>
          <w:i/>
          <w:sz w:val="22"/>
          <w:szCs w:val="22"/>
        </w:rPr>
        <w:t>probative</w:t>
      </w:r>
      <w:proofErr w:type="spellEnd"/>
      <w:r w:rsidRPr="0051448C">
        <w:rPr>
          <w:i/>
          <w:sz w:val="22"/>
          <w:szCs w:val="22"/>
        </w:rPr>
        <w:t xml:space="preserve"> </w:t>
      </w:r>
      <w:proofErr w:type="spellStart"/>
      <w:r w:rsidRPr="0051448C">
        <w:rPr>
          <w:i/>
          <w:sz w:val="22"/>
          <w:szCs w:val="22"/>
        </w:rPr>
        <w:t>value</w:t>
      </w:r>
      <w:proofErr w:type="spellEnd"/>
      <w:r w:rsidRPr="0051448C">
        <w:rPr>
          <w:i/>
          <w:sz w:val="22"/>
          <w:szCs w:val="22"/>
        </w:rPr>
        <w:t xml:space="preserve"> </w:t>
      </w:r>
      <w:proofErr w:type="spellStart"/>
      <w:r w:rsidRPr="0051448C">
        <w:rPr>
          <w:i/>
          <w:sz w:val="22"/>
          <w:szCs w:val="22"/>
        </w:rPr>
        <w:t>given</w:t>
      </w:r>
      <w:proofErr w:type="spellEnd"/>
      <w:r w:rsidRPr="0051448C">
        <w:rPr>
          <w:i/>
          <w:sz w:val="22"/>
          <w:szCs w:val="22"/>
        </w:rPr>
        <w:t xml:space="preserve"> to </w:t>
      </w:r>
      <w:proofErr w:type="spellStart"/>
      <w:r w:rsidRPr="0051448C">
        <w:rPr>
          <w:i/>
          <w:sz w:val="22"/>
          <w:szCs w:val="22"/>
        </w:rPr>
        <w:t>the</w:t>
      </w:r>
      <w:proofErr w:type="spellEnd"/>
      <w:r w:rsidRPr="0051448C">
        <w:rPr>
          <w:i/>
          <w:sz w:val="22"/>
          <w:szCs w:val="22"/>
        </w:rPr>
        <w:t xml:space="preserve"> </w:t>
      </w:r>
      <w:proofErr w:type="spellStart"/>
      <w:r w:rsidRPr="0051448C">
        <w:rPr>
          <w:i/>
          <w:sz w:val="22"/>
          <w:szCs w:val="22"/>
        </w:rPr>
        <w:t>testimony</w:t>
      </w:r>
      <w:proofErr w:type="spellEnd"/>
      <w:r w:rsidRPr="0051448C">
        <w:rPr>
          <w:i/>
          <w:sz w:val="22"/>
          <w:szCs w:val="22"/>
        </w:rPr>
        <w:t xml:space="preserve"> </w:t>
      </w:r>
      <w:proofErr w:type="spellStart"/>
      <w:r w:rsidRPr="0051448C">
        <w:rPr>
          <w:i/>
          <w:sz w:val="22"/>
          <w:szCs w:val="22"/>
        </w:rPr>
        <w:t>of</w:t>
      </w:r>
      <w:proofErr w:type="spellEnd"/>
      <w:r w:rsidRPr="0051448C">
        <w:rPr>
          <w:i/>
          <w:sz w:val="22"/>
          <w:szCs w:val="22"/>
        </w:rPr>
        <w:t xml:space="preserve"> </w:t>
      </w:r>
      <w:proofErr w:type="spellStart"/>
      <w:proofErr w:type="gramStart"/>
      <w:r w:rsidRPr="0051448C">
        <w:rPr>
          <w:i/>
          <w:sz w:val="22"/>
          <w:szCs w:val="22"/>
        </w:rPr>
        <w:t>police</w:t>
      </w:r>
      <w:proofErr w:type="spellEnd"/>
      <w:proofErr w:type="gramEnd"/>
      <w:r w:rsidRPr="0051448C">
        <w:rPr>
          <w:i/>
          <w:sz w:val="22"/>
          <w:szCs w:val="22"/>
        </w:rPr>
        <w:t xml:space="preserve"> </w:t>
      </w:r>
      <w:proofErr w:type="spellStart"/>
      <w:r w:rsidRPr="0051448C">
        <w:rPr>
          <w:i/>
          <w:sz w:val="22"/>
          <w:szCs w:val="22"/>
        </w:rPr>
        <w:t>officers</w:t>
      </w:r>
      <w:proofErr w:type="spellEnd"/>
      <w:r w:rsidRPr="0051448C">
        <w:rPr>
          <w:i/>
          <w:sz w:val="22"/>
          <w:szCs w:val="22"/>
        </w:rPr>
        <w:t xml:space="preserve"> (civil </w:t>
      </w:r>
      <w:proofErr w:type="spellStart"/>
      <w:r w:rsidRPr="0051448C">
        <w:rPr>
          <w:i/>
          <w:sz w:val="22"/>
          <w:szCs w:val="22"/>
        </w:rPr>
        <w:t>or</w:t>
      </w:r>
      <w:proofErr w:type="spellEnd"/>
      <w:r w:rsidRPr="0051448C">
        <w:rPr>
          <w:i/>
          <w:sz w:val="22"/>
          <w:szCs w:val="22"/>
        </w:rPr>
        <w:t xml:space="preserve"> </w:t>
      </w:r>
      <w:proofErr w:type="spellStart"/>
      <w:r w:rsidRPr="0051448C">
        <w:rPr>
          <w:i/>
          <w:sz w:val="22"/>
          <w:szCs w:val="22"/>
        </w:rPr>
        <w:t>military</w:t>
      </w:r>
      <w:proofErr w:type="spellEnd"/>
      <w:r w:rsidRPr="0051448C">
        <w:rPr>
          <w:i/>
          <w:sz w:val="22"/>
          <w:szCs w:val="22"/>
        </w:rPr>
        <w:t xml:space="preserve">) in criminal cases </w:t>
      </w:r>
      <w:proofErr w:type="spellStart"/>
      <w:r w:rsidRPr="0051448C">
        <w:rPr>
          <w:i/>
          <w:sz w:val="22"/>
          <w:szCs w:val="22"/>
        </w:rPr>
        <w:t>involving</w:t>
      </w:r>
      <w:proofErr w:type="spellEnd"/>
      <w:r w:rsidRPr="0051448C">
        <w:rPr>
          <w:i/>
          <w:sz w:val="22"/>
          <w:szCs w:val="22"/>
        </w:rPr>
        <w:t xml:space="preserve"> </w:t>
      </w:r>
      <w:proofErr w:type="spellStart"/>
      <w:r w:rsidRPr="0051448C">
        <w:rPr>
          <w:i/>
          <w:sz w:val="22"/>
          <w:szCs w:val="22"/>
        </w:rPr>
        <w:t>drug</w:t>
      </w:r>
      <w:proofErr w:type="spellEnd"/>
      <w:r w:rsidRPr="0051448C">
        <w:rPr>
          <w:i/>
          <w:sz w:val="22"/>
          <w:szCs w:val="22"/>
        </w:rPr>
        <w:t xml:space="preserve"> </w:t>
      </w:r>
      <w:proofErr w:type="spellStart"/>
      <w:r w:rsidRPr="0051448C">
        <w:rPr>
          <w:i/>
          <w:sz w:val="22"/>
          <w:szCs w:val="22"/>
        </w:rPr>
        <w:t>trafficking</w:t>
      </w:r>
      <w:proofErr w:type="spellEnd"/>
      <w:r w:rsidRPr="0051448C">
        <w:rPr>
          <w:i/>
          <w:sz w:val="22"/>
          <w:szCs w:val="22"/>
        </w:rPr>
        <w:t xml:space="preserve">, in </w:t>
      </w:r>
      <w:proofErr w:type="spellStart"/>
      <w:r w:rsidRPr="0051448C">
        <w:rPr>
          <w:i/>
          <w:sz w:val="22"/>
          <w:szCs w:val="22"/>
        </w:rPr>
        <w:t>order</w:t>
      </w:r>
      <w:proofErr w:type="spellEnd"/>
      <w:r w:rsidRPr="0051448C">
        <w:rPr>
          <w:i/>
          <w:sz w:val="22"/>
          <w:szCs w:val="22"/>
        </w:rPr>
        <w:t xml:space="preserve"> to explore </w:t>
      </w:r>
      <w:proofErr w:type="spellStart"/>
      <w:r w:rsidRPr="0051448C">
        <w:rPr>
          <w:i/>
          <w:sz w:val="22"/>
          <w:szCs w:val="22"/>
        </w:rPr>
        <w:t>arguments</w:t>
      </w:r>
      <w:proofErr w:type="spellEnd"/>
      <w:r w:rsidRPr="0051448C">
        <w:rPr>
          <w:i/>
          <w:sz w:val="22"/>
          <w:szCs w:val="22"/>
        </w:rPr>
        <w:t xml:space="preserve"> </w:t>
      </w:r>
      <w:proofErr w:type="spellStart"/>
      <w:r w:rsidRPr="0051448C">
        <w:rPr>
          <w:i/>
          <w:sz w:val="22"/>
          <w:szCs w:val="22"/>
        </w:rPr>
        <w:t>used</w:t>
      </w:r>
      <w:proofErr w:type="spellEnd"/>
      <w:r w:rsidRPr="0051448C">
        <w:rPr>
          <w:i/>
          <w:sz w:val="22"/>
          <w:szCs w:val="22"/>
        </w:rPr>
        <w:t xml:space="preserve"> </w:t>
      </w:r>
      <w:proofErr w:type="spellStart"/>
      <w:r w:rsidRPr="0051448C">
        <w:rPr>
          <w:i/>
          <w:sz w:val="22"/>
          <w:szCs w:val="22"/>
        </w:rPr>
        <w:t>by</w:t>
      </w:r>
      <w:proofErr w:type="spellEnd"/>
      <w:r w:rsidRPr="0051448C">
        <w:rPr>
          <w:i/>
          <w:sz w:val="22"/>
          <w:szCs w:val="22"/>
        </w:rPr>
        <w:t xml:space="preserve"> </w:t>
      </w:r>
      <w:proofErr w:type="spellStart"/>
      <w:r w:rsidRPr="0051448C">
        <w:rPr>
          <w:i/>
          <w:sz w:val="22"/>
          <w:szCs w:val="22"/>
        </w:rPr>
        <w:lastRenderedPageBreak/>
        <w:t>the</w:t>
      </w:r>
      <w:proofErr w:type="spellEnd"/>
      <w:r w:rsidRPr="0051448C">
        <w:rPr>
          <w:i/>
          <w:sz w:val="22"/>
          <w:szCs w:val="22"/>
        </w:rPr>
        <w:t xml:space="preserve"> </w:t>
      </w:r>
      <w:proofErr w:type="spellStart"/>
      <w:r w:rsidRPr="0051448C">
        <w:rPr>
          <w:i/>
          <w:sz w:val="22"/>
          <w:szCs w:val="22"/>
        </w:rPr>
        <w:t>courts</w:t>
      </w:r>
      <w:proofErr w:type="spellEnd"/>
      <w:r w:rsidRPr="0051448C">
        <w:rPr>
          <w:i/>
          <w:sz w:val="22"/>
          <w:szCs w:val="22"/>
        </w:rPr>
        <w:t xml:space="preserve"> </w:t>
      </w:r>
      <w:proofErr w:type="spellStart"/>
      <w:r w:rsidRPr="0051448C">
        <w:rPr>
          <w:i/>
          <w:sz w:val="22"/>
          <w:szCs w:val="22"/>
        </w:rPr>
        <w:t>and</w:t>
      </w:r>
      <w:proofErr w:type="spellEnd"/>
      <w:r w:rsidRPr="0051448C">
        <w:rPr>
          <w:i/>
          <w:sz w:val="22"/>
          <w:szCs w:val="22"/>
        </w:rPr>
        <w:t xml:space="preserve"> </w:t>
      </w:r>
      <w:proofErr w:type="spellStart"/>
      <w:r w:rsidRPr="0051448C">
        <w:rPr>
          <w:i/>
          <w:sz w:val="22"/>
          <w:szCs w:val="22"/>
        </w:rPr>
        <w:t>by</w:t>
      </w:r>
      <w:proofErr w:type="spellEnd"/>
      <w:r w:rsidRPr="0051448C">
        <w:rPr>
          <w:i/>
          <w:sz w:val="22"/>
          <w:szCs w:val="22"/>
        </w:rPr>
        <w:t xml:space="preserve"> scholars in </w:t>
      </w:r>
      <w:proofErr w:type="spellStart"/>
      <w:r w:rsidRPr="0051448C">
        <w:rPr>
          <w:i/>
          <w:sz w:val="22"/>
          <w:szCs w:val="22"/>
        </w:rPr>
        <w:t>the</w:t>
      </w:r>
      <w:proofErr w:type="spellEnd"/>
      <w:r w:rsidRPr="0051448C">
        <w:rPr>
          <w:i/>
          <w:sz w:val="22"/>
          <w:szCs w:val="22"/>
        </w:rPr>
        <w:t xml:space="preserve"> criminal </w:t>
      </w:r>
      <w:proofErr w:type="spellStart"/>
      <w:r w:rsidRPr="0051448C">
        <w:rPr>
          <w:i/>
          <w:sz w:val="22"/>
          <w:szCs w:val="22"/>
        </w:rPr>
        <w:t>area</w:t>
      </w:r>
      <w:proofErr w:type="spellEnd"/>
      <w:r w:rsidRPr="0051448C">
        <w:rPr>
          <w:i/>
          <w:sz w:val="22"/>
          <w:szCs w:val="22"/>
        </w:rPr>
        <w:t xml:space="preserve">. </w:t>
      </w:r>
      <w:proofErr w:type="spellStart"/>
      <w:r w:rsidRPr="0051448C">
        <w:rPr>
          <w:i/>
          <w:sz w:val="22"/>
          <w:szCs w:val="22"/>
        </w:rPr>
        <w:t>Firstly</w:t>
      </w:r>
      <w:proofErr w:type="spellEnd"/>
      <w:r w:rsidRPr="0051448C">
        <w:rPr>
          <w:i/>
          <w:sz w:val="22"/>
          <w:szCs w:val="22"/>
        </w:rPr>
        <w:t xml:space="preserve">, </w:t>
      </w:r>
      <w:proofErr w:type="spellStart"/>
      <w:r w:rsidRPr="0051448C">
        <w:rPr>
          <w:i/>
          <w:sz w:val="22"/>
          <w:szCs w:val="22"/>
        </w:rPr>
        <w:t>doctrinal</w:t>
      </w:r>
      <w:proofErr w:type="spellEnd"/>
      <w:r w:rsidRPr="0051448C">
        <w:rPr>
          <w:i/>
          <w:sz w:val="22"/>
          <w:szCs w:val="22"/>
        </w:rPr>
        <w:t xml:space="preserve"> </w:t>
      </w:r>
      <w:proofErr w:type="spellStart"/>
      <w:r w:rsidRPr="0051448C">
        <w:rPr>
          <w:i/>
          <w:sz w:val="22"/>
          <w:szCs w:val="22"/>
        </w:rPr>
        <w:t>positions</w:t>
      </w:r>
      <w:proofErr w:type="spellEnd"/>
      <w:r w:rsidRPr="0051448C">
        <w:rPr>
          <w:i/>
          <w:sz w:val="22"/>
          <w:szCs w:val="22"/>
        </w:rPr>
        <w:t xml:space="preserve"> </w:t>
      </w:r>
      <w:proofErr w:type="spellStart"/>
      <w:r w:rsidRPr="0051448C">
        <w:rPr>
          <w:i/>
          <w:sz w:val="22"/>
          <w:szCs w:val="22"/>
        </w:rPr>
        <w:t>and</w:t>
      </w:r>
      <w:proofErr w:type="spellEnd"/>
      <w:r w:rsidRPr="0051448C">
        <w:rPr>
          <w:i/>
          <w:sz w:val="22"/>
          <w:szCs w:val="22"/>
        </w:rPr>
        <w:t xml:space="preserve"> </w:t>
      </w:r>
      <w:proofErr w:type="spellStart"/>
      <w:r w:rsidRPr="0051448C">
        <w:rPr>
          <w:i/>
          <w:sz w:val="22"/>
          <w:szCs w:val="22"/>
        </w:rPr>
        <w:t>jurisprudence</w:t>
      </w:r>
      <w:proofErr w:type="spellEnd"/>
      <w:r w:rsidRPr="0051448C">
        <w:rPr>
          <w:i/>
          <w:sz w:val="22"/>
          <w:szCs w:val="22"/>
        </w:rPr>
        <w:t xml:space="preserve"> </w:t>
      </w:r>
      <w:proofErr w:type="spellStart"/>
      <w:r w:rsidRPr="0051448C">
        <w:rPr>
          <w:i/>
          <w:sz w:val="22"/>
          <w:szCs w:val="22"/>
        </w:rPr>
        <w:t>on</w:t>
      </w:r>
      <w:proofErr w:type="spellEnd"/>
      <w:r w:rsidRPr="0051448C">
        <w:rPr>
          <w:i/>
          <w:sz w:val="22"/>
          <w:szCs w:val="22"/>
        </w:rPr>
        <w:t xml:space="preserve"> </w:t>
      </w:r>
      <w:proofErr w:type="spellStart"/>
      <w:r w:rsidRPr="0051448C">
        <w:rPr>
          <w:i/>
          <w:sz w:val="22"/>
          <w:szCs w:val="22"/>
        </w:rPr>
        <w:t>the</w:t>
      </w:r>
      <w:proofErr w:type="spellEnd"/>
      <w:r w:rsidRPr="0051448C">
        <w:rPr>
          <w:i/>
          <w:sz w:val="22"/>
          <w:szCs w:val="22"/>
        </w:rPr>
        <w:t xml:space="preserve"> </w:t>
      </w:r>
      <w:proofErr w:type="spellStart"/>
      <w:r w:rsidRPr="0051448C">
        <w:rPr>
          <w:i/>
          <w:sz w:val="22"/>
          <w:szCs w:val="22"/>
        </w:rPr>
        <w:t>subject</w:t>
      </w:r>
      <w:proofErr w:type="spellEnd"/>
      <w:r w:rsidRPr="0051448C">
        <w:rPr>
          <w:i/>
          <w:sz w:val="22"/>
          <w:szCs w:val="22"/>
        </w:rPr>
        <w:t xml:space="preserve"> </w:t>
      </w:r>
      <w:proofErr w:type="spellStart"/>
      <w:r w:rsidRPr="0051448C">
        <w:rPr>
          <w:i/>
          <w:sz w:val="22"/>
          <w:szCs w:val="22"/>
        </w:rPr>
        <w:t>were</w:t>
      </w:r>
      <w:proofErr w:type="spellEnd"/>
      <w:r w:rsidRPr="0051448C">
        <w:rPr>
          <w:i/>
          <w:sz w:val="22"/>
          <w:szCs w:val="22"/>
        </w:rPr>
        <w:t xml:space="preserve"> </w:t>
      </w:r>
      <w:proofErr w:type="spellStart"/>
      <w:r w:rsidRPr="0051448C">
        <w:rPr>
          <w:i/>
          <w:sz w:val="22"/>
          <w:szCs w:val="22"/>
        </w:rPr>
        <w:t>approached</w:t>
      </w:r>
      <w:proofErr w:type="spellEnd"/>
      <w:r w:rsidRPr="0051448C">
        <w:rPr>
          <w:i/>
          <w:sz w:val="22"/>
          <w:szCs w:val="22"/>
        </w:rPr>
        <w:t xml:space="preserve">, </w:t>
      </w:r>
      <w:proofErr w:type="spellStart"/>
      <w:r w:rsidRPr="0051448C">
        <w:rPr>
          <w:i/>
          <w:sz w:val="22"/>
          <w:szCs w:val="22"/>
        </w:rPr>
        <w:t>and</w:t>
      </w:r>
      <w:proofErr w:type="spellEnd"/>
      <w:r w:rsidRPr="0051448C">
        <w:rPr>
          <w:i/>
          <w:sz w:val="22"/>
          <w:szCs w:val="22"/>
        </w:rPr>
        <w:t xml:space="preserve"> </w:t>
      </w:r>
      <w:proofErr w:type="spellStart"/>
      <w:r w:rsidRPr="0051448C">
        <w:rPr>
          <w:i/>
          <w:sz w:val="22"/>
          <w:szCs w:val="22"/>
        </w:rPr>
        <w:t>then</w:t>
      </w:r>
      <w:proofErr w:type="spellEnd"/>
      <w:r w:rsidRPr="0051448C">
        <w:rPr>
          <w:i/>
          <w:sz w:val="22"/>
          <w:szCs w:val="22"/>
        </w:rPr>
        <w:t xml:space="preserve">, </w:t>
      </w:r>
      <w:proofErr w:type="spellStart"/>
      <w:r w:rsidRPr="0051448C">
        <w:rPr>
          <w:i/>
          <w:sz w:val="22"/>
          <w:szCs w:val="22"/>
        </w:rPr>
        <w:t>the</w:t>
      </w:r>
      <w:proofErr w:type="spellEnd"/>
      <w:r w:rsidRPr="0051448C">
        <w:rPr>
          <w:i/>
          <w:sz w:val="22"/>
          <w:szCs w:val="22"/>
        </w:rPr>
        <w:t xml:space="preserve"> </w:t>
      </w:r>
      <w:proofErr w:type="spellStart"/>
      <w:r w:rsidRPr="0051448C">
        <w:rPr>
          <w:i/>
          <w:sz w:val="22"/>
          <w:szCs w:val="22"/>
        </w:rPr>
        <w:t>justifications</w:t>
      </w:r>
      <w:proofErr w:type="spellEnd"/>
      <w:r w:rsidRPr="0051448C">
        <w:rPr>
          <w:i/>
          <w:sz w:val="22"/>
          <w:szCs w:val="22"/>
        </w:rPr>
        <w:t xml:space="preserve"> </w:t>
      </w:r>
      <w:proofErr w:type="spellStart"/>
      <w:r w:rsidRPr="0051448C">
        <w:rPr>
          <w:i/>
          <w:sz w:val="22"/>
          <w:szCs w:val="22"/>
        </w:rPr>
        <w:t>regarding</w:t>
      </w:r>
      <w:proofErr w:type="spellEnd"/>
      <w:r w:rsidRPr="0051448C">
        <w:rPr>
          <w:i/>
          <w:sz w:val="22"/>
          <w:szCs w:val="22"/>
        </w:rPr>
        <w:t xml:space="preserve"> </w:t>
      </w:r>
      <w:proofErr w:type="spellStart"/>
      <w:r w:rsidRPr="0051448C">
        <w:rPr>
          <w:i/>
          <w:sz w:val="22"/>
          <w:szCs w:val="22"/>
        </w:rPr>
        <w:t>these</w:t>
      </w:r>
      <w:proofErr w:type="spellEnd"/>
      <w:r w:rsidRPr="0051448C">
        <w:rPr>
          <w:i/>
          <w:sz w:val="22"/>
          <w:szCs w:val="22"/>
        </w:rPr>
        <w:t xml:space="preserve"> </w:t>
      </w:r>
      <w:proofErr w:type="spellStart"/>
      <w:r w:rsidRPr="0051448C">
        <w:rPr>
          <w:i/>
          <w:sz w:val="22"/>
          <w:szCs w:val="22"/>
        </w:rPr>
        <w:t>positions</w:t>
      </w:r>
      <w:proofErr w:type="spellEnd"/>
      <w:r w:rsidRPr="0051448C">
        <w:rPr>
          <w:i/>
          <w:sz w:val="22"/>
          <w:szCs w:val="22"/>
        </w:rPr>
        <w:t xml:space="preserve">. </w:t>
      </w:r>
      <w:proofErr w:type="spellStart"/>
      <w:r w:rsidRPr="0051448C">
        <w:rPr>
          <w:i/>
          <w:sz w:val="22"/>
          <w:szCs w:val="22"/>
        </w:rPr>
        <w:t>The</w:t>
      </w:r>
      <w:proofErr w:type="spellEnd"/>
      <w:r w:rsidRPr="0051448C">
        <w:rPr>
          <w:i/>
          <w:sz w:val="22"/>
          <w:szCs w:val="22"/>
        </w:rPr>
        <w:t xml:space="preserve"> </w:t>
      </w:r>
      <w:proofErr w:type="spellStart"/>
      <w:r w:rsidRPr="0051448C">
        <w:rPr>
          <w:i/>
          <w:sz w:val="22"/>
          <w:szCs w:val="22"/>
        </w:rPr>
        <w:t>whole</w:t>
      </w:r>
      <w:proofErr w:type="spellEnd"/>
      <w:r w:rsidRPr="0051448C">
        <w:rPr>
          <w:i/>
          <w:sz w:val="22"/>
          <w:szCs w:val="22"/>
        </w:rPr>
        <w:t xml:space="preserve"> </w:t>
      </w:r>
      <w:proofErr w:type="spellStart"/>
      <w:r w:rsidRPr="0051448C">
        <w:rPr>
          <w:i/>
          <w:sz w:val="22"/>
          <w:szCs w:val="22"/>
        </w:rPr>
        <w:t>study</w:t>
      </w:r>
      <w:proofErr w:type="spellEnd"/>
      <w:r w:rsidRPr="0051448C">
        <w:rPr>
          <w:i/>
          <w:sz w:val="22"/>
          <w:szCs w:val="22"/>
        </w:rPr>
        <w:t xml:space="preserve"> is </w:t>
      </w:r>
      <w:proofErr w:type="spellStart"/>
      <w:r w:rsidRPr="0051448C">
        <w:rPr>
          <w:i/>
          <w:sz w:val="22"/>
          <w:szCs w:val="22"/>
        </w:rPr>
        <w:t>analyzed</w:t>
      </w:r>
      <w:proofErr w:type="spellEnd"/>
      <w:r w:rsidRPr="0051448C">
        <w:rPr>
          <w:i/>
          <w:sz w:val="22"/>
          <w:szCs w:val="22"/>
        </w:rPr>
        <w:t xml:space="preserve"> in a </w:t>
      </w:r>
      <w:proofErr w:type="spellStart"/>
      <w:r w:rsidRPr="0051448C">
        <w:rPr>
          <w:i/>
          <w:sz w:val="22"/>
          <w:szCs w:val="22"/>
        </w:rPr>
        <w:t>way</w:t>
      </w:r>
      <w:proofErr w:type="spellEnd"/>
      <w:r w:rsidRPr="0051448C">
        <w:rPr>
          <w:i/>
          <w:sz w:val="22"/>
          <w:szCs w:val="22"/>
        </w:rPr>
        <w:t xml:space="preserve"> </w:t>
      </w:r>
      <w:proofErr w:type="spellStart"/>
      <w:r w:rsidRPr="0051448C">
        <w:rPr>
          <w:i/>
          <w:sz w:val="22"/>
          <w:szCs w:val="22"/>
        </w:rPr>
        <w:t>that</w:t>
      </w:r>
      <w:proofErr w:type="spellEnd"/>
      <w:r w:rsidRPr="0051448C">
        <w:rPr>
          <w:i/>
          <w:sz w:val="22"/>
          <w:szCs w:val="22"/>
        </w:rPr>
        <w:t xml:space="preserve"> </w:t>
      </w:r>
      <w:proofErr w:type="spellStart"/>
      <w:r w:rsidRPr="0051448C">
        <w:rPr>
          <w:i/>
          <w:sz w:val="22"/>
          <w:szCs w:val="22"/>
        </w:rPr>
        <w:t>brings</w:t>
      </w:r>
      <w:proofErr w:type="spellEnd"/>
      <w:r w:rsidRPr="0051448C">
        <w:rPr>
          <w:i/>
          <w:sz w:val="22"/>
          <w:szCs w:val="22"/>
        </w:rPr>
        <w:t xml:space="preserve"> in its core, </w:t>
      </w:r>
      <w:proofErr w:type="spellStart"/>
      <w:r w:rsidRPr="0051448C">
        <w:rPr>
          <w:i/>
          <w:sz w:val="22"/>
          <w:szCs w:val="22"/>
        </w:rPr>
        <w:t>understandings</w:t>
      </w:r>
      <w:proofErr w:type="spellEnd"/>
      <w:r w:rsidRPr="0051448C">
        <w:rPr>
          <w:i/>
          <w:sz w:val="22"/>
          <w:szCs w:val="22"/>
        </w:rPr>
        <w:t xml:space="preserve"> </w:t>
      </w:r>
      <w:proofErr w:type="spellStart"/>
      <w:r w:rsidRPr="0051448C">
        <w:rPr>
          <w:i/>
          <w:sz w:val="22"/>
          <w:szCs w:val="22"/>
        </w:rPr>
        <w:t>of</w:t>
      </w:r>
      <w:proofErr w:type="spellEnd"/>
      <w:r w:rsidRPr="0051448C">
        <w:rPr>
          <w:i/>
          <w:sz w:val="22"/>
          <w:szCs w:val="22"/>
        </w:rPr>
        <w:t xml:space="preserve"> </w:t>
      </w:r>
      <w:proofErr w:type="spellStart"/>
      <w:r w:rsidRPr="0051448C">
        <w:rPr>
          <w:i/>
          <w:sz w:val="22"/>
          <w:szCs w:val="22"/>
        </w:rPr>
        <w:t>renowned</w:t>
      </w:r>
      <w:proofErr w:type="spellEnd"/>
      <w:r w:rsidRPr="0051448C">
        <w:rPr>
          <w:i/>
          <w:sz w:val="22"/>
          <w:szCs w:val="22"/>
        </w:rPr>
        <w:t xml:space="preserve"> </w:t>
      </w:r>
      <w:proofErr w:type="spellStart"/>
      <w:r w:rsidRPr="0051448C">
        <w:rPr>
          <w:i/>
          <w:sz w:val="22"/>
          <w:szCs w:val="22"/>
        </w:rPr>
        <w:t>authors</w:t>
      </w:r>
      <w:proofErr w:type="spellEnd"/>
      <w:r w:rsidRPr="0051448C">
        <w:rPr>
          <w:i/>
          <w:sz w:val="22"/>
          <w:szCs w:val="22"/>
        </w:rPr>
        <w:t xml:space="preserve">, </w:t>
      </w:r>
      <w:proofErr w:type="spellStart"/>
      <w:r w:rsidRPr="0051448C">
        <w:rPr>
          <w:i/>
          <w:sz w:val="22"/>
          <w:szCs w:val="22"/>
        </w:rPr>
        <w:t>from</w:t>
      </w:r>
      <w:proofErr w:type="spellEnd"/>
      <w:r w:rsidRPr="0051448C">
        <w:rPr>
          <w:i/>
          <w:sz w:val="22"/>
          <w:szCs w:val="22"/>
        </w:rPr>
        <w:t xml:space="preserve"> </w:t>
      </w:r>
      <w:proofErr w:type="spellStart"/>
      <w:r w:rsidRPr="0051448C">
        <w:rPr>
          <w:i/>
          <w:sz w:val="22"/>
          <w:szCs w:val="22"/>
        </w:rPr>
        <w:t>both</w:t>
      </w:r>
      <w:proofErr w:type="spellEnd"/>
      <w:r w:rsidRPr="0051448C">
        <w:rPr>
          <w:i/>
          <w:sz w:val="22"/>
          <w:szCs w:val="22"/>
        </w:rPr>
        <w:t xml:space="preserve"> </w:t>
      </w:r>
      <w:proofErr w:type="spellStart"/>
      <w:r w:rsidRPr="0051448C">
        <w:rPr>
          <w:i/>
          <w:sz w:val="22"/>
          <w:szCs w:val="22"/>
        </w:rPr>
        <w:t>the</w:t>
      </w:r>
      <w:proofErr w:type="spellEnd"/>
      <w:r w:rsidRPr="0051448C">
        <w:rPr>
          <w:i/>
          <w:sz w:val="22"/>
          <w:szCs w:val="22"/>
        </w:rPr>
        <w:t xml:space="preserve"> criminal </w:t>
      </w:r>
      <w:proofErr w:type="spellStart"/>
      <w:r w:rsidRPr="0051448C">
        <w:rPr>
          <w:i/>
          <w:sz w:val="22"/>
          <w:szCs w:val="22"/>
        </w:rPr>
        <w:t>procedural</w:t>
      </w:r>
      <w:proofErr w:type="spellEnd"/>
      <w:r w:rsidRPr="0051448C">
        <w:rPr>
          <w:i/>
          <w:sz w:val="22"/>
          <w:szCs w:val="22"/>
        </w:rPr>
        <w:t xml:space="preserve"> </w:t>
      </w:r>
      <w:proofErr w:type="spellStart"/>
      <w:r w:rsidRPr="0051448C">
        <w:rPr>
          <w:i/>
          <w:sz w:val="22"/>
          <w:szCs w:val="22"/>
        </w:rPr>
        <w:t>area</w:t>
      </w:r>
      <w:proofErr w:type="spellEnd"/>
      <w:r w:rsidRPr="0051448C">
        <w:rPr>
          <w:i/>
          <w:sz w:val="22"/>
          <w:szCs w:val="22"/>
        </w:rPr>
        <w:t xml:space="preserve"> </w:t>
      </w:r>
      <w:proofErr w:type="spellStart"/>
      <w:r w:rsidRPr="0051448C">
        <w:rPr>
          <w:i/>
          <w:sz w:val="22"/>
          <w:szCs w:val="22"/>
        </w:rPr>
        <w:t>and</w:t>
      </w:r>
      <w:proofErr w:type="spellEnd"/>
      <w:r w:rsidRPr="0051448C">
        <w:rPr>
          <w:i/>
          <w:sz w:val="22"/>
          <w:szCs w:val="22"/>
        </w:rPr>
        <w:t xml:space="preserve"> </w:t>
      </w:r>
      <w:proofErr w:type="spellStart"/>
      <w:r w:rsidRPr="0051448C">
        <w:rPr>
          <w:i/>
          <w:sz w:val="22"/>
          <w:szCs w:val="22"/>
        </w:rPr>
        <w:t>the</w:t>
      </w:r>
      <w:proofErr w:type="spellEnd"/>
      <w:r w:rsidRPr="0051448C">
        <w:rPr>
          <w:i/>
          <w:sz w:val="22"/>
          <w:szCs w:val="22"/>
        </w:rPr>
        <w:t xml:space="preserve"> </w:t>
      </w:r>
      <w:proofErr w:type="spellStart"/>
      <w:r w:rsidRPr="0051448C">
        <w:rPr>
          <w:i/>
          <w:sz w:val="22"/>
          <w:szCs w:val="22"/>
        </w:rPr>
        <w:t>administrative</w:t>
      </w:r>
      <w:proofErr w:type="spellEnd"/>
      <w:r w:rsidRPr="0051448C">
        <w:rPr>
          <w:i/>
          <w:sz w:val="22"/>
          <w:szCs w:val="22"/>
        </w:rPr>
        <w:t xml:space="preserve"> </w:t>
      </w:r>
      <w:proofErr w:type="spellStart"/>
      <w:proofErr w:type="gramStart"/>
      <w:r w:rsidRPr="0051448C">
        <w:rPr>
          <w:i/>
          <w:sz w:val="22"/>
          <w:szCs w:val="22"/>
        </w:rPr>
        <w:t>law</w:t>
      </w:r>
      <w:proofErr w:type="spellEnd"/>
      <w:proofErr w:type="gramEnd"/>
      <w:r w:rsidRPr="0051448C">
        <w:rPr>
          <w:i/>
          <w:sz w:val="22"/>
          <w:szCs w:val="22"/>
        </w:rPr>
        <w:t xml:space="preserve"> </w:t>
      </w:r>
      <w:proofErr w:type="spellStart"/>
      <w:r w:rsidRPr="0051448C">
        <w:rPr>
          <w:i/>
          <w:sz w:val="22"/>
          <w:szCs w:val="22"/>
        </w:rPr>
        <w:t>area</w:t>
      </w:r>
      <w:proofErr w:type="spellEnd"/>
      <w:r w:rsidRPr="0051448C">
        <w:rPr>
          <w:i/>
          <w:sz w:val="22"/>
          <w:szCs w:val="22"/>
        </w:rPr>
        <w:t xml:space="preserve">. Some </w:t>
      </w:r>
      <w:proofErr w:type="spellStart"/>
      <w:r w:rsidRPr="0051448C">
        <w:rPr>
          <w:i/>
          <w:sz w:val="22"/>
          <w:szCs w:val="22"/>
        </w:rPr>
        <w:t>jurisprudences</w:t>
      </w:r>
      <w:proofErr w:type="spellEnd"/>
      <w:r w:rsidRPr="0051448C">
        <w:rPr>
          <w:i/>
          <w:sz w:val="22"/>
          <w:szCs w:val="22"/>
        </w:rPr>
        <w:t xml:space="preserve"> </w:t>
      </w:r>
      <w:proofErr w:type="spellStart"/>
      <w:r w:rsidRPr="0051448C">
        <w:rPr>
          <w:i/>
          <w:sz w:val="22"/>
          <w:szCs w:val="22"/>
        </w:rPr>
        <w:t>that</w:t>
      </w:r>
      <w:proofErr w:type="spellEnd"/>
      <w:r w:rsidRPr="0051448C">
        <w:rPr>
          <w:i/>
          <w:sz w:val="22"/>
          <w:szCs w:val="22"/>
        </w:rPr>
        <w:t xml:space="preserve"> are </w:t>
      </w:r>
      <w:proofErr w:type="spellStart"/>
      <w:r w:rsidRPr="0051448C">
        <w:rPr>
          <w:i/>
          <w:sz w:val="22"/>
          <w:szCs w:val="22"/>
        </w:rPr>
        <w:t>pertinent</w:t>
      </w:r>
      <w:proofErr w:type="spellEnd"/>
      <w:r w:rsidRPr="0051448C">
        <w:rPr>
          <w:i/>
          <w:sz w:val="22"/>
          <w:szCs w:val="22"/>
        </w:rPr>
        <w:t xml:space="preserve"> to </w:t>
      </w:r>
      <w:proofErr w:type="spellStart"/>
      <w:r w:rsidRPr="0051448C">
        <w:rPr>
          <w:i/>
          <w:sz w:val="22"/>
          <w:szCs w:val="22"/>
        </w:rPr>
        <w:t>understand</w:t>
      </w:r>
      <w:proofErr w:type="spellEnd"/>
      <w:r w:rsidRPr="0051448C">
        <w:rPr>
          <w:i/>
          <w:sz w:val="22"/>
          <w:szCs w:val="22"/>
        </w:rPr>
        <w:t xml:space="preserve"> </w:t>
      </w:r>
      <w:proofErr w:type="spellStart"/>
      <w:r w:rsidRPr="0051448C">
        <w:rPr>
          <w:i/>
          <w:sz w:val="22"/>
          <w:szCs w:val="22"/>
        </w:rPr>
        <w:t>the</w:t>
      </w:r>
      <w:proofErr w:type="spellEnd"/>
      <w:r w:rsidRPr="0051448C">
        <w:rPr>
          <w:i/>
          <w:sz w:val="22"/>
          <w:szCs w:val="22"/>
        </w:rPr>
        <w:t xml:space="preserve"> </w:t>
      </w:r>
      <w:proofErr w:type="spellStart"/>
      <w:r w:rsidRPr="0051448C">
        <w:rPr>
          <w:i/>
          <w:sz w:val="22"/>
          <w:szCs w:val="22"/>
        </w:rPr>
        <w:t>position</w:t>
      </w:r>
      <w:proofErr w:type="spellEnd"/>
      <w:r w:rsidRPr="0051448C">
        <w:rPr>
          <w:i/>
          <w:sz w:val="22"/>
          <w:szCs w:val="22"/>
        </w:rPr>
        <w:t xml:space="preserve"> </w:t>
      </w:r>
      <w:proofErr w:type="spellStart"/>
      <w:r w:rsidRPr="0051448C">
        <w:rPr>
          <w:i/>
          <w:sz w:val="22"/>
          <w:szCs w:val="22"/>
        </w:rPr>
        <w:t>of</w:t>
      </w:r>
      <w:proofErr w:type="spellEnd"/>
      <w:r w:rsidRPr="0051448C">
        <w:rPr>
          <w:i/>
          <w:sz w:val="22"/>
          <w:szCs w:val="22"/>
        </w:rPr>
        <w:t xml:space="preserve"> </w:t>
      </w:r>
      <w:proofErr w:type="spellStart"/>
      <w:r w:rsidRPr="0051448C">
        <w:rPr>
          <w:i/>
          <w:sz w:val="22"/>
          <w:szCs w:val="22"/>
        </w:rPr>
        <w:t>the</w:t>
      </w:r>
      <w:proofErr w:type="spellEnd"/>
      <w:r w:rsidRPr="0051448C">
        <w:rPr>
          <w:i/>
          <w:sz w:val="22"/>
          <w:szCs w:val="22"/>
        </w:rPr>
        <w:t xml:space="preserve"> </w:t>
      </w:r>
      <w:proofErr w:type="spellStart"/>
      <w:r w:rsidRPr="0051448C">
        <w:rPr>
          <w:i/>
          <w:sz w:val="22"/>
          <w:szCs w:val="22"/>
        </w:rPr>
        <w:t>courts</w:t>
      </w:r>
      <w:proofErr w:type="spellEnd"/>
      <w:r w:rsidRPr="0051448C">
        <w:rPr>
          <w:i/>
          <w:sz w:val="22"/>
          <w:szCs w:val="22"/>
        </w:rPr>
        <w:t xml:space="preserve"> </w:t>
      </w:r>
      <w:proofErr w:type="spellStart"/>
      <w:r w:rsidRPr="0051448C">
        <w:rPr>
          <w:i/>
          <w:sz w:val="22"/>
          <w:szCs w:val="22"/>
        </w:rPr>
        <w:t>on</w:t>
      </w:r>
      <w:proofErr w:type="spellEnd"/>
      <w:r w:rsidRPr="0051448C">
        <w:rPr>
          <w:i/>
          <w:sz w:val="22"/>
          <w:szCs w:val="22"/>
        </w:rPr>
        <w:t xml:space="preserve"> </w:t>
      </w:r>
      <w:proofErr w:type="spellStart"/>
      <w:r w:rsidRPr="0051448C">
        <w:rPr>
          <w:i/>
          <w:sz w:val="22"/>
          <w:szCs w:val="22"/>
        </w:rPr>
        <w:t>the</w:t>
      </w:r>
      <w:proofErr w:type="spellEnd"/>
      <w:r w:rsidRPr="0051448C">
        <w:rPr>
          <w:i/>
          <w:sz w:val="22"/>
          <w:szCs w:val="22"/>
        </w:rPr>
        <w:t xml:space="preserve"> </w:t>
      </w:r>
      <w:proofErr w:type="spellStart"/>
      <w:r w:rsidRPr="0051448C">
        <w:rPr>
          <w:i/>
          <w:sz w:val="22"/>
          <w:szCs w:val="22"/>
        </w:rPr>
        <w:t>subject</w:t>
      </w:r>
      <w:proofErr w:type="spellEnd"/>
      <w:r w:rsidRPr="0051448C">
        <w:rPr>
          <w:i/>
          <w:sz w:val="22"/>
          <w:szCs w:val="22"/>
        </w:rPr>
        <w:t xml:space="preserve"> </w:t>
      </w:r>
      <w:proofErr w:type="spellStart"/>
      <w:r w:rsidRPr="0051448C">
        <w:rPr>
          <w:i/>
          <w:sz w:val="22"/>
          <w:szCs w:val="22"/>
        </w:rPr>
        <w:t>were</w:t>
      </w:r>
      <w:proofErr w:type="spellEnd"/>
      <w:r w:rsidRPr="0051448C">
        <w:rPr>
          <w:i/>
          <w:sz w:val="22"/>
          <w:szCs w:val="22"/>
        </w:rPr>
        <w:t xml:space="preserve"> </w:t>
      </w:r>
      <w:proofErr w:type="spellStart"/>
      <w:r w:rsidRPr="0051448C">
        <w:rPr>
          <w:i/>
          <w:sz w:val="22"/>
          <w:szCs w:val="22"/>
        </w:rPr>
        <w:t>highlighted</w:t>
      </w:r>
      <w:proofErr w:type="spellEnd"/>
      <w:r w:rsidRPr="0051448C">
        <w:rPr>
          <w:i/>
          <w:sz w:val="22"/>
          <w:szCs w:val="22"/>
        </w:rPr>
        <w:t xml:space="preserve">, as </w:t>
      </w:r>
      <w:proofErr w:type="spellStart"/>
      <w:r w:rsidRPr="0051448C">
        <w:rPr>
          <w:i/>
          <w:sz w:val="22"/>
          <w:szCs w:val="22"/>
        </w:rPr>
        <w:t>well</w:t>
      </w:r>
      <w:proofErr w:type="spellEnd"/>
      <w:r w:rsidRPr="0051448C">
        <w:rPr>
          <w:i/>
          <w:sz w:val="22"/>
          <w:szCs w:val="22"/>
        </w:rPr>
        <w:t xml:space="preserve"> as some </w:t>
      </w:r>
      <w:proofErr w:type="spellStart"/>
      <w:r w:rsidRPr="0051448C">
        <w:rPr>
          <w:i/>
          <w:sz w:val="22"/>
          <w:szCs w:val="22"/>
        </w:rPr>
        <w:t>scientific</w:t>
      </w:r>
      <w:proofErr w:type="spellEnd"/>
      <w:r w:rsidRPr="0051448C">
        <w:rPr>
          <w:i/>
          <w:sz w:val="22"/>
          <w:szCs w:val="22"/>
        </w:rPr>
        <w:t xml:space="preserve"> </w:t>
      </w:r>
      <w:proofErr w:type="spellStart"/>
      <w:r w:rsidRPr="0051448C">
        <w:rPr>
          <w:i/>
          <w:sz w:val="22"/>
          <w:szCs w:val="22"/>
        </w:rPr>
        <w:t>articles</w:t>
      </w:r>
      <w:proofErr w:type="spellEnd"/>
      <w:r w:rsidRPr="0051448C">
        <w:rPr>
          <w:i/>
          <w:sz w:val="22"/>
          <w:szCs w:val="22"/>
        </w:rPr>
        <w:t xml:space="preserve"> </w:t>
      </w:r>
      <w:proofErr w:type="spellStart"/>
      <w:r w:rsidRPr="0051448C">
        <w:rPr>
          <w:i/>
          <w:sz w:val="22"/>
          <w:szCs w:val="22"/>
        </w:rPr>
        <w:t>that</w:t>
      </w:r>
      <w:proofErr w:type="spellEnd"/>
      <w:r w:rsidRPr="0051448C">
        <w:rPr>
          <w:i/>
          <w:sz w:val="22"/>
          <w:szCs w:val="22"/>
        </w:rPr>
        <w:t xml:space="preserve"> </w:t>
      </w:r>
      <w:proofErr w:type="spellStart"/>
      <w:r w:rsidRPr="0051448C">
        <w:rPr>
          <w:i/>
          <w:sz w:val="22"/>
          <w:szCs w:val="22"/>
        </w:rPr>
        <w:t>speak</w:t>
      </w:r>
      <w:proofErr w:type="spellEnd"/>
      <w:r w:rsidRPr="0051448C">
        <w:rPr>
          <w:i/>
          <w:sz w:val="22"/>
          <w:szCs w:val="22"/>
        </w:rPr>
        <w:t xml:space="preserve"> </w:t>
      </w:r>
      <w:proofErr w:type="spellStart"/>
      <w:r w:rsidRPr="0051448C">
        <w:rPr>
          <w:i/>
          <w:sz w:val="22"/>
          <w:szCs w:val="22"/>
        </w:rPr>
        <w:t>specifically</w:t>
      </w:r>
      <w:proofErr w:type="spellEnd"/>
      <w:r w:rsidRPr="0051448C">
        <w:rPr>
          <w:i/>
          <w:sz w:val="22"/>
          <w:szCs w:val="22"/>
        </w:rPr>
        <w:t xml:space="preserve"> </w:t>
      </w:r>
      <w:proofErr w:type="spellStart"/>
      <w:r w:rsidRPr="0051448C">
        <w:rPr>
          <w:i/>
          <w:sz w:val="22"/>
          <w:szCs w:val="22"/>
        </w:rPr>
        <w:t>about</w:t>
      </w:r>
      <w:proofErr w:type="spellEnd"/>
      <w:r w:rsidRPr="0051448C">
        <w:rPr>
          <w:i/>
          <w:sz w:val="22"/>
          <w:szCs w:val="22"/>
        </w:rPr>
        <w:t xml:space="preserve"> </w:t>
      </w:r>
      <w:proofErr w:type="spellStart"/>
      <w:r w:rsidRPr="0051448C">
        <w:rPr>
          <w:i/>
          <w:sz w:val="22"/>
          <w:szCs w:val="22"/>
        </w:rPr>
        <w:t>the</w:t>
      </w:r>
      <w:proofErr w:type="spellEnd"/>
      <w:r w:rsidRPr="0051448C">
        <w:rPr>
          <w:i/>
          <w:sz w:val="22"/>
          <w:szCs w:val="22"/>
        </w:rPr>
        <w:t xml:space="preserve"> </w:t>
      </w:r>
      <w:proofErr w:type="spellStart"/>
      <w:proofErr w:type="gramStart"/>
      <w:r w:rsidRPr="0051448C">
        <w:rPr>
          <w:i/>
          <w:sz w:val="22"/>
          <w:szCs w:val="22"/>
        </w:rPr>
        <w:t>police</w:t>
      </w:r>
      <w:proofErr w:type="spellEnd"/>
      <w:proofErr w:type="gramEnd"/>
      <w:r w:rsidRPr="0051448C">
        <w:rPr>
          <w:i/>
          <w:sz w:val="22"/>
          <w:szCs w:val="22"/>
        </w:rPr>
        <w:t xml:space="preserve"> </w:t>
      </w:r>
      <w:proofErr w:type="spellStart"/>
      <w:r w:rsidRPr="0051448C">
        <w:rPr>
          <w:i/>
          <w:sz w:val="22"/>
          <w:szCs w:val="22"/>
        </w:rPr>
        <w:t>testimony</w:t>
      </w:r>
      <w:proofErr w:type="spellEnd"/>
      <w:r w:rsidRPr="0051448C">
        <w:rPr>
          <w:i/>
          <w:sz w:val="22"/>
          <w:szCs w:val="22"/>
        </w:rPr>
        <w:t xml:space="preserve">. In </w:t>
      </w:r>
      <w:proofErr w:type="spellStart"/>
      <w:r w:rsidRPr="0051448C">
        <w:rPr>
          <w:i/>
          <w:sz w:val="22"/>
          <w:szCs w:val="22"/>
        </w:rPr>
        <w:t>the</w:t>
      </w:r>
      <w:proofErr w:type="spellEnd"/>
      <w:r w:rsidRPr="0051448C">
        <w:rPr>
          <w:i/>
          <w:sz w:val="22"/>
          <w:szCs w:val="22"/>
        </w:rPr>
        <w:t xml:space="preserve"> </w:t>
      </w:r>
      <w:proofErr w:type="spellStart"/>
      <w:r w:rsidRPr="0051448C">
        <w:rPr>
          <w:i/>
          <w:sz w:val="22"/>
          <w:szCs w:val="22"/>
        </w:rPr>
        <w:t>end</w:t>
      </w:r>
      <w:proofErr w:type="spellEnd"/>
      <w:r w:rsidRPr="0051448C">
        <w:rPr>
          <w:i/>
          <w:sz w:val="22"/>
          <w:szCs w:val="22"/>
        </w:rPr>
        <w:t xml:space="preserve">, </w:t>
      </w:r>
      <w:proofErr w:type="spellStart"/>
      <w:r w:rsidRPr="0051448C">
        <w:rPr>
          <w:i/>
          <w:sz w:val="22"/>
          <w:szCs w:val="22"/>
        </w:rPr>
        <w:t>we</w:t>
      </w:r>
      <w:proofErr w:type="spellEnd"/>
      <w:r w:rsidRPr="0051448C">
        <w:rPr>
          <w:i/>
          <w:sz w:val="22"/>
          <w:szCs w:val="22"/>
        </w:rPr>
        <w:t xml:space="preserve"> </w:t>
      </w:r>
      <w:proofErr w:type="spellStart"/>
      <w:r w:rsidRPr="0051448C">
        <w:rPr>
          <w:i/>
          <w:sz w:val="22"/>
          <w:szCs w:val="22"/>
        </w:rPr>
        <w:t>conclude</w:t>
      </w:r>
      <w:proofErr w:type="spellEnd"/>
      <w:r w:rsidRPr="0051448C">
        <w:rPr>
          <w:i/>
          <w:sz w:val="22"/>
          <w:szCs w:val="22"/>
        </w:rPr>
        <w:t xml:space="preserve"> </w:t>
      </w:r>
      <w:proofErr w:type="spellStart"/>
      <w:r w:rsidRPr="0051448C">
        <w:rPr>
          <w:i/>
          <w:sz w:val="22"/>
          <w:szCs w:val="22"/>
        </w:rPr>
        <w:t>that</w:t>
      </w:r>
      <w:proofErr w:type="spellEnd"/>
      <w:r w:rsidRPr="0051448C">
        <w:rPr>
          <w:i/>
          <w:sz w:val="22"/>
          <w:szCs w:val="22"/>
        </w:rPr>
        <w:t xml:space="preserve">, </w:t>
      </w:r>
      <w:proofErr w:type="spellStart"/>
      <w:r w:rsidRPr="0051448C">
        <w:rPr>
          <w:i/>
          <w:sz w:val="22"/>
          <w:szCs w:val="22"/>
        </w:rPr>
        <w:t>so</w:t>
      </w:r>
      <w:proofErr w:type="spellEnd"/>
      <w:r w:rsidRPr="0051448C">
        <w:rPr>
          <w:i/>
          <w:sz w:val="22"/>
          <w:szCs w:val="22"/>
        </w:rPr>
        <w:t xml:space="preserve"> </w:t>
      </w:r>
      <w:proofErr w:type="spellStart"/>
      <w:r w:rsidRPr="0051448C">
        <w:rPr>
          <w:i/>
          <w:sz w:val="22"/>
          <w:szCs w:val="22"/>
        </w:rPr>
        <w:t>that</w:t>
      </w:r>
      <w:proofErr w:type="spellEnd"/>
      <w:r w:rsidRPr="0051448C">
        <w:rPr>
          <w:i/>
          <w:sz w:val="22"/>
          <w:szCs w:val="22"/>
        </w:rPr>
        <w:t xml:space="preserve"> criminal </w:t>
      </w:r>
      <w:proofErr w:type="spellStart"/>
      <w:r w:rsidRPr="0051448C">
        <w:rPr>
          <w:i/>
          <w:sz w:val="22"/>
          <w:szCs w:val="22"/>
        </w:rPr>
        <w:t>convictions</w:t>
      </w:r>
      <w:proofErr w:type="spellEnd"/>
      <w:r w:rsidRPr="0051448C">
        <w:rPr>
          <w:i/>
          <w:sz w:val="22"/>
          <w:szCs w:val="22"/>
        </w:rPr>
        <w:t xml:space="preserve"> do </w:t>
      </w:r>
      <w:proofErr w:type="spellStart"/>
      <w:r w:rsidRPr="0051448C">
        <w:rPr>
          <w:i/>
          <w:sz w:val="22"/>
          <w:szCs w:val="22"/>
        </w:rPr>
        <w:t>not</w:t>
      </w:r>
      <w:proofErr w:type="spellEnd"/>
      <w:r w:rsidRPr="0051448C">
        <w:rPr>
          <w:i/>
          <w:sz w:val="22"/>
          <w:szCs w:val="22"/>
        </w:rPr>
        <w:t xml:space="preserve"> </w:t>
      </w:r>
      <w:proofErr w:type="spellStart"/>
      <w:r w:rsidRPr="0051448C">
        <w:rPr>
          <w:i/>
          <w:sz w:val="22"/>
          <w:szCs w:val="22"/>
        </w:rPr>
        <w:t>violate</w:t>
      </w:r>
      <w:proofErr w:type="spellEnd"/>
      <w:r w:rsidRPr="0051448C">
        <w:rPr>
          <w:i/>
          <w:sz w:val="22"/>
          <w:szCs w:val="22"/>
        </w:rPr>
        <w:t xml:space="preserve"> fundamental </w:t>
      </w:r>
      <w:proofErr w:type="spellStart"/>
      <w:r w:rsidRPr="0051448C">
        <w:rPr>
          <w:i/>
          <w:sz w:val="22"/>
          <w:szCs w:val="22"/>
        </w:rPr>
        <w:t>constitutional</w:t>
      </w:r>
      <w:proofErr w:type="spellEnd"/>
      <w:r w:rsidRPr="0051448C">
        <w:rPr>
          <w:i/>
          <w:sz w:val="22"/>
          <w:szCs w:val="22"/>
        </w:rPr>
        <w:t xml:space="preserve"> </w:t>
      </w:r>
      <w:proofErr w:type="spellStart"/>
      <w:r w:rsidRPr="0051448C">
        <w:rPr>
          <w:i/>
          <w:sz w:val="22"/>
          <w:szCs w:val="22"/>
        </w:rPr>
        <w:t>principles</w:t>
      </w:r>
      <w:proofErr w:type="spellEnd"/>
      <w:r w:rsidRPr="0051448C">
        <w:rPr>
          <w:i/>
          <w:sz w:val="22"/>
          <w:szCs w:val="22"/>
        </w:rPr>
        <w:t xml:space="preserve"> </w:t>
      </w:r>
      <w:proofErr w:type="spellStart"/>
      <w:r w:rsidRPr="0051448C">
        <w:rPr>
          <w:i/>
          <w:sz w:val="22"/>
          <w:szCs w:val="22"/>
        </w:rPr>
        <w:t>of</w:t>
      </w:r>
      <w:proofErr w:type="spellEnd"/>
      <w:r w:rsidRPr="0051448C">
        <w:rPr>
          <w:i/>
          <w:sz w:val="22"/>
          <w:szCs w:val="22"/>
        </w:rPr>
        <w:t xml:space="preserve"> criminal </w:t>
      </w:r>
      <w:proofErr w:type="spellStart"/>
      <w:r w:rsidRPr="0051448C">
        <w:rPr>
          <w:i/>
          <w:sz w:val="22"/>
          <w:szCs w:val="22"/>
        </w:rPr>
        <w:t>proceedings</w:t>
      </w:r>
      <w:proofErr w:type="spellEnd"/>
      <w:r w:rsidRPr="0051448C">
        <w:rPr>
          <w:i/>
          <w:sz w:val="22"/>
          <w:szCs w:val="22"/>
        </w:rPr>
        <w:t xml:space="preserve">, it is </w:t>
      </w:r>
      <w:proofErr w:type="spellStart"/>
      <w:r w:rsidRPr="0051448C">
        <w:rPr>
          <w:i/>
          <w:sz w:val="22"/>
          <w:szCs w:val="22"/>
        </w:rPr>
        <w:t>essential</w:t>
      </w:r>
      <w:proofErr w:type="spellEnd"/>
      <w:r w:rsidRPr="0051448C">
        <w:rPr>
          <w:i/>
          <w:sz w:val="22"/>
          <w:szCs w:val="22"/>
        </w:rPr>
        <w:t xml:space="preserve"> </w:t>
      </w:r>
      <w:proofErr w:type="spellStart"/>
      <w:r w:rsidRPr="0051448C">
        <w:rPr>
          <w:i/>
          <w:sz w:val="22"/>
          <w:szCs w:val="22"/>
        </w:rPr>
        <w:t>that</w:t>
      </w:r>
      <w:proofErr w:type="spellEnd"/>
      <w:r w:rsidRPr="0051448C">
        <w:rPr>
          <w:i/>
          <w:sz w:val="22"/>
          <w:szCs w:val="22"/>
        </w:rPr>
        <w:t xml:space="preserve">, in </w:t>
      </w:r>
      <w:proofErr w:type="spellStart"/>
      <w:r w:rsidRPr="0051448C">
        <w:rPr>
          <w:i/>
          <w:sz w:val="22"/>
          <w:szCs w:val="22"/>
        </w:rPr>
        <w:t>the</w:t>
      </w:r>
      <w:proofErr w:type="spellEnd"/>
      <w:r w:rsidRPr="0051448C">
        <w:rPr>
          <w:i/>
          <w:sz w:val="22"/>
          <w:szCs w:val="22"/>
        </w:rPr>
        <w:t xml:space="preserve"> </w:t>
      </w:r>
      <w:proofErr w:type="spellStart"/>
      <w:r w:rsidRPr="0051448C">
        <w:rPr>
          <w:i/>
          <w:sz w:val="22"/>
          <w:szCs w:val="22"/>
        </w:rPr>
        <w:t>evidence</w:t>
      </w:r>
      <w:proofErr w:type="spellEnd"/>
      <w:r w:rsidRPr="0051448C">
        <w:rPr>
          <w:i/>
          <w:sz w:val="22"/>
          <w:szCs w:val="22"/>
        </w:rPr>
        <w:t xml:space="preserve"> set, </w:t>
      </w:r>
      <w:proofErr w:type="spellStart"/>
      <w:proofErr w:type="gramStart"/>
      <w:r w:rsidRPr="0051448C">
        <w:rPr>
          <w:i/>
          <w:sz w:val="22"/>
          <w:szCs w:val="22"/>
        </w:rPr>
        <w:t>police</w:t>
      </w:r>
      <w:proofErr w:type="spellEnd"/>
      <w:proofErr w:type="gramEnd"/>
      <w:r w:rsidRPr="0051448C">
        <w:rPr>
          <w:i/>
          <w:sz w:val="22"/>
          <w:szCs w:val="22"/>
        </w:rPr>
        <w:t xml:space="preserve"> </w:t>
      </w:r>
      <w:proofErr w:type="spellStart"/>
      <w:r w:rsidRPr="0051448C">
        <w:rPr>
          <w:i/>
          <w:sz w:val="22"/>
          <w:szCs w:val="22"/>
        </w:rPr>
        <w:t>statements</w:t>
      </w:r>
      <w:proofErr w:type="spellEnd"/>
      <w:r w:rsidRPr="0051448C">
        <w:rPr>
          <w:i/>
          <w:sz w:val="22"/>
          <w:szCs w:val="22"/>
        </w:rPr>
        <w:t xml:space="preserve"> are </w:t>
      </w:r>
      <w:proofErr w:type="spellStart"/>
      <w:r w:rsidRPr="0051448C">
        <w:rPr>
          <w:i/>
          <w:sz w:val="22"/>
          <w:szCs w:val="22"/>
        </w:rPr>
        <w:t>corroborated</w:t>
      </w:r>
      <w:proofErr w:type="spellEnd"/>
      <w:r w:rsidRPr="0051448C">
        <w:rPr>
          <w:i/>
          <w:sz w:val="22"/>
          <w:szCs w:val="22"/>
        </w:rPr>
        <w:t xml:space="preserve"> </w:t>
      </w:r>
      <w:proofErr w:type="spellStart"/>
      <w:r w:rsidRPr="0051448C">
        <w:rPr>
          <w:i/>
          <w:sz w:val="22"/>
          <w:szCs w:val="22"/>
        </w:rPr>
        <w:t>with</w:t>
      </w:r>
      <w:proofErr w:type="spellEnd"/>
      <w:r w:rsidRPr="0051448C">
        <w:rPr>
          <w:i/>
          <w:sz w:val="22"/>
          <w:szCs w:val="22"/>
        </w:rPr>
        <w:t xml:space="preserve"> </w:t>
      </w:r>
      <w:proofErr w:type="spellStart"/>
      <w:r w:rsidRPr="0051448C">
        <w:rPr>
          <w:i/>
          <w:sz w:val="22"/>
          <w:szCs w:val="22"/>
        </w:rPr>
        <w:t>the</w:t>
      </w:r>
      <w:proofErr w:type="spellEnd"/>
      <w:r w:rsidRPr="0051448C">
        <w:rPr>
          <w:i/>
          <w:sz w:val="22"/>
          <w:szCs w:val="22"/>
        </w:rPr>
        <w:t xml:space="preserve"> </w:t>
      </w:r>
      <w:proofErr w:type="spellStart"/>
      <w:r w:rsidRPr="0051448C">
        <w:rPr>
          <w:i/>
          <w:sz w:val="22"/>
          <w:szCs w:val="22"/>
        </w:rPr>
        <w:t>testimony</w:t>
      </w:r>
      <w:proofErr w:type="spellEnd"/>
      <w:r w:rsidRPr="0051448C">
        <w:rPr>
          <w:i/>
          <w:sz w:val="22"/>
          <w:szCs w:val="22"/>
        </w:rPr>
        <w:t xml:space="preserve"> </w:t>
      </w:r>
      <w:proofErr w:type="spellStart"/>
      <w:r w:rsidRPr="0051448C">
        <w:rPr>
          <w:i/>
          <w:sz w:val="22"/>
          <w:szCs w:val="22"/>
        </w:rPr>
        <w:t>of</w:t>
      </w:r>
      <w:proofErr w:type="spellEnd"/>
      <w:r w:rsidRPr="0051448C">
        <w:rPr>
          <w:i/>
          <w:sz w:val="22"/>
          <w:szCs w:val="22"/>
        </w:rPr>
        <w:t xml:space="preserve"> </w:t>
      </w:r>
      <w:proofErr w:type="spellStart"/>
      <w:r w:rsidRPr="0051448C">
        <w:rPr>
          <w:i/>
          <w:sz w:val="22"/>
          <w:szCs w:val="22"/>
        </w:rPr>
        <w:t>other</w:t>
      </w:r>
      <w:proofErr w:type="spellEnd"/>
      <w:r w:rsidRPr="0051448C">
        <w:rPr>
          <w:i/>
          <w:sz w:val="22"/>
          <w:szCs w:val="22"/>
        </w:rPr>
        <w:t xml:space="preserve"> </w:t>
      </w:r>
      <w:proofErr w:type="spellStart"/>
      <w:r w:rsidRPr="0051448C">
        <w:rPr>
          <w:i/>
          <w:sz w:val="22"/>
          <w:szCs w:val="22"/>
        </w:rPr>
        <w:t>witnesses</w:t>
      </w:r>
      <w:proofErr w:type="spellEnd"/>
      <w:r w:rsidRPr="0051448C">
        <w:rPr>
          <w:i/>
          <w:sz w:val="22"/>
          <w:szCs w:val="22"/>
        </w:rPr>
        <w:t xml:space="preserve"> </w:t>
      </w:r>
      <w:proofErr w:type="spellStart"/>
      <w:r w:rsidRPr="0051448C">
        <w:rPr>
          <w:i/>
          <w:sz w:val="22"/>
          <w:szCs w:val="22"/>
        </w:rPr>
        <w:t>who</w:t>
      </w:r>
      <w:proofErr w:type="spellEnd"/>
      <w:r w:rsidRPr="0051448C">
        <w:rPr>
          <w:i/>
          <w:sz w:val="22"/>
          <w:szCs w:val="22"/>
        </w:rPr>
        <w:t xml:space="preserve"> do </w:t>
      </w:r>
      <w:proofErr w:type="spellStart"/>
      <w:r w:rsidRPr="0051448C">
        <w:rPr>
          <w:i/>
          <w:sz w:val="22"/>
          <w:szCs w:val="22"/>
        </w:rPr>
        <w:t>not</w:t>
      </w:r>
      <w:proofErr w:type="spellEnd"/>
      <w:r w:rsidRPr="0051448C">
        <w:rPr>
          <w:i/>
          <w:sz w:val="22"/>
          <w:szCs w:val="22"/>
        </w:rPr>
        <w:t xml:space="preserve"> </w:t>
      </w:r>
      <w:proofErr w:type="spellStart"/>
      <w:r w:rsidRPr="0051448C">
        <w:rPr>
          <w:i/>
          <w:sz w:val="22"/>
          <w:szCs w:val="22"/>
        </w:rPr>
        <w:t>constitute</w:t>
      </w:r>
      <w:proofErr w:type="spellEnd"/>
      <w:r w:rsidRPr="0051448C">
        <w:rPr>
          <w:i/>
          <w:sz w:val="22"/>
          <w:szCs w:val="22"/>
        </w:rPr>
        <w:t xml:space="preserve"> </w:t>
      </w:r>
      <w:proofErr w:type="spellStart"/>
      <w:r w:rsidRPr="0051448C">
        <w:rPr>
          <w:i/>
          <w:sz w:val="22"/>
          <w:szCs w:val="22"/>
        </w:rPr>
        <w:t>the</w:t>
      </w:r>
      <w:proofErr w:type="spellEnd"/>
      <w:r w:rsidRPr="0051448C">
        <w:rPr>
          <w:i/>
          <w:sz w:val="22"/>
          <w:szCs w:val="22"/>
        </w:rPr>
        <w:t xml:space="preserve"> </w:t>
      </w:r>
      <w:proofErr w:type="spellStart"/>
      <w:r w:rsidRPr="0051448C">
        <w:rPr>
          <w:i/>
          <w:sz w:val="22"/>
          <w:szCs w:val="22"/>
        </w:rPr>
        <w:t>police</w:t>
      </w:r>
      <w:proofErr w:type="spellEnd"/>
      <w:r w:rsidRPr="0051448C">
        <w:rPr>
          <w:i/>
          <w:sz w:val="22"/>
          <w:szCs w:val="22"/>
        </w:rPr>
        <w:t xml:space="preserve"> </w:t>
      </w:r>
      <w:proofErr w:type="spellStart"/>
      <w:r w:rsidRPr="0051448C">
        <w:rPr>
          <w:i/>
          <w:sz w:val="22"/>
          <w:szCs w:val="22"/>
        </w:rPr>
        <w:t>and</w:t>
      </w:r>
      <w:proofErr w:type="spellEnd"/>
      <w:r w:rsidRPr="0051448C">
        <w:rPr>
          <w:i/>
          <w:sz w:val="22"/>
          <w:szCs w:val="22"/>
        </w:rPr>
        <w:t xml:space="preserve"> / </w:t>
      </w:r>
      <w:proofErr w:type="spellStart"/>
      <w:r w:rsidRPr="0051448C">
        <w:rPr>
          <w:i/>
          <w:sz w:val="22"/>
          <w:szCs w:val="22"/>
        </w:rPr>
        <w:t>or</w:t>
      </w:r>
      <w:proofErr w:type="spellEnd"/>
      <w:r w:rsidRPr="0051448C">
        <w:rPr>
          <w:i/>
          <w:sz w:val="22"/>
          <w:szCs w:val="22"/>
        </w:rPr>
        <w:t xml:space="preserve"> </w:t>
      </w:r>
      <w:proofErr w:type="spellStart"/>
      <w:r w:rsidRPr="0051448C">
        <w:rPr>
          <w:i/>
          <w:sz w:val="22"/>
          <w:szCs w:val="22"/>
        </w:rPr>
        <w:t>other</w:t>
      </w:r>
      <w:proofErr w:type="spellEnd"/>
      <w:r w:rsidRPr="0051448C">
        <w:rPr>
          <w:i/>
          <w:sz w:val="22"/>
          <w:szCs w:val="22"/>
        </w:rPr>
        <w:t xml:space="preserve"> </w:t>
      </w:r>
      <w:proofErr w:type="spellStart"/>
      <w:r w:rsidRPr="0051448C">
        <w:rPr>
          <w:i/>
          <w:sz w:val="22"/>
          <w:szCs w:val="22"/>
        </w:rPr>
        <w:t>evidence</w:t>
      </w:r>
      <w:proofErr w:type="spellEnd"/>
      <w:r w:rsidRPr="0051448C">
        <w:rPr>
          <w:i/>
          <w:sz w:val="22"/>
          <w:szCs w:val="22"/>
        </w:rPr>
        <w:t>.</w:t>
      </w:r>
    </w:p>
    <w:p w:rsidR="00601CBC" w:rsidRPr="00CA1210" w:rsidRDefault="00601CBC" w:rsidP="00601CBC">
      <w:pPr>
        <w:ind w:firstLine="0"/>
        <w:rPr>
          <w:sz w:val="22"/>
          <w:szCs w:val="22"/>
        </w:rPr>
      </w:pPr>
      <w:r w:rsidRPr="00CA1210">
        <w:rPr>
          <w:b/>
          <w:i/>
          <w:sz w:val="22"/>
          <w:szCs w:val="22"/>
          <w:lang w:val="en-US"/>
        </w:rPr>
        <w:t>Keywords:</w:t>
      </w:r>
      <w:r w:rsidRPr="00CA1210">
        <w:rPr>
          <w:i/>
          <w:sz w:val="22"/>
          <w:szCs w:val="22"/>
          <w:lang w:val="en-US"/>
        </w:rPr>
        <w:t xml:space="preserve"> </w:t>
      </w:r>
      <w:r w:rsidRPr="0042698E">
        <w:rPr>
          <w:i/>
          <w:sz w:val="22"/>
          <w:szCs w:val="22"/>
          <w:lang w:val="en-US"/>
        </w:rPr>
        <w:t>Witnesses</w:t>
      </w:r>
      <w:r>
        <w:rPr>
          <w:i/>
          <w:sz w:val="22"/>
          <w:szCs w:val="22"/>
          <w:lang w:val="en-US"/>
        </w:rPr>
        <w:t>.</w:t>
      </w:r>
      <w:r w:rsidRPr="0042698E">
        <w:rPr>
          <w:i/>
          <w:sz w:val="22"/>
          <w:szCs w:val="22"/>
          <w:lang w:val="en-US"/>
        </w:rPr>
        <w:t xml:space="preserve"> </w:t>
      </w:r>
      <w:proofErr w:type="gramStart"/>
      <w:r w:rsidRPr="0042698E">
        <w:rPr>
          <w:i/>
          <w:sz w:val="22"/>
          <w:szCs w:val="22"/>
          <w:lang w:val="en-US"/>
        </w:rPr>
        <w:t>Cops.</w:t>
      </w:r>
      <w:proofErr w:type="gramEnd"/>
      <w:r w:rsidRPr="0042698E">
        <w:rPr>
          <w:i/>
          <w:sz w:val="22"/>
          <w:szCs w:val="22"/>
          <w:lang w:val="en-US"/>
        </w:rPr>
        <w:t xml:space="preserve"> </w:t>
      </w:r>
      <w:proofErr w:type="gramStart"/>
      <w:r w:rsidRPr="0042698E">
        <w:rPr>
          <w:i/>
          <w:sz w:val="22"/>
          <w:szCs w:val="22"/>
          <w:lang w:val="en-US"/>
        </w:rPr>
        <w:t>Legitimacy.</w:t>
      </w:r>
      <w:proofErr w:type="gramEnd"/>
      <w:r w:rsidRPr="0042698E">
        <w:rPr>
          <w:i/>
          <w:sz w:val="22"/>
          <w:szCs w:val="22"/>
          <w:lang w:val="en-US"/>
        </w:rPr>
        <w:t xml:space="preserve"> </w:t>
      </w:r>
      <w:proofErr w:type="gramStart"/>
      <w:r w:rsidRPr="0042698E">
        <w:rPr>
          <w:i/>
          <w:sz w:val="22"/>
          <w:szCs w:val="22"/>
          <w:lang w:val="en-US"/>
        </w:rPr>
        <w:t>Valuation</w:t>
      </w:r>
      <w:r>
        <w:rPr>
          <w:i/>
          <w:sz w:val="22"/>
          <w:szCs w:val="22"/>
          <w:lang w:val="en-US"/>
        </w:rPr>
        <w:t>.</w:t>
      </w:r>
      <w:proofErr w:type="gramEnd"/>
    </w:p>
    <w:p w:rsidR="00601CBC" w:rsidRPr="00CA1210" w:rsidRDefault="00601CBC" w:rsidP="00601CBC">
      <w:pPr>
        <w:rPr>
          <w:sz w:val="22"/>
          <w:szCs w:val="22"/>
        </w:rPr>
      </w:pPr>
    </w:p>
    <w:p w:rsidR="00B206CF" w:rsidRPr="00CA1210" w:rsidRDefault="00B206CF" w:rsidP="001464D5">
      <w:pPr>
        <w:ind w:firstLine="0"/>
        <w:rPr>
          <w:sz w:val="22"/>
          <w:szCs w:val="22"/>
        </w:rPr>
      </w:pPr>
    </w:p>
    <w:p w:rsidR="008F3D0D" w:rsidRDefault="008F3D0D" w:rsidP="008F3D0D">
      <w:pPr>
        <w:pStyle w:val="Ttulo1"/>
        <w:numPr>
          <w:ilvl w:val="0"/>
          <w:numId w:val="14"/>
        </w:numPr>
        <w:ind w:left="431" w:hanging="431"/>
        <w:rPr>
          <w:rFonts w:cs="Times New Roman"/>
        </w:rPr>
      </w:pPr>
      <w:bookmarkStart w:id="1" w:name="_Toc459298929"/>
      <w:r>
        <w:rPr>
          <w:rFonts w:cs="Times New Roman"/>
        </w:rPr>
        <w:t>INTRODUÇÃO</w:t>
      </w:r>
    </w:p>
    <w:bookmarkEnd w:id="1"/>
    <w:p w:rsidR="0042698E" w:rsidRDefault="0042698E" w:rsidP="001464D5">
      <w:pPr>
        <w:pStyle w:val="Corpodetexto"/>
        <w:ind w:firstLine="708"/>
      </w:pPr>
      <w:r>
        <w:t>O presente trabalho tem objetivo de analisar a validade dos depoimentos prestados por policiais nas instruções penais</w:t>
      </w:r>
      <w:r w:rsidR="00086045">
        <w:t xml:space="preserve"> </w:t>
      </w:r>
      <w:r w:rsidR="00086045" w:rsidRPr="00776CDD">
        <w:t>de processos de tráfico de entorpecentes</w:t>
      </w:r>
      <w:r>
        <w:t>, tendo uma abordagem mais crítica àquelas sentenças</w:t>
      </w:r>
      <w:r w:rsidR="00E13316">
        <w:t xml:space="preserve"> criminais que se baseiam </w:t>
      </w:r>
      <w:r w:rsidR="00E13316" w:rsidRPr="005E5D55">
        <w:t>exclusivamente</w:t>
      </w:r>
      <w:r w:rsidRPr="005E5D55">
        <w:t xml:space="preserve"> </w:t>
      </w:r>
      <w:r w:rsidR="00E13316" w:rsidRPr="005E5D55">
        <w:t>n</w:t>
      </w:r>
      <w:r w:rsidRPr="005E5D55">
        <w:t>o</w:t>
      </w:r>
      <w:r>
        <w:t xml:space="preserve"> testemunho desses profissionais.</w:t>
      </w:r>
    </w:p>
    <w:p w:rsidR="0042698E" w:rsidRDefault="00383B83" w:rsidP="001464D5">
      <w:pPr>
        <w:pStyle w:val="Corpodetexto"/>
        <w:ind w:firstLine="708"/>
      </w:pPr>
      <w:r>
        <w:t>Sobre o tem</w:t>
      </w:r>
      <w:r w:rsidR="003B042B">
        <w:t>a</w:t>
      </w:r>
      <w:r>
        <w:t>, e</w:t>
      </w:r>
      <w:r w:rsidR="0042698E">
        <w:t>m 2017, foi proposto um Projeto de Lei (n°7.024/2017) que tinha a intenção de acrescentar o parágrafo único no art. 58 da Lei de Drogas</w:t>
      </w:r>
      <w:r>
        <w:t>,</w:t>
      </w:r>
      <w:r w:rsidR="0042698E">
        <w:t xml:space="preserve"> estabelecendo que “serão nulas as sentenças condenatórias fundamentadas exclusivamente no depoimento de policiais”. De acordo com o autor do supracitado projeto, </w:t>
      </w:r>
      <w:proofErr w:type="spellStart"/>
      <w:r w:rsidR="0042698E">
        <w:t>Wadih</w:t>
      </w:r>
      <w:proofErr w:type="spellEnd"/>
      <w:r w:rsidR="0042698E">
        <w:t xml:space="preserve"> </w:t>
      </w:r>
      <w:proofErr w:type="spellStart"/>
      <w:r w:rsidR="0042698E">
        <w:t>Damous</w:t>
      </w:r>
      <w:proofErr w:type="spellEnd"/>
      <w:r w:rsidR="0042698E">
        <w:t>, o cenário em que apenas depoimentos de policiais sustentam condenações de pessoas é considerado uma “anomalia” para o sistema carcerário brasileiro</w:t>
      </w:r>
      <w:r w:rsidR="00776CDD">
        <w:t xml:space="preserve"> (ESTEVES </w:t>
      </w:r>
      <w:proofErr w:type="spellStart"/>
      <w:proofErr w:type="gramStart"/>
      <w:r w:rsidR="00776CDD">
        <w:t>et</w:t>
      </w:r>
      <w:proofErr w:type="spellEnd"/>
      <w:proofErr w:type="gramEnd"/>
      <w:r w:rsidR="00776CDD">
        <w:t xml:space="preserve"> al.</w:t>
      </w:r>
      <w:r w:rsidR="006E0486">
        <w:t>,</w:t>
      </w:r>
      <w:r w:rsidR="00776CDD">
        <w:t xml:space="preserve"> 2018)</w:t>
      </w:r>
      <w:r w:rsidR="006E0486">
        <w:t>.</w:t>
      </w:r>
    </w:p>
    <w:p w:rsidR="00383B83" w:rsidRDefault="00383B83" w:rsidP="00383B83">
      <w:pPr>
        <w:pStyle w:val="Corpodetexto"/>
        <w:ind w:firstLine="708"/>
      </w:pPr>
      <w:r>
        <w:t xml:space="preserve">Ressalta-se aqui, a problemática do sistema carcerário do Brasil. Segundo o Banco Nacional de Monitoramento de Prisões do CNJ, até 2018, aproximadamente 24% da população carcerária é composta de </w:t>
      </w:r>
      <w:r w:rsidRPr="005E5D55">
        <w:t>indivíduos presos</w:t>
      </w:r>
      <w:r>
        <w:t xml:space="preserve"> devido ao tráfico de drogas, perdendo apenas para o roubo (que representa quase 28%). </w:t>
      </w:r>
    </w:p>
    <w:p w:rsidR="00383B83" w:rsidRDefault="00383B83" w:rsidP="006E0486">
      <w:pPr>
        <w:pStyle w:val="Corpodetexto"/>
        <w:ind w:firstLine="708"/>
      </w:pPr>
      <w:r>
        <w:t xml:space="preserve">No ponto de vista jurídico-penal, é considerável ressaltar que o Código de Processo Penal dispõe em seu artigo 155 que: </w:t>
      </w:r>
    </w:p>
    <w:p w:rsidR="00383B83" w:rsidRPr="006E0486" w:rsidRDefault="00383B83" w:rsidP="006E0486">
      <w:pPr>
        <w:pStyle w:val="Corpodetexto"/>
        <w:spacing w:line="240" w:lineRule="auto"/>
        <w:ind w:left="2268" w:firstLine="0"/>
        <w:rPr>
          <w:sz w:val="22"/>
          <w:szCs w:val="22"/>
        </w:rPr>
      </w:pPr>
      <w:r w:rsidRPr="00383B83">
        <w:rPr>
          <w:sz w:val="22"/>
          <w:szCs w:val="22"/>
        </w:rPr>
        <w:t xml:space="preserve">Art. 155.  O juiz formará sua convicção pela livre apreciação da prova produzida em contraditório judicial, </w:t>
      </w:r>
      <w:r w:rsidRPr="00383B83">
        <w:rPr>
          <w:b/>
          <w:sz w:val="22"/>
          <w:szCs w:val="22"/>
        </w:rPr>
        <w:t xml:space="preserve">não podendo fundamentar sua decisão exclusivamente nos elementos </w:t>
      </w:r>
      <w:proofErr w:type="gramStart"/>
      <w:r w:rsidRPr="00383B83">
        <w:rPr>
          <w:b/>
          <w:sz w:val="22"/>
          <w:szCs w:val="22"/>
        </w:rPr>
        <w:t xml:space="preserve">informativos colhidos na </w:t>
      </w:r>
      <w:r w:rsidRPr="00383B83">
        <w:rPr>
          <w:b/>
          <w:sz w:val="22"/>
          <w:szCs w:val="22"/>
        </w:rPr>
        <w:lastRenderedPageBreak/>
        <w:t>investigação</w:t>
      </w:r>
      <w:r w:rsidRPr="00383B83">
        <w:rPr>
          <w:sz w:val="22"/>
          <w:szCs w:val="22"/>
        </w:rPr>
        <w:t>, ressalvadas</w:t>
      </w:r>
      <w:proofErr w:type="gramEnd"/>
      <w:r w:rsidRPr="00383B83">
        <w:rPr>
          <w:sz w:val="22"/>
          <w:szCs w:val="22"/>
        </w:rPr>
        <w:t xml:space="preserve"> as provas cautelares, não repetíveis e antecipadas. (Grifo nosso).</w:t>
      </w:r>
    </w:p>
    <w:p w:rsidR="006E0486" w:rsidRDefault="0042698E" w:rsidP="001464D5">
      <w:pPr>
        <w:pStyle w:val="Corpodetexto"/>
        <w:ind w:firstLine="708"/>
      </w:pPr>
      <w:r>
        <w:t xml:space="preserve"> Acontece que, devido à grande demanda de processos no judiciário, a fase </w:t>
      </w:r>
      <w:proofErr w:type="spellStart"/>
      <w:r>
        <w:t>instrutória</w:t>
      </w:r>
      <w:proofErr w:type="spellEnd"/>
      <w:r>
        <w:t xml:space="preserve"> da ação penal, muitas vezes, vem ocorrer semanas, ou até mesmo meses após os fatos, tornando o depoimento do agente público escasso, uma vez que a sua memória pode falhar devido ao tempo que se decorreu, o que acarreta em depoimentos menos detalhados e na maior parte, os policiais acabam repetindo as declarações antes </w:t>
      </w:r>
      <w:r w:rsidR="00086045">
        <w:t>prestadas na fase do inquérito</w:t>
      </w:r>
      <w:r>
        <w:t>.</w:t>
      </w:r>
      <w:r w:rsidR="00086045">
        <w:t xml:space="preserve"> </w:t>
      </w:r>
      <w:r w:rsidR="00776CDD">
        <w:t xml:space="preserve">(LOPES JR. 2014). </w:t>
      </w:r>
    </w:p>
    <w:p w:rsidR="0042698E" w:rsidRDefault="0042698E" w:rsidP="001464D5">
      <w:pPr>
        <w:pStyle w:val="Corpodetexto"/>
        <w:ind w:firstLine="708"/>
      </w:pPr>
      <w:r>
        <w:t>Apesar de que alguns Tribu</w:t>
      </w:r>
      <w:r w:rsidR="00086045">
        <w:t xml:space="preserve">nais entenderem que os </w:t>
      </w:r>
      <w:r w:rsidR="00086045" w:rsidRPr="00776CDD">
        <w:t>depoimentos dos policiais</w:t>
      </w:r>
      <w:r>
        <w:t xml:space="preserve"> não apresentam falhas devido à presunção de regularidade dos atos dos agentes do Poder Público (como é o caso do Tribunal do Estado do Rio de Janeiro, em sua súmula n° 70</w:t>
      </w:r>
      <w:r w:rsidR="00E13316">
        <w:t xml:space="preserve"> </w:t>
      </w:r>
      <w:r w:rsidR="00EC0E86">
        <w:t xml:space="preserve">que diz que </w:t>
      </w:r>
      <w:r w:rsidR="00EC0E86" w:rsidRPr="00EC0E86">
        <w:t>"O fato de restringir-se a prova oral a depoimentos de autoridades policiais e seus agentes não desautoriza a condenação."</w:t>
      </w:r>
      <w:r>
        <w:t>), muito há o que se discut</w:t>
      </w:r>
      <w:r w:rsidR="00E13316">
        <w:t>ir, considerando que, há apenas</w:t>
      </w:r>
      <w:r>
        <w:t xml:space="preserve"> uma simples presunção de validade dos atos de policiais. </w:t>
      </w:r>
    </w:p>
    <w:p w:rsidR="0042698E" w:rsidRDefault="00147ADC" w:rsidP="00C3061D">
      <w:pPr>
        <w:pStyle w:val="Corpodetexto"/>
        <w:ind w:firstLine="708"/>
      </w:pPr>
      <w:r>
        <w:t>Mediante uma revisão bibliográfica e análise jurisprudencial, objetiva</w:t>
      </w:r>
      <w:r w:rsidR="00BD07EC">
        <w:t xml:space="preserve">-se, pois, </w:t>
      </w:r>
      <w:r>
        <w:t>com este trabalho</w:t>
      </w:r>
      <w:r w:rsidR="00BD07EC">
        <w:t>,</w:t>
      </w:r>
      <w:r>
        <w:t xml:space="preserve"> identificar e problematizar </w:t>
      </w:r>
      <w:r w:rsidR="0042698E">
        <w:t>os argumentos mob</w:t>
      </w:r>
      <w:r>
        <w:t>ilizados na controvérsia jurídica acerca de condenações criminais de</w:t>
      </w:r>
      <w:r w:rsidR="0042698E">
        <w:t xml:space="preserve"> tráfico de entorpecentes baseada</w:t>
      </w:r>
      <w:r>
        <w:t>s</w:t>
      </w:r>
      <w:r w:rsidR="0042698E">
        <w:t xml:space="preserve"> unica</w:t>
      </w:r>
      <w:r>
        <w:t>mente nos depoimentos policiais.</w:t>
      </w:r>
    </w:p>
    <w:p w:rsidR="004B79D7" w:rsidRDefault="004B79D7" w:rsidP="00C3061D">
      <w:pPr>
        <w:pStyle w:val="Corpodetexto"/>
        <w:ind w:firstLine="708"/>
      </w:pPr>
    </w:p>
    <w:p w:rsidR="008F3D0D" w:rsidRDefault="00E613EE" w:rsidP="008F3D0D">
      <w:pPr>
        <w:pStyle w:val="Ttulo1"/>
        <w:numPr>
          <w:ilvl w:val="0"/>
          <w:numId w:val="14"/>
        </w:numPr>
        <w:ind w:left="431" w:hanging="431"/>
        <w:rPr>
          <w:rFonts w:cs="Times New Roman"/>
        </w:rPr>
      </w:pPr>
      <w:r>
        <w:rPr>
          <w:rFonts w:cs="Times New Roman"/>
        </w:rPr>
        <w:t>aRGUMENTOS MOBILIZADOS</w:t>
      </w:r>
    </w:p>
    <w:p w:rsidR="00C3061D" w:rsidRDefault="00C3061D" w:rsidP="004B79D7">
      <w:r>
        <w:t xml:space="preserve">Foram </w:t>
      </w:r>
      <w:proofErr w:type="gramStart"/>
      <w:r>
        <w:t>identificadas quatro principais argumentos utilizados na discussão jurídica</w:t>
      </w:r>
      <w:proofErr w:type="gramEnd"/>
      <w:r>
        <w:t xml:space="preserve"> sobre as condenações criminais por tráfico de entorpecentes baseadas exclusivamente em depoimentos de policiais (civis ou militares) que atuaram na persecução criminal pré-processual: </w:t>
      </w:r>
      <w:r w:rsidR="00E613EE">
        <w:t xml:space="preserve">(2.1) </w:t>
      </w:r>
      <w:r>
        <w:t>a simples r</w:t>
      </w:r>
      <w:r w:rsidR="00BD07EC">
        <w:t>epetição do depoimento policial obtido na fase do inquérit</w:t>
      </w:r>
      <w:r>
        <w:t>o policial e a impossibilidade de condenações baseadas unicamente em elementos de informações obtidos nesta fase</w:t>
      </w:r>
      <w:r w:rsidR="00BD07EC">
        <w:t xml:space="preserve">; </w:t>
      </w:r>
      <w:r w:rsidR="00E613EE">
        <w:t>(2.2)</w:t>
      </w:r>
      <w:r>
        <w:t xml:space="preserve">a </w:t>
      </w:r>
      <w:r w:rsidR="00BD07EC">
        <w:t>pr</w:t>
      </w:r>
      <w:r w:rsidR="00E613EE">
        <w:t>esunção de veracidade dos depoimentos dos policiais</w:t>
      </w:r>
      <w:r>
        <w:t xml:space="preserve">; </w:t>
      </w:r>
      <w:r w:rsidR="00E613EE">
        <w:t xml:space="preserve">(2.3) </w:t>
      </w:r>
      <w:r>
        <w:t>a problemática</w:t>
      </w:r>
      <w:r w:rsidR="00E613EE">
        <w:t xml:space="preserve"> das falsas memórias e (2.4) o argumento pela parcialidade da atuação policial.  </w:t>
      </w:r>
      <w:r>
        <w:t xml:space="preserve"> </w:t>
      </w:r>
    </w:p>
    <w:p w:rsidR="004B79D7" w:rsidRDefault="004B79D7" w:rsidP="004B79D7"/>
    <w:p w:rsidR="00C3061D" w:rsidRPr="00E613EE" w:rsidRDefault="00C3061D" w:rsidP="001464D5">
      <w:pPr>
        <w:pStyle w:val="Corpodetexto"/>
        <w:ind w:firstLine="708"/>
        <w:rPr>
          <w:b/>
        </w:rPr>
      </w:pPr>
      <w:r w:rsidRPr="00E613EE">
        <w:rPr>
          <w:b/>
        </w:rPr>
        <w:t xml:space="preserve">2.1 </w:t>
      </w:r>
      <w:r w:rsidR="00E613EE">
        <w:rPr>
          <w:b/>
        </w:rPr>
        <w:t>A repetição dos depoimentos ob</w:t>
      </w:r>
      <w:r w:rsidR="00E613EE" w:rsidRPr="00E613EE">
        <w:rPr>
          <w:b/>
        </w:rPr>
        <w:t>tidos na fase do inquérito policial</w:t>
      </w:r>
    </w:p>
    <w:p w:rsidR="0042698E" w:rsidRDefault="0042698E" w:rsidP="001464D5">
      <w:pPr>
        <w:pStyle w:val="Corpodetexto"/>
        <w:ind w:firstLine="708"/>
      </w:pPr>
      <w:r>
        <w:lastRenderedPageBreak/>
        <w:t>Nota-se que</w:t>
      </w:r>
      <w:r w:rsidR="00C40B6A">
        <w:t>,</w:t>
      </w:r>
      <w:r>
        <w:t xml:space="preserve"> no processo criminal, um grande número de condenações funda-se unicamente em provas testemunhais</w:t>
      </w:r>
      <w:r w:rsidR="004B79D7">
        <w:t>,</w:t>
      </w:r>
      <w:r>
        <w:t xml:space="preserve"> principalmente nos processos os quais os réus são processados por delitos da Lei de Drogas, sendo o convencimento do magistrado, muitas vezes, embasado apenas em depoimentos policiais</w:t>
      </w:r>
      <w:r w:rsidR="00252085">
        <w:t xml:space="preserve"> </w:t>
      </w:r>
      <w:r w:rsidR="00EC0E86">
        <w:t>(LOPES JR., 2014</w:t>
      </w:r>
      <w:r w:rsidR="00776CDD">
        <w:t>).</w:t>
      </w:r>
    </w:p>
    <w:p w:rsidR="0042698E" w:rsidRDefault="0042698E" w:rsidP="001464D5">
      <w:pPr>
        <w:pStyle w:val="Corpodetexto"/>
        <w:ind w:firstLine="708"/>
      </w:pPr>
      <w:r>
        <w:t xml:space="preserve">Para </w:t>
      </w:r>
      <w:proofErr w:type="spellStart"/>
      <w:r>
        <w:t>Nucci</w:t>
      </w:r>
      <w:proofErr w:type="spellEnd"/>
      <w:r>
        <w:t xml:space="preserve"> (2016), o policial que conduziu aquela investigação ou decretou </w:t>
      </w:r>
      <w:r w:rsidR="00252085">
        <w:t>a prisão em flagrante do agente</w:t>
      </w:r>
      <w:r>
        <w:t xml:space="preserve"> pode fazer parte do rol de testemunhas, porém a validade de seu depoimento se torna limitada, uma vez que na fase de instrução do processo, o policial pode apenas concordar com as declarações feitas na fase inquisitória, com uma consequente repetição do inquérito.</w:t>
      </w:r>
    </w:p>
    <w:p w:rsidR="0042698E" w:rsidRDefault="0042698E" w:rsidP="001464D5">
      <w:pPr>
        <w:pStyle w:val="Corpodetexto"/>
        <w:ind w:firstLine="708"/>
      </w:pPr>
      <w:r>
        <w:t>No Código de Processo Penal, em seu artigo 202, diz que toda pessoa pode ser testemunha. Já no art. 155 do aludido código, dispõe que a condenação não pode ser formada exclusivamente por elementos colhidos na investigação, o que gera uma dúvida, pois os depoimentos dos agentes policiais, anteriormente colhidos na fase de investigação serão, na maioria das vezes, repetidos na audiência.</w:t>
      </w:r>
    </w:p>
    <w:p w:rsidR="0064322E" w:rsidRPr="0064322E" w:rsidRDefault="0064322E" w:rsidP="005547B2">
      <w:pPr>
        <w:pStyle w:val="Corpodetexto"/>
        <w:ind w:firstLine="708"/>
      </w:pPr>
      <w:r w:rsidRPr="0064322E">
        <w:t>Com o olhar na fase de investigação</w:t>
      </w:r>
      <w:r w:rsidR="004B79D7">
        <w:t xml:space="preserve"> pré-processual</w:t>
      </w:r>
      <w:r w:rsidRPr="0064322E">
        <w:t xml:space="preserve">, as provas </w:t>
      </w:r>
      <w:r w:rsidR="004B79D7">
        <w:t xml:space="preserve">colhidas no inquérito policial </w:t>
      </w:r>
      <w:r w:rsidRPr="0064322E">
        <w:t>pelos agentes e a forma</w:t>
      </w:r>
      <w:r w:rsidR="005547B2">
        <w:t xml:space="preserve"> colhida ficam a critério da autoridade policial.</w:t>
      </w:r>
      <w:r w:rsidRPr="0064322E">
        <w:t xml:space="preserve"> </w:t>
      </w:r>
      <w:r w:rsidR="005547B2">
        <w:t>N</w:t>
      </w:r>
      <w:r w:rsidRPr="0064322E">
        <w:t>este momento</w:t>
      </w:r>
      <w:r w:rsidR="005547B2">
        <w:t xml:space="preserve"> da persecução criminal, marcado por sua</w:t>
      </w:r>
      <w:r w:rsidRPr="0064322E">
        <w:t xml:space="preserve"> </w:t>
      </w:r>
      <w:proofErr w:type="spellStart"/>
      <w:r w:rsidRPr="0064322E">
        <w:t>inquisitorial</w:t>
      </w:r>
      <w:r w:rsidR="005547B2">
        <w:t>idade</w:t>
      </w:r>
      <w:proofErr w:type="spellEnd"/>
      <w:r w:rsidR="005547B2">
        <w:t xml:space="preserve">, os princípios constitucionais do </w:t>
      </w:r>
      <w:proofErr w:type="gramStart"/>
      <w:r w:rsidR="005547B2">
        <w:t>contraditório e ampla defesa</w:t>
      </w:r>
      <w:proofErr w:type="gramEnd"/>
      <w:r w:rsidR="005547B2">
        <w:t xml:space="preserve"> estão ausentes do procedimento.</w:t>
      </w:r>
      <w:r w:rsidRPr="0064322E">
        <w:t xml:space="preserve"> </w:t>
      </w:r>
    </w:p>
    <w:p w:rsidR="00F84834" w:rsidRDefault="0064322E" w:rsidP="00F84834">
      <w:pPr>
        <w:pStyle w:val="Corpodetexto"/>
        <w:ind w:firstLine="708"/>
      </w:pPr>
      <w:r w:rsidRPr="0064322E">
        <w:t>Desta forma</w:t>
      </w:r>
      <w:r w:rsidR="00F84834">
        <w:t>,</w:t>
      </w:r>
      <w:r w:rsidRPr="0064322E">
        <w:t xml:space="preserve"> o que foi obtido na fase inquisitorial</w:t>
      </w:r>
      <w:r w:rsidR="00F84834">
        <w:t xml:space="preserve"> fica como verdadeiro </w:t>
      </w:r>
      <w:r w:rsidR="00F84834" w:rsidRPr="0064322E">
        <w:t>até que siga para a próxima fase</w:t>
      </w:r>
      <w:r w:rsidR="00F84834">
        <w:t xml:space="preserve">, agora processual, permeada, por sua vez, pelos princípios do contraditório e da ampla defesa presentes no </w:t>
      </w:r>
      <w:r w:rsidR="00F84834" w:rsidRPr="0064322E">
        <w:t>artigo 5º, inciso LV da CF</w:t>
      </w:r>
      <w:r w:rsidR="00F84834">
        <w:t>. Nesse momento,</w:t>
      </w:r>
      <w:r w:rsidR="00F84834" w:rsidRPr="0064322E">
        <w:t xml:space="preserve"> a ausência</w:t>
      </w:r>
      <w:r w:rsidR="00F84834">
        <w:t xml:space="preserve"> do contraditório ocasionará inclusive a </w:t>
      </w:r>
      <w:r w:rsidR="00F84834" w:rsidRPr="0064322E">
        <w:t>nulidade absoluta quando prejudicar o réu.</w:t>
      </w:r>
      <w:r w:rsidRPr="0064322E">
        <w:t xml:space="preserve"> </w:t>
      </w:r>
    </w:p>
    <w:p w:rsidR="0064322E" w:rsidRDefault="0064322E" w:rsidP="0064322E">
      <w:pPr>
        <w:pStyle w:val="Corpodetexto"/>
        <w:ind w:firstLine="708"/>
      </w:pPr>
      <w:r>
        <w:t>Neste sentido</w:t>
      </w:r>
      <w:r w:rsidR="00B35644">
        <w:t>, demonstrando a necessidade de que a condenação criminal seja baseada em provas obtidas quando presente o contraditório e a ampla defesa</w:t>
      </w:r>
      <w:proofErr w:type="gramStart"/>
      <w:r w:rsidR="00B35644">
        <w:t>,</w:t>
      </w:r>
      <w:r>
        <w:t xml:space="preserve"> apontou</w:t>
      </w:r>
      <w:proofErr w:type="gramEnd"/>
      <w:r>
        <w:t xml:space="preserve"> a Suprema Corte no Recurso Extraordinário n. </w:t>
      </w:r>
      <w:r w:rsidR="0066789F">
        <w:t>607173</w:t>
      </w:r>
      <w:r w:rsidR="00F84834">
        <w:t>:</w:t>
      </w:r>
    </w:p>
    <w:p w:rsidR="0066789F" w:rsidRDefault="0066789F" w:rsidP="0066789F">
      <w:pPr>
        <w:pStyle w:val="Corpodetexto"/>
        <w:spacing w:line="240" w:lineRule="auto"/>
        <w:ind w:left="2268" w:firstLine="0"/>
      </w:pPr>
      <w:r>
        <w:rPr>
          <w:sz w:val="22"/>
          <w:szCs w:val="22"/>
        </w:rPr>
        <w:t xml:space="preserve">EMENTA: </w:t>
      </w:r>
      <w:r w:rsidRPr="0066789F">
        <w:rPr>
          <w:sz w:val="22"/>
          <w:szCs w:val="22"/>
        </w:rPr>
        <w:t xml:space="preserve">RECURSO EXTRAORDINÁRIO. CONSTITUCIONAL E PROCESSUAL PENAL. CONDENAÇÃO LASTREADA EXCLUSIVAMENTE EM PROVAS COLHIDAS NA FASE </w:t>
      </w:r>
      <w:proofErr w:type="gramStart"/>
      <w:r w:rsidRPr="0066789F">
        <w:rPr>
          <w:sz w:val="22"/>
          <w:szCs w:val="22"/>
        </w:rPr>
        <w:t>INQUISITORIAL NÃO REPRODUZIDAS</w:t>
      </w:r>
      <w:proofErr w:type="gramEnd"/>
      <w:r w:rsidRPr="0066789F">
        <w:rPr>
          <w:sz w:val="22"/>
          <w:szCs w:val="22"/>
        </w:rPr>
        <w:t xml:space="preserve"> EM JUÍZO: OFENSA AO ART. 5º, INC. LV, DA CONSTITUIÇÃO DA REPÚBLICA. JULGADO RECORRIDO DIVERGENTE DA JURISPRUDÊNCIA DO SUPREMO TR</w:t>
      </w:r>
      <w:r>
        <w:rPr>
          <w:sz w:val="22"/>
          <w:szCs w:val="22"/>
        </w:rPr>
        <w:t xml:space="preserve">IBUNAL FEDERAL. RECURSO PROVIDO (RE </w:t>
      </w:r>
      <w:r>
        <w:t>n. 607173, Rel. Min. Cármen Lúcia)</w:t>
      </w:r>
      <w:r w:rsidR="00B35644">
        <w:t>.</w:t>
      </w:r>
    </w:p>
    <w:p w:rsidR="00B35644" w:rsidRPr="0066789F" w:rsidRDefault="00B35644" w:rsidP="00B35644">
      <w:pPr>
        <w:pStyle w:val="Corpodetexto"/>
        <w:spacing w:line="240" w:lineRule="auto"/>
        <w:ind w:firstLine="0"/>
        <w:rPr>
          <w:sz w:val="22"/>
          <w:szCs w:val="22"/>
        </w:rPr>
      </w:pPr>
    </w:p>
    <w:p w:rsidR="00C3061D" w:rsidRPr="00C3061D" w:rsidRDefault="00E613EE" w:rsidP="001464D5">
      <w:pPr>
        <w:pStyle w:val="Corpodetexto"/>
        <w:ind w:firstLine="708"/>
        <w:rPr>
          <w:b/>
        </w:rPr>
      </w:pPr>
      <w:r>
        <w:rPr>
          <w:b/>
        </w:rPr>
        <w:t xml:space="preserve">2.2 </w:t>
      </w:r>
      <w:r w:rsidR="00C3061D" w:rsidRPr="00C3061D">
        <w:rPr>
          <w:b/>
        </w:rPr>
        <w:t>A presunção de veracidade dos depoimentos dos policiais</w:t>
      </w:r>
      <w:r w:rsidR="0042698E" w:rsidRPr="00C3061D">
        <w:rPr>
          <w:b/>
        </w:rPr>
        <w:t xml:space="preserve"> </w:t>
      </w:r>
    </w:p>
    <w:p w:rsidR="0042698E" w:rsidRDefault="00E613EE" w:rsidP="001464D5">
      <w:pPr>
        <w:pStyle w:val="Corpodetexto"/>
        <w:ind w:firstLine="708"/>
      </w:pPr>
      <w:r>
        <w:t>H</w:t>
      </w:r>
      <w:r w:rsidR="0042698E">
        <w:t>á</w:t>
      </w:r>
      <w:r>
        <w:t xml:space="preserve"> também o entendimento de ser evidente a validade dos depoimentos dos policiais</w:t>
      </w:r>
      <w:r w:rsidR="0042698E">
        <w:t xml:space="preserve"> uma vez que os atos da administração pública são considerados válidos, logo, presume-se a veracidade das palavras dos policiais. Neste sentindo, o Tribunal de Justiça do Estado do Rio de Janeiro, através da Súmula n° 70, entende que “o fato de restringir-se a prova oral a depoimentos de autoridades policiais e seus agentes não desautoriza a condenação.”.</w:t>
      </w:r>
    </w:p>
    <w:p w:rsidR="0042698E" w:rsidRDefault="0042698E" w:rsidP="001464D5">
      <w:pPr>
        <w:pStyle w:val="Corpodetexto"/>
        <w:ind w:firstLine="708"/>
      </w:pPr>
      <w:r>
        <w:t xml:space="preserve">Carvalho e Brasil e </w:t>
      </w:r>
      <w:proofErr w:type="spellStart"/>
      <w:r>
        <w:t>Weigert</w:t>
      </w:r>
      <w:proofErr w:type="spellEnd"/>
      <w:r>
        <w:t>, (2018, p. 52), entendem que a súmula n° 70 TJRJ é falha, uma vez que pressupõe que o simples fato dos depoim</w:t>
      </w:r>
      <w:r w:rsidR="00252085">
        <w:t>entos serem de agentes públicos</w:t>
      </w:r>
      <w:r>
        <w:t xml:space="preserve"> já tornem as declarações válidas.</w:t>
      </w:r>
    </w:p>
    <w:p w:rsidR="00DA09AE" w:rsidRPr="00393507" w:rsidRDefault="0042698E" w:rsidP="00393507">
      <w:pPr>
        <w:pStyle w:val="Corpodetexto"/>
        <w:ind w:firstLine="708"/>
      </w:pPr>
      <w:r>
        <w:t xml:space="preserve">No Tribunal de Justiça do Estado de Minas Gerais, o entendimento </w:t>
      </w:r>
      <w:r w:rsidR="009B5536">
        <w:t>é de que não há o que se falar em nulidade da prova testemunhal de policiais</w:t>
      </w:r>
      <w:r w:rsidR="00C40B6A">
        <w:t>, como é demonstrado pela jurisprudência abaixo:</w:t>
      </w:r>
      <w:r>
        <w:t xml:space="preserve"> </w:t>
      </w:r>
    </w:p>
    <w:p w:rsidR="005C5A0D" w:rsidRPr="005C5A0D" w:rsidRDefault="005C5A0D" w:rsidP="00C40B6A">
      <w:pPr>
        <w:pStyle w:val="Corpodetexto"/>
        <w:spacing w:line="240" w:lineRule="auto"/>
        <w:ind w:left="2268" w:firstLine="0"/>
        <w:rPr>
          <w:sz w:val="22"/>
          <w:szCs w:val="22"/>
        </w:rPr>
      </w:pPr>
      <w:r w:rsidRPr="005C5A0D">
        <w:rPr>
          <w:sz w:val="22"/>
          <w:szCs w:val="22"/>
        </w:rPr>
        <w:t xml:space="preserve">APELAÇÃO CRIMINAL - TRÁFICO ILÍCITO DE ENTORPECENTES (LEI Nº 11.343/06, ART. 33 C/C O ART. 40, INCISO VI)- RECURSO DEFENSIVO - PRELIMINARES: NULIDADE POR USURPAÇÃO DE FUNÇÃO DA POLÍCIA CIVIL PELA POLÍCIA MILITAR E POR AUSÊNCIA DE MANDADO JUDICIAL PARA REALIZAÇÃO DE BUSCA NO INTERIOR DA RESIDÊNCIA - REJEIÇÃO - MÉRITO: PRETENSÃO ABSOLUTÓRIA - IMPOSSIBILIDADE - AUTORIA E </w:t>
      </w:r>
      <w:proofErr w:type="gramStart"/>
      <w:r w:rsidRPr="005C5A0D">
        <w:rPr>
          <w:sz w:val="22"/>
          <w:szCs w:val="22"/>
        </w:rPr>
        <w:t>MATERIALIDADE COMPROVADAS</w:t>
      </w:r>
      <w:proofErr w:type="gramEnd"/>
      <w:r w:rsidRPr="005C5A0D">
        <w:rPr>
          <w:sz w:val="22"/>
          <w:szCs w:val="22"/>
        </w:rPr>
        <w:t xml:space="preserve"> - DEPOIMENTOS DE POLICIAIS E TESTEMUNHAS - CONSISTÊNCIA DO CONJUNTO PROBATÓRIO - DECOTE DA MAJORANTE INSERTA NO ART. 40, VI DA LEI Nº 11.343/06 - INVIABILIDADE - RECURSOS NÃO PROVIDO. </w:t>
      </w:r>
    </w:p>
    <w:p w:rsidR="00DA09AE" w:rsidRDefault="005C5A0D" w:rsidP="00DA09AE">
      <w:pPr>
        <w:pStyle w:val="Corpodetexto"/>
        <w:spacing w:line="240" w:lineRule="auto"/>
        <w:ind w:left="2268" w:firstLine="0"/>
        <w:rPr>
          <w:sz w:val="22"/>
          <w:szCs w:val="22"/>
        </w:rPr>
      </w:pPr>
      <w:r w:rsidRPr="005C5A0D">
        <w:rPr>
          <w:sz w:val="22"/>
          <w:szCs w:val="22"/>
        </w:rPr>
        <w:t xml:space="preserve">(...) </w:t>
      </w:r>
    </w:p>
    <w:p w:rsidR="005C5A0D" w:rsidRDefault="0042698E" w:rsidP="00DA09AE">
      <w:pPr>
        <w:pStyle w:val="Corpodetexto"/>
        <w:spacing w:line="240" w:lineRule="auto"/>
        <w:ind w:left="2268" w:firstLine="0"/>
      </w:pPr>
      <w:r w:rsidRPr="005C5A0D">
        <w:rPr>
          <w:sz w:val="22"/>
          <w:szCs w:val="22"/>
        </w:rPr>
        <w:t xml:space="preserve">A palavra firme e coerente de policiais militares é reconhecidamente dotada de valor probante, prestando-se à comprovação dos fatos narrados na denúncia sempre que isenta de qualquer suspeita e em harmonia com o conjunto probatório apresentado. </w:t>
      </w:r>
      <w:proofErr w:type="gramStart"/>
      <w:r w:rsidRPr="005C5A0D">
        <w:rPr>
          <w:sz w:val="22"/>
          <w:szCs w:val="22"/>
        </w:rPr>
        <w:t>Precedentes do STJ”</w:t>
      </w:r>
      <w:proofErr w:type="gramEnd"/>
      <w:r w:rsidRPr="005C5A0D">
        <w:rPr>
          <w:sz w:val="22"/>
          <w:szCs w:val="22"/>
        </w:rPr>
        <w:t xml:space="preserve">. (AC 0002170-19.2018.8.13.0440 – Minas Gerais. Rel. Des. </w:t>
      </w:r>
      <w:r w:rsidR="00252085" w:rsidRPr="005C5A0D">
        <w:rPr>
          <w:sz w:val="22"/>
          <w:szCs w:val="22"/>
        </w:rPr>
        <w:t>(a) Agostinho Gomes de Azevedo);</w:t>
      </w:r>
      <w:r>
        <w:t xml:space="preserve"> </w:t>
      </w:r>
    </w:p>
    <w:p w:rsidR="005C5A0D" w:rsidRDefault="005C5A0D" w:rsidP="005C5A0D">
      <w:pPr>
        <w:pStyle w:val="Corpodetexto"/>
        <w:spacing w:line="240" w:lineRule="auto"/>
        <w:ind w:firstLine="708"/>
      </w:pPr>
    </w:p>
    <w:p w:rsidR="005C5A0D" w:rsidRPr="00DA09AE" w:rsidRDefault="00DA09AE" w:rsidP="00C40B6A">
      <w:pPr>
        <w:pStyle w:val="Corpodetexto"/>
        <w:spacing w:line="240" w:lineRule="auto"/>
        <w:ind w:left="2268" w:firstLine="0"/>
        <w:rPr>
          <w:sz w:val="22"/>
          <w:szCs w:val="22"/>
        </w:rPr>
      </w:pPr>
      <w:r w:rsidRPr="00DA09AE">
        <w:rPr>
          <w:sz w:val="22"/>
          <w:szCs w:val="22"/>
        </w:rPr>
        <w:t xml:space="preserve">APELAÇÃO CRIMINAL - TRÁFICO DE ENTORPECENTES - CONCURSO DE AGENTES - DESCLASSIFICAÇÃO OPERADA NA SENTENÇA PARA POSSE DE DROGAS PARA USO PRÓPRIO EM RELAÇÃO A UM DOS AGENTES - INCONFORMISMO DO MINISTÉRIO PÚBLICO - PLEITO DE CONDENAÇÃO POR TRÁFICO - PROCEDÊNCIA - MATERIALIDADE E AUTORIA COMPROVADAS - FINALIDADE MERCANTIL DA DROGA EVIDENCIADA - CIRCUNSTÂNCIAS JUDICIAIS DESFAVORÁVEIS - CONFISSÃO QUALIFICADA - NÃO INCIDÊNCIA DA ATENUANTE - DEDICAÇÃO À ATIVIDADE CRIMINOSA - TRAFICO PRIVILEGIADO NÃO </w:t>
      </w:r>
      <w:r w:rsidRPr="00DA09AE">
        <w:rPr>
          <w:sz w:val="22"/>
          <w:szCs w:val="22"/>
        </w:rPr>
        <w:lastRenderedPageBreak/>
        <w:t>CONFIGURADO - REGIME PRISIONAL MAIS SEVERO - CORRÉU - ABSOLVIÇÃO DECRETADA NA SENTENÇA - INSUFICIÊNCIA DE PROVA - DECISÃO MANTIDA QUANTO A ESTE ASPECTO.</w:t>
      </w:r>
    </w:p>
    <w:p w:rsidR="00DA09AE" w:rsidRDefault="00DA09AE" w:rsidP="00DA09AE">
      <w:pPr>
        <w:pStyle w:val="Corpodetexto"/>
        <w:spacing w:line="240" w:lineRule="auto"/>
        <w:ind w:left="2268" w:firstLine="0"/>
        <w:rPr>
          <w:sz w:val="22"/>
          <w:szCs w:val="22"/>
        </w:rPr>
      </w:pPr>
      <w:r>
        <w:rPr>
          <w:sz w:val="22"/>
          <w:szCs w:val="22"/>
        </w:rPr>
        <w:t>(...)</w:t>
      </w:r>
    </w:p>
    <w:p w:rsidR="0042698E" w:rsidRDefault="0042698E" w:rsidP="00DA09AE">
      <w:pPr>
        <w:pStyle w:val="Corpodetexto"/>
        <w:spacing w:line="240" w:lineRule="auto"/>
        <w:ind w:left="2268" w:firstLine="0"/>
        <w:rPr>
          <w:sz w:val="22"/>
          <w:szCs w:val="22"/>
        </w:rPr>
      </w:pPr>
      <w:proofErr w:type="gramStart"/>
      <w:r w:rsidRPr="00DA09AE">
        <w:rPr>
          <w:sz w:val="22"/>
          <w:szCs w:val="22"/>
        </w:rPr>
        <w:t>O valor probante dos depoimentos prestados por policiais é igual ao de qualquer outra testemunha, a teor do disposto no artigo 202 do CPP, sendo que a condição de agente do Estado não lhes retira a confiabilidade.”</w:t>
      </w:r>
      <w:proofErr w:type="gramEnd"/>
      <w:r w:rsidRPr="00DA09AE">
        <w:rPr>
          <w:sz w:val="22"/>
          <w:szCs w:val="22"/>
        </w:rPr>
        <w:t xml:space="preserve"> (AC 0270743-89.2016.8.13.0701 – Minas Gerais. Rel. Des. (a) Cássio Salomé). </w:t>
      </w:r>
    </w:p>
    <w:p w:rsidR="00B90B08" w:rsidRDefault="00B90B08" w:rsidP="00DA09AE">
      <w:pPr>
        <w:pStyle w:val="Corpodetexto"/>
        <w:spacing w:line="240" w:lineRule="auto"/>
        <w:ind w:left="2268" w:firstLine="0"/>
        <w:rPr>
          <w:sz w:val="22"/>
          <w:szCs w:val="22"/>
        </w:rPr>
      </w:pPr>
    </w:p>
    <w:p w:rsidR="009B5536" w:rsidRDefault="009B5536" w:rsidP="009B5536">
      <w:pPr>
        <w:pStyle w:val="Corpodetexto"/>
        <w:spacing w:line="240" w:lineRule="auto"/>
        <w:ind w:firstLine="0"/>
        <w:rPr>
          <w:sz w:val="22"/>
          <w:szCs w:val="22"/>
        </w:rPr>
      </w:pPr>
      <w:r>
        <w:rPr>
          <w:sz w:val="22"/>
          <w:szCs w:val="22"/>
        </w:rPr>
        <w:tab/>
        <w:t>O Supremo Tribunal Federal já firmou</w:t>
      </w:r>
      <w:r w:rsidR="00C40B6A">
        <w:rPr>
          <w:sz w:val="22"/>
          <w:szCs w:val="22"/>
        </w:rPr>
        <w:t xml:space="preserve"> </w:t>
      </w:r>
      <w:r>
        <w:rPr>
          <w:sz w:val="22"/>
          <w:szCs w:val="22"/>
        </w:rPr>
        <w:t xml:space="preserve">entendimento sobre o tema, como </w:t>
      </w:r>
      <w:r w:rsidR="00C40B6A">
        <w:rPr>
          <w:sz w:val="22"/>
          <w:szCs w:val="22"/>
        </w:rPr>
        <w:t>é transcrito nas seguintes ement</w:t>
      </w:r>
      <w:r>
        <w:rPr>
          <w:sz w:val="22"/>
          <w:szCs w:val="22"/>
        </w:rPr>
        <w:t>as:</w:t>
      </w:r>
      <w:proofErr w:type="gramStart"/>
      <w:r w:rsidR="00C40B6A">
        <w:rPr>
          <w:sz w:val="22"/>
          <w:szCs w:val="22"/>
        </w:rPr>
        <w:t xml:space="preserve"> </w:t>
      </w:r>
      <w:r>
        <w:rPr>
          <w:sz w:val="22"/>
          <w:szCs w:val="22"/>
        </w:rPr>
        <w:t xml:space="preserve"> </w:t>
      </w:r>
    </w:p>
    <w:p w:rsidR="009B5536" w:rsidRDefault="009B5536" w:rsidP="009B5536">
      <w:pPr>
        <w:pStyle w:val="Corpodetexto"/>
        <w:spacing w:line="240" w:lineRule="auto"/>
        <w:ind w:firstLine="0"/>
        <w:rPr>
          <w:sz w:val="22"/>
          <w:szCs w:val="22"/>
        </w:rPr>
      </w:pPr>
      <w:proofErr w:type="gramEnd"/>
    </w:p>
    <w:p w:rsidR="009B5536" w:rsidRDefault="009B5536" w:rsidP="00C40B6A">
      <w:pPr>
        <w:pStyle w:val="Corpodetexto"/>
        <w:spacing w:line="240" w:lineRule="auto"/>
        <w:ind w:left="2268" w:firstLine="0"/>
        <w:rPr>
          <w:sz w:val="22"/>
          <w:szCs w:val="22"/>
        </w:rPr>
      </w:pPr>
      <w:r>
        <w:rPr>
          <w:sz w:val="22"/>
          <w:szCs w:val="22"/>
        </w:rPr>
        <w:t>PROCESSUAL PENAL. PENAL. TESTEMUNHA POLICIAL. PROVA: EXAME</w:t>
      </w:r>
      <w:r w:rsidRPr="00367ACA">
        <w:rPr>
          <w:b/>
          <w:sz w:val="22"/>
          <w:szCs w:val="22"/>
          <w:u w:val="single"/>
        </w:rPr>
        <w:t xml:space="preserve">. I. – O Supremo Tribunal Federal firmou entendimento no sentido de que não há irregularidade no fato de o policial que participou das diligências ser ouvido como testemunha. Ademais, o só fato </w:t>
      </w:r>
      <w:proofErr w:type="gramStart"/>
      <w:r w:rsidRPr="00367ACA">
        <w:rPr>
          <w:b/>
          <w:sz w:val="22"/>
          <w:szCs w:val="22"/>
          <w:u w:val="single"/>
        </w:rPr>
        <w:t>da testemunha ser</w:t>
      </w:r>
      <w:proofErr w:type="gramEnd"/>
      <w:r w:rsidRPr="00367ACA">
        <w:rPr>
          <w:b/>
          <w:sz w:val="22"/>
          <w:szCs w:val="22"/>
          <w:u w:val="single"/>
        </w:rPr>
        <w:t xml:space="preserve"> policial não revela suspeição </w:t>
      </w:r>
      <w:r w:rsidR="00367ACA" w:rsidRPr="00367ACA">
        <w:rPr>
          <w:b/>
          <w:sz w:val="22"/>
          <w:szCs w:val="22"/>
          <w:u w:val="single"/>
        </w:rPr>
        <w:t>ou impedimento</w:t>
      </w:r>
      <w:r w:rsidR="00367ACA">
        <w:rPr>
          <w:sz w:val="22"/>
          <w:szCs w:val="22"/>
        </w:rPr>
        <w:t xml:space="preserve">. II. – Não é admissível, no processo de </w:t>
      </w:r>
      <w:r w:rsidR="00367ACA" w:rsidRPr="00367ACA">
        <w:rPr>
          <w:i/>
          <w:sz w:val="22"/>
          <w:szCs w:val="22"/>
        </w:rPr>
        <w:t>habeas corpus</w:t>
      </w:r>
      <w:r w:rsidR="00367ACA">
        <w:rPr>
          <w:sz w:val="22"/>
          <w:szCs w:val="22"/>
        </w:rPr>
        <w:t>, o exame aprofundado da prova. III. – H.C indeferido. (HC 76.557, Rel. Min</w:t>
      </w:r>
      <w:r w:rsidR="00256F0C">
        <w:rPr>
          <w:sz w:val="22"/>
          <w:szCs w:val="22"/>
        </w:rPr>
        <w:t>. Marco Aurélio</w:t>
      </w:r>
      <w:r w:rsidR="00367ACA">
        <w:rPr>
          <w:sz w:val="22"/>
          <w:szCs w:val="22"/>
        </w:rPr>
        <w:t>, DJ 2.2.2001) (grifo nosso).</w:t>
      </w:r>
    </w:p>
    <w:p w:rsidR="00367ACA" w:rsidRDefault="00367ACA" w:rsidP="009B5536">
      <w:pPr>
        <w:pStyle w:val="Corpodetexto"/>
        <w:spacing w:line="240" w:lineRule="auto"/>
        <w:ind w:left="2268" w:firstLine="0"/>
        <w:rPr>
          <w:sz w:val="22"/>
          <w:szCs w:val="22"/>
        </w:rPr>
      </w:pPr>
    </w:p>
    <w:p w:rsidR="00383B83" w:rsidRPr="00DA09AE" w:rsidRDefault="00367ACA" w:rsidP="00393507">
      <w:pPr>
        <w:pStyle w:val="Corpodetexto"/>
        <w:spacing w:line="240" w:lineRule="auto"/>
        <w:ind w:left="2268" w:firstLine="0"/>
        <w:rPr>
          <w:sz w:val="22"/>
          <w:szCs w:val="22"/>
        </w:rPr>
      </w:pPr>
      <w:r w:rsidRPr="00367ACA">
        <w:rPr>
          <w:sz w:val="22"/>
          <w:szCs w:val="22"/>
        </w:rPr>
        <w:t>HABEAS CORPUS. PROCESSUAL PENAL. SENTENÇA CONDENATÓRIA FUNDAMENTADA EM DEPOIMENTOS COLHIDOS NA FASE JUDICIAL: AUSÊNCIA DE NULIDADE. CONSTRANGIMENTO ILEGAL OU ABUSO DE PODER NÃO CONFIGURADOS. ORDEM DENEGADA. 1. A sentença condenatória está fundada em elementos concretos devidamente comprovados nos autos, expondo de forma exaustiva todos os elementos de convicção que levaram à condenação do Paciente, o que afasta a alegação de nulidade por não observância das regras de fundamentação. 2</w:t>
      </w:r>
      <w:r w:rsidRPr="00367ACA">
        <w:rPr>
          <w:b/>
          <w:sz w:val="22"/>
          <w:szCs w:val="22"/>
          <w:u w:val="single"/>
        </w:rPr>
        <w:t>. O Supremo Tribunal Federal firmou entendimento no sentido de que não há irregularidade no fato de, na fase judicial, os policiais que participaram das diligências serem ouvidos como testemunhas e de que a grande quantidade de droga apreendida constitui motivação idônea para fixação da pena-base acima do mínimo legal</w:t>
      </w:r>
      <w:r w:rsidRPr="00367ACA">
        <w:rPr>
          <w:sz w:val="22"/>
          <w:szCs w:val="22"/>
        </w:rPr>
        <w:t>. 3. Habeas corpus denegado.</w:t>
      </w:r>
      <w:r>
        <w:rPr>
          <w:sz w:val="22"/>
          <w:szCs w:val="22"/>
        </w:rPr>
        <w:t xml:space="preserve"> (HC 91.487, Rel. Min. Cármen Lúcia, DJ 11.09.2007) (Grifo nosso).</w:t>
      </w:r>
    </w:p>
    <w:p w:rsidR="0042698E" w:rsidRDefault="0042698E" w:rsidP="001464D5">
      <w:pPr>
        <w:ind w:firstLine="708"/>
      </w:pPr>
      <w:r>
        <w:t>A presunção de legitimidade é uma das características dos atos administrativos e se justifica através do fun</w:t>
      </w:r>
      <w:r w:rsidR="00B35644">
        <w:t xml:space="preserve">damento de que os representantes do poder público possuem </w:t>
      </w:r>
      <w:r>
        <w:t>legitimidade para constituírem seus atos e, por conta dessa responsabilidade depositada a esses cidadãos</w:t>
      </w:r>
      <w:r w:rsidR="003B042B">
        <w:t xml:space="preserve">, </w:t>
      </w:r>
      <w:r>
        <w:t>funcionários e servidores públicos, todos seus atos, feitos em nome da Administração, são legítimos, até que se prove o contrário.</w:t>
      </w:r>
    </w:p>
    <w:p w:rsidR="0042698E" w:rsidRDefault="0042698E" w:rsidP="00393507">
      <w:pPr>
        <w:pStyle w:val="Corpodetexto"/>
        <w:ind w:firstLine="708"/>
      </w:pPr>
      <w:r>
        <w:t>Sobre a presunção de legitimidade dos atos da administração pú</w:t>
      </w:r>
      <w:r w:rsidR="00393507">
        <w:t>blica, Maria Sylvia Di Pietro</w:t>
      </w:r>
      <w:r>
        <w:t xml:space="preserve"> assim ensina:</w:t>
      </w:r>
    </w:p>
    <w:p w:rsidR="0042698E" w:rsidRPr="00393507" w:rsidRDefault="0042698E" w:rsidP="009078E9">
      <w:pPr>
        <w:pStyle w:val="Corpodetexto"/>
        <w:spacing w:line="240" w:lineRule="auto"/>
        <w:ind w:left="2268" w:firstLine="0"/>
        <w:rPr>
          <w:sz w:val="22"/>
          <w:szCs w:val="22"/>
        </w:rPr>
      </w:pPr>
      <w:r>
        <w:rPr>
          <w:sz w:val="22"/>
          <w:szCs w:val="22"/>
        </w:rPr>
        <w:lastRenderedPageBreak/>
        <w:t>A presunção de legitimidade diz respeito à conformidade do ato com a lei; em decorrência desse atributo, presumem-se, até prova em contrário, que os atos administrativos foram emitidos com observância da lei. A presunção de veracidade diz respeito aos fatos; em decorrência desse atributo, presumem-se verdadeiros os fatos alegados pela Administração (PIETRO, 2018, p. 278).</w:t>
      </w:r>
    </w:p>
    <w:p w:rsidR="00383B83" w:rsidRDefault="0042698E" w:rsidP="00383B83">
      <w:pPr>
        <w:ind w:firstLine="708"/>
      </w:pPr>
      <w:r>
        <w:t>Logo,</w:t>
      </w:r>
      <w:r w:rsidR="00383B83">
        <w:t xml:space="preserve"> interpretando o trecho acima, em consonância com o tema, entende-se que,</w:t>
      </w:r>
      <w:r>
        <w:t xml:space="preserve"> em seu exercício</w:t>
      </w:r>
      <w:r w:rsidR="00393507">
        <w:t xml:space="preserve"> profissional</w:t>
      </w:r>
      <w:r>
        <w:t>, o policial atua de acordo com a legalidade de seu serviço e que sua fala está consoante com a ética de sua pro</w:t>
      </w:r>
      <w:r w:rsidR="00393507">
        <w:t>fissão, concomitantemente com o princípio</w:t>
      </w:r>
      <w:r>
        <w:t xml:space="preserve"> da boa-fé. </w:t>
      </w:r>
    </w:p>
    <w:p w:rsidR="0042698E" w:rsidRDefault="0042698E" w:rsidP="001464D5">
      <w:pPr>
        <w:ind w:firstLine="708"/>
      </w:pPr>
      <w:r>
        <w:t>No entanto, esclar</w:t>
      </w:r>
      <w:r w:rsidR="00B35644">
        <w:t xml:space="preserve">ece </w:t>
      </w:r>
      <w:proofErr w:type="spellStart"/>
      <w:r w:rsidR="00B35644">
        <w:t>Letizia</w:t>
      </w:r>
      <w:proofErr w:type="spellEnd"/>
      <w:r w:rsidR="00B35644">
        <w:t xml:space="preserve"> </w:t>
      </w:r>
      <w:proofErr w:type="spellStart"/>
      <w:r w:rsidR="00B35644">
        <w:t>Gianformaggio</w:t>
      </w:r>
      <w:proofErr w:type="spellEnd"/>
      <w:r>
        <w:t xml:space="preserve">, citada por Carvalho e </w:t>
      </w:r>
      <w:proofErr w:type="spellStart"/>
      <w:r>
        <w:t>Weigert</w:t>
      </w:r>
      <w:proofErr w:type="spellEnd"/>
      <w:r>
        <w:t xml:space="preserve"> que</w:t>
      </w:r>
      <w:r w:rsidR="00BB09E7">
        <w:t>:</w:t>
      </w:r>
    </w:p>
    <w:p w:rsidR="00E2776A" w:rsidRDefault="0042698E" w:rsidP="000600A3">
      <w:pPr>
        <w:spacing w:line="240" w:lineRule="auto"/>
        <w:ind w:left="2268" w:firstLine="0"/>
        <w:rPr>
          <w:sz w:val="22"/>
        </w:rPr>
      </w:pPr>
      <w:r w:rsidRPr="0042698E">
        <w:rPr>
          <w:sz w:val="22"/>
        </w:rPr>
        <w:t>O dogma da presunção de regularidade dos atos dos Poderes Públicos identifica a validade (das normas e das decisões) com a sua mera existência. Significa dizer: confunde a vigência (ato em si) com validade (conformação do ato com a Constituição e as leis). A existência do ato diz respeito à vigência. Todavia, o mero fato de existir não torna o ato per se válido (legítimo). A legitimidade diz respeito a sua conformidade constitucion</w:t>
      </w:r>
      <w:r w:rsidR="00304F21">
        <w:rPr>
          <w:sz w:val="22"/>
        </w:rPr>
        <w:t>al (GIANFORMAGGIO, 1993</w:t>
      </w:r>
      <w:r w:rsidR="00B35644">
        <w:rPr>
          <w:sz w:val="22"/>
        </w:rPr>
        <w:t xml:space="preserve"> apud CARVALHO; WEIGERT, 2018, p</w:t>
      </w:r>
      <w:r w:rsidR="00304F21">
        <w:rPr>
          <w:sz w:val="22"/>
        </w:rPr>
        <w:t>.52).</w:t>
      </w:r>
    </w:p>
    <w:p w:rsidR="003E73E6" w:rsidRDefault="00304F21" w:rsidP="003E73E6">
      <w:pPr>
        <w:ind w:firstLine="0"/>
      </w:pPr>
      <w:r>
        <w:tab/>
      </w:r>
      <w:r w:rsidR="003E73E6">
        <w:t>Diante do acima exposto, entende-se que os depoimentos de policiais são revestidos da presunção de legitimidade, pois estes são agentes públicos. Porém, como vemos no trecho supracitado, revestir esses depoimentos de l</w:t>
      </w:r>
      <w:r w:rsidR="00B35644">
        <w:t>egitimidade por esse simples fato</w:t>
      </w:r>
      <w:r w:rsidR="003E73E6">
        <w:t xml:space="preserve"> torna</w:t>
      </w:r>
      <w:r w:rsidR="00B35644">
        <w:t>-se</w:t>
      </w:r>
      <w:r w:rsidR="003E73E6">
        <w:t xml:space="preserve"> arriscado.</w:t>
      </w:r>
    </w:p>
    <w:p w:rsidR="00B35644" w:rsidRDefault="00B35644" w:rsidP="003E73E6">
      <w:pPr>
        <w:ind w:firstLine="0"/>
      </w:pPr>
    </w:p>
    <w:p w:rsidR="00147ADC" w:rsidRPr="00E613EE" w:rsidRDefault="00E613EE" w:rsidP="003E73E6">
      <w:pPr>
        <w:ind w:firstLine="0"/>
        <w:rPr>
          <w:b/>
        </w:rPr>
      </w:pPr>
      <w:r w:rsidRPr="00E613EE">
        <w:rPr>
          <w:b/>
        </w:rPr>
        <w:t>2.3 A problemática das falsas memórias</w:t>
      </w:r>
      <w:r w:rsidR="00147ADC" w:rsidRPr="00E613EE">
        <w:rPr>
          <w:b/>
        </w:rPr>
        <w:t xml:space="preserve"> </w:t>
      </w:r>
    </w:p>
    <w:p w:rsidR="0042698E" w:rsidRDefault="00393507" w:rsidP="001464D5">
      <w:r>
        <w:t>Outra problemática</w:t>
      </w:r>
      <w:r w:rsidR="00E2776A">
        <w:t xml:space="preserve"> está na valoração das provas orais. Talvez por pr</w:t>
      </w:r>
      <w:r w:rsidR="00B35644">
        <w:t>oblemas no judiciário ou na polí</w:t>
      </w:r>
      <w:r w:rsidR="00E2776A">
        <w:t>cia judiciária</w:t>
      </w:r>
      <w:r>
        <w:t>,</w:t>
      </w:r>
      <w:r w:rsidR="00E2776A">
        <w:t xml:space="preserve"> como aborda </w:t>
      </w:r>
      <w:proofErr w:type="spellStart"/>
      <w:r w:rsidR="00E2776A">
        <w:t>Aury</w:t>
      </w:r>
      <w:proofErr w:type="spellEnd"/>
      <w:r w:rsidR="00E2776A">
        <w:t xml:space="preserve"> Lopes Jr. as provas testemunhais são as mais utilizadas no direito penal brasileiro</w:t>
      </w:r>
      <w:r w:rsidR="00CA63E2">
        <w:t xml:space="preserve"> (2014, p. 471)</w:t>
      </w:r>
      <w:r w:rsidR="00E2776A">
        <w:t>. Muitos réus têm suas condenações baseadas apenas em testemunhos de pesso</w:t>
      </w:r>
      <w:r>
        <w:t>as que participaram ou que viram os acontecimentos de uma infração penal</w:t>
      </w:r>
      <w:r w:rsidR="00E2776A">
        <w:t>.</w:t>
      </w:r>
    </w:p>
    <w:p w:rsidR="00E2776A" w:rsidRDefault="00E2776A" w:rsidP="00E2776A">
      <w:r>
        <w:t>O problema da declaração da testemunha ou mesmo da vítima é que a memória humana apresenta falhas, que podem prejudicar um depoimento</w:t>
      </w:r>
      <w:r w:rsidR="009324AB">
        <w:t>.</w:t>
      </w:r>
      <w:r w:rsidR="00044717">
        <w:t xml:space="preserve"> </w:t>
      </w:r>
      <w:r w:rsidR="009324AB">
        <w:t>De iní</w:t>
      </w:r>
      <w:r>
        <w:t xml:space="preserve">cio, é importante citar a problemática das falsas memórias. Nesse fenômeno humano, é natural que a pessoa cometa deslizes ao tentar se lembrar de fatos ocorridos e presenciados, podendo na hora de prestar suas declarações, inconscientemente, apontar falsamente alguma informação. </w:t>
      </w:r>
    </w:p>
    <w:p w:rsidR="00E2776A" w:rsidRPr="009324AB" w:rsidRDefault="00E2776A" w:rsidP="009324AB">
      <w:r>
        <w:tab/>
      </w:r>
      <w:r w:rsidRPr="003B042B">
        <w:t>Sobre falsa memória, explica o autor Gustavo Noronha de Ávila</w:t>
      </w:r>
      <w:r w:rsidR="009324AB">
        <w:t>:</w:t>
      </w:r>
      <w:r w:rsidRPr="003B042B">
        <w:t xml:space="preserve"> </w:t>
      </w:r>
    </w:p>
    <w:p w:rsidR="00E2776A" w:rsidRPr="009324AB" w:rsidRDefault="00E2776A" w:rsidP="00BB09E7">
      <w:pPr>
        <w:spacing w:line="240" w:lineRule="auto"/>
        <w:ind w:left="2268" w:firstLine="0"/>
        <w:rPr>
          <w:sz w:val="22"/>
        </w:rPr>
      </w:pPr>
      <w:r w:rsidRPr="003B042B">
        <w:rPr>
          <w:sz w:val="22"/>
        </w:rPr>
        <w:lastRenderedPageBreak/>
        <w:t>Nos processos que tentam a (re</w:t>
      </w:r>
      <w:proofErr w:type="gramStart"/>
      <w:r w:rsidRPr="003B042B">
        <w:rPr>
          <w:sz w:val="22"/>
        </w:rPr>
        <w:t>)construção</w:t>
      </w:r>
      <w:proofErr w:type="gramEnd"/>
      <w:r w:rsidRPr="003B042B">
        <w:rPr>
          <w:sz w:val="22"/>
        </w:rPr>
        <w:t xml:space="preserve"> do fato criminoso pretérito, podem existir artimanhas do cérebro, informações armazenadas como verdadeiras, ou induções dos entrevistadores, de outras pessoas e/ou da mídia que, no entanto, não condizem com a realidade. Estas são as chamadas falsas memórias, processo que pode ser agravado, quando da utilização de técnicas por repetição de perguntas, como as empregadas de forma notória no âmbito criminal</w:t>
      </w:r>
      <w:r w:rsidR="009324AB">
        <w:rPr>
          <w:sz w:val="22"/>
        </w:rPr>
        <w:t xml:space="preserve"> </w:t>
      </w:r>
      <w:r w:rsidR="009324AB" w:rsidRPr="003B042B">
        <w:t>(</w:t>
      </w:r>
      <w:r w:rsidR="00304F21">
        <w:t xml:space="preserve">ÁVILA, </w:t>
      </w:r>
      <w:r w:rsidR="009324AB" w:rsidRPr="003B042B">
        <w:t>2015)</w:t>
      </w:r>
      <w:r w:rsidR="009324AB">
        <w:t>.</w:t>
      </w:r>
      <w:r>
        <w:rPr>
          <w:sz w:val="22"/>
        </w:rPr>
        <w:t xml:space="preserve"> </w:t>
      </w:r>
    </w:p>
    <w:p w:rsidR="00E2776A" w:rsidRDefault="00E2776A" w:rsidP="00E2776A">
      <w:pPr>
        <w:ind w:firstLine="708"/>
      </w:pPr>
      <w:r>
        <w:t>Há uma gama de situações que podem interferir na mente humana e assim, prejudicar as memórias. O próprio acontecimento (aquele narrado na denúncia ou na queixa-crime) pode ter sido constrangedor ou mesmo ter afetado negativamente o emocional seja da vítima ou da testemunha. As perguntas feitas pelos policiais, ou entrevistadores, também, podem afetar, de manei</w:t>
      </w:r>
      <w:r w:rsidR="00CA63E2">
        <w:t>ra negativa, a memória do indiví</w:t>
      </w:r>
      <w:r>
        <w:t>duo.</w:t>
      </w:r>
    </w:p>
    <w:p w:rsidR="00E2776A" w:rsidRPr="003B042B" w:rsidRDefault="00CA63E2" w:rsidP="009324AB">
      <w:pPr>
        <w:ind w:firstLine="708"/>
      </w:pPr>
      <w:r>
        <w:t>António Damásio</w:t>
      </w:r>
      <w:r w:rsidR="00E2776A" w:rsidRPr="003B042B">
        <w:t xml:space="preserve">, citado por </w:t>
      </w:r>
      <w:proofErr w:type="spellStart"/>
      <w:r w:rsidR="00E2776A" w:rsidRPr="003B042B">
        <w:t>Aury</w:t>
      </w:r>
      <w:proofErr w:type="spellEnd"/>
      <w:r w:rsidR="00E2776A" w:rsidRPr="003B042B">
        <w:t xml:space="preserve"> Lopes Jr. diz que</w:t>
      </w:r>
      <w:r w:rsidR="009324AB">
        <w:t>:</w:t>
      </w:r>
      <w:r w:rsidR="00E2776A" w:rsidRPr="003B042B">
        <w:t xml:space="preserve"> </w:t>
      </w:r>
    </w:p>
    <w:p w:rsidR="00E2776A" w:rsidRDefault="00E2776A" w:rsidP="00BB09E7">
      <w:pPr>
        <w:spacing w:line="240" w:lineRule="auto"/>
        <w:ind w:left="2268" w:firstLine="0"/>
        <w:rPr>
          <w:sz w:val="22"/>
        </w:rPr>
      </w:pPr>
      <w:proofErr w:type="gramStart"/>
      <w:r w:rsidRPr="003B042B">
        <w:rPr>
          <w:sz w:val="22"/>
        </w:rPr>
        <w:t>as</w:t>
      </w:r>
      <w:proofErr w:type="gramEnd"/>
      <w:r w:rsidRPr="003B042B">
        <w:rPr>
          <w:sz w:val="22"/>
        </w:rPr>
        <w:t xml:space="preserve"> imagens não são armazenadas sob forma de fotografias </w:t>
      </w:r>
      <w:proofErr w:type="spellStart"/>
      <w:r w:rsidRPr="003B042B">
        <w:rPr>
          <w:sz w:val="22"/>
        </w:rPr>
        <w:t>fac-similares</w:t>
      </w:r>
      <w:proofErr w:type="spellEnd"/>
      <w:r w:rsidRPr="003B042B">
        <w:rPr>
          <w:sz w:val="22"/>
        </w:rPr>
        <w:t xml:space="preserve"> de coisas, de acontecimentos, de palavras ou de frases. O cérebro não arquiva fotografias Polaroid de pessoas, objetos, paisagens; não armazena fitas magnéticas com música e fala; não armazena filmes de cenas de nossa vida; nem retém cartões com ‘deixas’ ou mensagens de </w:t>
      </w:r>
      <w:proofErr w:type="spellStart"/>
      <w:r w:rsidRPr="003B042B">
        <w:rPr>
          <w:sz w:val="22"/>
        </w:rPr>
        <w:t>teleprompter</w:t>
      </w:r>
      <w:proofErr w:type="spellEnd"/>
      <w:r w:rsidRPr="003B042B">
        <w:rPr>
          <w:sz w:val="22"/>
        </w:rPr>
        <w:t xml:space="preserve"> do tipo daquelas que ajudam os políticos a ganhar a vida. (...) Se o cérebro fosse uma biblioteca esgotaríamos suas prateleiras à semelhança do que acontece nas bibliotecas</w:t>
      </w:r>
      <w:r w:rsidR="00304F21">
        <w:rPr>
          <w:sz w:val="22"/>
        </w:rPr>
        <w:t xml:space="preserve"> (DAMASIO, 2012, apud LOPES JR. 2014,</w:t>
      </w:r>
      <w:r w:rsidR="00CA63E2">
        <w:rPr>
          <w:sz w:val="22"/>
        </w:rPr>
        <w:t xml:space="preserve"> p</w:t>
      </w:r>
      <w:r w:rsidR="00304F21">
        <w:rPr>
          <w:sz w:val="22"/>
        </w:rPr>
        <w:t>. 486)</w:t>
      </w:r>
      <w:r w:rsidRPr="003B042B">
        <w:rPr>
          <w:sz w:val="22"/>
        </w:rPr>
        <w:t>.</w:t>
      </w:r>
      <w:r w:rsidR="003B042B">
        <w:rPr>
          <w:sz w:val="22"/>
        </w:rPr>
        <w:t xml:space="preserve"> </w:t>
      </w:r>
    </w:p>
    <w:p w:rsidR="00E2776A" w:rsidRDefault="00E2776A" w:rsidP="00E2776A">
      <w:r w:rsidRPr="00E019AA">
        <w:t>A falsa memória não pode ser confundida com a mentira. Ambas são prejudiciais, principalmente ao processo crimina</w:t>
      </w:r>
      <w:r w:rsidR="00CA63E2">
        <w:t>l. A diferença é que a primeira</w:t>
      </w:r>
      <w:r w:rsidRPr="00E019AA">
        <w:t xml:space="preserve"> é ocasionada de forma inocente, não proposital, enquanto que a segunda é intencional e consciente (a pessoa tem a consciência da mentira).</w:t>
      </w:r>
      <w:r>
        <w:t xml:space="preserve"> É mais simples perceber uma mentira sendo contada do que identificar se aqu</w:t>
      </w:r>
      <w:r w:rsidR="00CA63E2">
        <w:t>ela vivência que o depoente está</w:t>
      </w:r>
      <w:r>
        <w:t xml:space="preserve"> contando faz parte de uma falsa memória.</w:t>
      </w:r>
    </w:p>
    <w:p w:rsidR="00CA63E2" w:rsidRDefault="00CA63E2" w:rsidP="00E2776A"/>
    <w:p w:rsidR="001725A8" w:rsidRPr="001725A8" w:rsidRDefault="001725A8" w:rsidP="001725A8">
      <w:pPr>
        <w:rPr>
          <w:b/>
        </w:rPr>
      </w:pPr>
      <w:r w:rsidRPr="001725A8">
        <w:rPr>
          <w:b/>
        </w:rPr>
        <w:t xml:space="preserve">2.4 O argumento pela imparcialidade da atuação policial na persecução criminal </w:t>
      </w:r>
    </w:p>
    <w:p w:rsidR="001725A8" w:rsidRPr="00900CF0" w:rsidRDefault="001725A8" w:rsidP="001725A8">
      <w:pPr>
        <w:ind w:firstLine="708"/>
      </w:pPr>
      <w:r>
        <w:t xml:space="preserve">Outro argumento mobilizado na discussão acerca da condenação criminal baseada unicamente nos depoimentos de policias que atuaram na persecução criminal pré-processual diz respeito à temática da parcialidade da atuação dos policias.  </w:t>
      </w:r>
      <w:r w:rsidRPr="00900CF0">
        <w:t xml:space="preserve">Neste sentido explica </w:t>
      </w:r>
      <w:proofErr w:type="spellStart"/>
      <w:r w:rsidRPr="00900CF0">
        <w:t>Aury</w:t>
      </w:r>
      <w:proofErr w:type="spellEnd"/>
      <w:r w:rsidRPr="00900CF0">
        <w:t xml:space="preserve"> Lopes Jr.</w:t>
      </w:r>
      <w:r w:rsidR="000600A3">
        <w:t>:</w:t>
      </w:r>
      <w:r w:rsidRPr="00900CF0">
        <w:t xml:space="preserve"> </w:t>
      </w:r>
    </w:p>
    <w:p w:rsidR="001725A8" w:rsidRPr="001725A8" w:rsidRDefault="001725A8" w:rsidP="000600A3">
      <w:pPr>
        <w:spacing w:line="240" w:lineRule="auto"/>
        <w:ind w:left="2268" w:firstLine="0"/>
        <w:rPr>
          <w:sz w:val="22"/>
        </w:rPr>
      </w:pPr>
      <w:r w:rsidRPr="00900CF0">
        <w:rPr>
          <w:sz w:val="22"/>
        </w:rPr>
        <w:t xml:space="preserve">Obviamente, deverá o juiz ter muita cautela na valoração desses depoimentos, na medida em que os policiais estão naturalmente contaminados pela atuação que tiveram na repressão e apuração do fato. Além dos prejulgamentos e da imensa carga de fatores psicológicos associados à atividade desenvolvida, é evidente que o envolvimento do policial com a investigação (e prisões) gera a necessidade de justificar e legitimar os atos (e eventuais abusos) praticados. Assim, não há uma </w:t>
      </w:r>
      <w:r w:rsidRPr="00900CF0">
        <w:rPr>
          <w:sz w:val="22"/>
        </w:rPr>
        <w:lastRenderedPageBreak/>
        <w:t>restrição ou proibição de que o policial seja ouvido como testemunha, senão que deverá o juiz ter muita cautela no momento de valorar esse depoimento. A restrição não é em relação à possibilidade de depor, mas sim ao momento de (</w:t>
      </w:r>
      <w:proofErr w:type="spellStart"/>
      <w:r w:rsidRPr="00900CF0">
        <w:rPr>
          <w:sz w:val="22"/>
        </w:rPr>
        <w:t>des</w:t>
      </w:r>
      <w:proofErr w:type="spellEnd"/>
      <w:proofErr w:type="gramStart"/>
      <w:r w:rsidRPr="00900CF0">
        <w:rPr>
          <w:sz w:val="22"/>
        </w:rPr>
        <w:t>)valorar</w:t>
      </w:r>
      <w:proofErr w:type="gramEnd"/>
      <w:r w:rsidRPr="00900CF0">
        <w:rPr>
          <w:sz w:val="22"/>
        </w:rPr>
        <w:t xml:space="preserve"> esse depoimento.</w:t>
      </w:r>
      <w:r w:rsidR="000600A3">
        <w:rPr>
          <w:sz w:val="22"/>
        </w:rPr>
        <w:t xml:space="preserve"> </w:t>
      </w:r>
      <w:r w:rsidR="000600A3" w:rsidRPr="00900CF0">
        <w:t>(</w:t>
      </w:r>
      <w:r w:rsidR="00304F21">
        <w:t xml:space="preserve">LOPES JR., </w:t>
      </w:r>
      <w:r w:rsidR="000600A3" w:rsidRPr="00900CF0">
        <w:t>2014, p. 475)</w:t>
      </w:r>
      <w:r w:rsidRPr="00900CF0">
        <w:rPr>
          <w:sz w:val="22"/>
        </w:rPr>
        <w:t xml:space="preserve"> </w:t>
      </w:r>
    </w:p>
    <w:p w:rsidR="001725A8" w:rsidRDefault="001725A8" w:rsidP="001725A8">
      <w:pPr>
        <w:ind w:firstLine="708"/>
      </w:pPr>
      <w:r>
        <w:t xml:space="preserve">Segundo esse argumento, </w:t>
      </w:r>
      <w:r w:rsidRPr="00900CF0">
        <w:t xml:space="preserve">o policial é uma testemunha contaminada (seja por sua </w:t>
      </w:r>
      <w:r w:rsidRPr="00900CF0">
        <w:rPr>
          <w:color w:val="000000" w:themeColor="text1"/>
        </w:rPr>
        <w:t>imparcialidade ou por questões emocionais e psicológicas ligadas à profissão) e busca através</w:t>
      </w:r>
      <w:r w:rsidRPr="00900CF0">
        <w:t xml:space="preserve"> de seu testemunho, na audiência de instrução e julgamento, justificar toda a ação ocorrida.</w:t>
      </w:r>
      <w:r>
        <w:t xml:space="preserve"> </w:t>
      </w:r>
    </w:p>
    <w:p w:rsidR="00E2776A" w:rsidRDefault="001725A8" w:rsidP="001725A8">
      <w:pPr>
        <w:ind w:firstLine="708"/>
      </w:pPr>
      <w:r>
        <w:t>Conforme essa linha argumentativa</w:t>
      </w:r>
      <w:proofErr w:type="gramStart"/>
      <w:r>
        <w:t>, é</w:t>
      </w:r>
      <w:proofErr w:type="gramEnd"/>
      <w:r>
        <w:t xml:space="preserve"> evidente que o policial apenas irá confirmar os fatos anteriormente narrados na fase inquisit</w:t>
      </w:r>
      <w:r w:rsidR="00CA63E2">
        <w:t xml:space="preserve">ória, o que viola </w:t>
      </w:r>
      <w:r>
        <w:t xml:space="preserve">o art. 155, CPP, </w:t>
      </w:r>
      <w:r w:rsidR="00CA63E2">
        <w:t xml:space="preserve">ao prescrever que </w:t>
      </w:r>
      <w:r>
        <w:t xml:space="preserve">“o juiz formará sua convicção pela livre apreciação da prova produzida em contraditório judicial, </w:t>
      </w:r>
      <w:r>
        <w:rPr>
          <w:b/>
          <w:u w:val="single"/>
        </w:rPr>
        <w:t>não podendo fundamentar sua decisão exclusivamente nos elementos informativos colhidos na investigação</w:t>
      </w:r>
      <w:r>
        <w:t>, ressalvadas as provas cautelares, não repetíveis e antecipadas”. (Grifo nosso).</w:t>
      </w:r>
    </w:p>
    <w:p w:rsidR="00255276" w:rsidRDefault="00255276" w:rsidP="00255276">
      <w:pPr>
        <w:ind w:firstLine="708"/>
      </w:pPr>
      <w:r>
        <w:t xml:space="preserve">Nesse sentido, embora a lei não vede a obtenção judicial do testemunho de policiais que atuaram na fase pré-processual, entende-se altamente arriscado utilizar-se apenas de seu depoimento para condenar um indivíduo. </w:t>
      </w:r>
      <w:r w:rsidRPr="00900CF0">
        <w:t>Pois, até o mais honesto e correto policial, se envolvido na diligência que ocasionou aquele processo criminal, irá apenas confirmar sua ação ou a de seu colega (CAPEZ, 2016).</w:t>
      </w:r>
    </w:p>
    <w:p w:rsidR="00CA63E2" w:rsidRDefault="00CA63E2" w:rsidP="00255276">
      <w:pPr>
        <w:ind w:firstLine="708"/>
      </w:pPr>
    </w:p>
    <w:p w:rsidR="00A449C8" w:rsidRPr="001725A8" w:rsidRDefault="008F3D0D" w:rsidP="001725A8">
      <w:pPr>
        <w:pStyle w:val="Ttulo1"/>
        <w:numPr>
          <w:ilvl w:val="0"/>
          <w:numId w:val="14"/>
        </w:numPr>
        <w:spacing w:before="240" w:after="120"/>
        <w:ind w:left="0" w:firstLine="0"/>
        <w:rPr>
          <w:rFonts w:cs="Times New Roman"/>
        </w:rPr>
      </w:pPr>
      <w:r>
        <w:rPr>
          <w:rFonts w:cs="Times New Roman"/>
        </w:rPr>
        <w:t>CONSIDERAÇÕES FINAIS</w:t>
      </w:r>
    </w:p>
    <w:p w:rsidR="00CD4617" w:rsidRDefault="00CD4617" w:rsidP="00CD4617">
      <w:pPr>
        <w:ind w:firstLine="708"/>
      </w:pPr>
      <w:r>
        <w:t>O presente trabalho foi explorado em cima de um questionamento quanto à valoração dos depoimentos de policiais, que como visto anteriormente, é bastante utilizado no convencimento de juízes nos processos criminais de tráfico de drogas.</w:t>
      </w:r>
    </w:p>
    <w:p w:rsidR="00CD4617" w:rsidRDefault="00CD4617" w:rsidP="00CD4617">
      <w:pPr>
        <w:ind w:firstLine="708"/>
      </w:pPr>
      <w:r>
        <w:t>Como são demonst</w:t>
      </w:r>
      <w:r w:rsidR="00CA63E2">
        <w:t>rados em alguns julgados citados nesta pesquisa, os T</w:t>
      </w:r>
      <w:r>
        <w:t>ribunais atribuem aos policiais e à suas declarações um grande valor, considerando ter suma importância no processo penal. Um dos argumentos mais utilizados é a presunção de legitimidade dos atos da Administração Pública que, como foi é o caso da súmula vinculante n° 70 do TJRJ.</w:t>
      </w:r>
    </w:p>
    <w:p w:rsidR="0042698E" w:rsidRDefault="00834C1E" w:rsidP="00834C1E">
      <w:pPr>
        <w:ind w:firstLine="708"/>
      </w:pPr>
      <w:r>
        <w:t xml:space="preserve">Diante da controvérsia jurídica ora analisada e da necessidade primordial de salvaguardar a Constituição Federal, </w:t>
      </w:r>
      <w:r w:rsidR="00304F21">
        <w:t>entendemos que embora traduza</w:t>
      </w:r>
      <w:r>
        <w:t xml:space="preserve"> em um </w:t>
      </w:r>
      <w:r w:rsidR="000600A3">
        <w:t xml:space="preserve">fator importante a </w:t>
      </w:r>
      <w:r w:rsidR="00900CF0" w:rsidRPr="00255276">
        <w:t xml:space="preserve">presunção de legitimidade para aqueles atos praticados pelas autoridades públicas </w:t>
      </w:r>
      <w:r w:rsidR="001D7029">
        <w:t xml:space="preserve">a serem </w:t>
      </w:r>
      <w:r w:rsidR="001D7029">
        <w:lastRenderedPageBreak/>
        <w:t xml:space="preserve">analisados </w:t>
      </w:r>
      <w:r>
        <w:t>pelo judiciário,</w:t>
      </w:r>
      <w:proofErr w:type="gramStart"/>
      <w:r>
        <w:t xml:space="preserve"> </w:t>
      </w:r>
      <w:r w:rsidR="00900CF0" w:rsidRPr="001464D5">
        <w:t xml:space="preserve"> </w:t>
      </w:r>
      <w:proofErr w:type="gramEnd"/>
      <w:r w:rsidR="00900CF0" w:rsidRPr="001464D5">
        <w:t>tal condição não pode ser entendida como absoluta, sob pena do cometimento de injustiças, vez que cada uma dessas a</w:t>
      </w:r>
      <w:r w:rsidR="000600A3">
        <w:t>utoridades policiais são também passíveis de</w:t>
      </w:r>
      <w:r w:rsidR="00900CF0" w:rsidRPr="001464D5">
        <w:t xml:space="preserve"> cometimento</w:t>
      </w:r>
      <w:r w:rsidR="000600A3">
        <w:t xml:space="preserve"> de</w:t>
      </w:r>
      <w:r w:rsidR="00900CF0" w:rsidRPr="001464D5">
        <w:t xml:space="preserve"> erros, que podem defluir em graves transtornos para a vida alheia.</w:t>
      </w:r>
    </w:p>
    <w:p w:rsidR="001F5F73" w:rsidRDefault="00834C1E" w:rsidP="00C95011">
      <w:pPr>
        <w:ind w:firstLine="708"/>
      </w:pPr>
      <w:r>
        <w:t xml:space="preserve">  E embora o juízo não possa</w:t>
      </w:r>
      <w:r w:rsidR="000600A3">
        <w:t xml:space="preserve"> desfazer-se do depoimento do policial só por causa da função por ele exercida</w:t>
      </w:r>
      <w:r>
        <w:t xml:space="preserve"> e de sua atuação da fase pré-processual, </w:t>
      </w:r>
      <w:r w:rsidR="000600A3">
        <w:t>tem de haver uma limitação quanto ao valor probatório depositado nestes testemunhos</w:t>
      </w:r>
      <w:r>
        <w:t>.</w:t>
      </w:r>
      <w:r w:rsidR="00C95011">
        <w:t xml:space="preserve"> Mostrando-se crucial, para que haja uma condenação criminal que não viole princípios constitucionais basilares do processo penal, </w:t>
      </w:r>
      <w:proofErr w:type="gramStart"/>
      <w:r w:rsidR="000600A3">
        <w:t>a</w:t>
      </w:r>
      <w:r w:rsidR="00C95011">
        <w:t xml:space="preserve"> corroboração do</w:t>
      </w:r>
      <w:r w:rsidR="00304F21">
        <w:t>s</w:t>
      </w:r>
      <w:r w:rsidR="0042698E">
        <w:t xml:space="preserve"> depoimentos</w:t>
      </w:r>
      <w:r w:rsidR="00C95011">
        <w:t xml:space="preserve"> policias</w:t>
      </w:r>
      <w:proofErr w:type="gramEnd"/>
      <w:r w:rsidR="00C95011">
        <w:t xml:space="preserve"> com o depoimentos de outras</w:t>
      </w:r>
      <w:r w:rsidR="0042698E">
        <w:t xml:space="preserve"> testemunhas que não co</w:t>
      </w:r>
      <w:r w:rsidR="000600A3">
        <w:t>nstituem o quadro policial e/ou</w:t>
      </w:r>
      <w:r w:rsidR="00C95011">
        <w:t xml:space="preserve"> outras provas.</w:t>
      </w:r>
    </w:p>
    <w:p w:rsidR="00A8017A" w:rsidRDefault="00A8017A" w:rsidP="004A3B4E">
      <w:pPr>
        <w:ind w:firstLine="0"/>
        <w:rPr>
          <w:b/>
        </w:rPr>
      </w:pPr>
    </w:p>
    <w:p w:rsidR="003718C7" w:rsidRPr="00CB7843" w:rsidRDefault="0042698E" w:rsidP="00CB7843">
      <w:pPr>
        <w:pStyle w:val="Ttulo1"/>
        <w:numPr>
          <w:ilvl w:val="0"/>
          <w:numId w:val="0"/>
        </w:numPr>
        <w:spacing w:before="240" w:after="120"/>
        <w:rPr>
          <w:szCs w:val="24"/>
        </w:rPr>
      </w:pPr>
      <w:bookmarkStart w:id="2" w:name="_GoBack"/>
      <w:bookmarkEnd w:id="2"/>
      <w:r w:rsidRPr="00CB7843">
        <w:rPr>
          <w:szCs w:val="24"/>
        </w:rPr>
        <w:t xml:space="preserve"> </w:t>
      </w:r>
      <w:r w:rsidR="000B308A" w:rsidRPr="00CB7843">
        <w:rPr>
          <w:szCs w:val="24"/>
        </w:rPr>
        <w:t>REFERÊNCIAS</w:t>
      </w:r>
    </w:p>
    <w:p w:rsidR="00AE57E8" w:rsidRPr="00CB7843" w:rsidRDefault="00AE57E8" w:rsidP="00CB7843">
      <w:pPr>
        <w:spacing w:after="240"/>
        <w:ind w:firstLine="0"/>
        <w:rPr>
          <w:shd w:val="clear" w:color="auto" w:fill="FFFFFF"/>
        </w:rPr>
      </w:pPr>
      <w:r w:rsidRPr="00CB7843">
        <w:rPr>
          <w:shd w:val="clear" w:color="auto" w:fill="FFFFFF"/>
        </w:rPr>
        <w:t xml:space="preserve">ABNT, NBR. </w:t>
      </w:r>
      <w:proofErr w:type="gramStart"/>
      <w:r w:rsidRPr="00CB7843">
        <w:rPr>
          <w:shd w:val="clear" w:color="auto" w:fill="FFFFFF"/>
        </w:rPr>
        <w:t xml:space="preserve">10520, </w:t>
      </w:r>
      <w:r w:rsidRPr="00CB7843">
        <w:rPr>
          <w:b/>
          <w:shd w:val="clear" w:color="auto" w:fill="FFFFFF"/>
        </w:rPr>
        <w:t xml:space="preserve">Informação e </w:t>
      </w:r>
      <w:proofErr w:type="spellStart"/>
      <w:r w:rsidRPr="00CB7843">
        <w:rPr>
          <w:b/>
          <w:shd w:val="clear" w:color="auto" w:fill="FFFFFF"/>
        </w:rPr>
        <w:t>documentação–Citações</w:t>
      </w:r>
      <w:proofErr w:type="spellEnd"/>
      <w:proofErr w:type="gramEnd"/>
      <w:r w:rsidRPr="00CB7843">
        <w:rPr>
          <w:b/>
          <w:shd w:val="clear" w:color="auto" w:fill="FFFFFF"/>
        </w:rPr>
        <w:t xml:space="preserve"> em documentos–Apresentação</w:t>
      </w:r>
      <w:r w:rsidRPr="00CB7843">
        <w:rPr>
          <w:shd w:val="clear" w:color="auto" w:fill="FFFFFF"/>
        </w:rPr>
        <w:t>.</w:t>
      </w:r>
      <w:r w:rsidRPr="00CB7843">
        <w:rPr>
          <w:rStyle w:val="apple-converted-space"/>
          <w:shd w:val="clear" w:color="auto" w:fill="FFFFFF"/>
        </w:rPr>
        <w:t> </w:t>
      </w:r>
      <w:r w:rsidRPr="00CB7843">
        <w:rPr>
          <w:bCs/>
          <w:shd w:val="clear" w:color="auto" w:fill="FFFFFF"/>
        </w:rPr>
        <w:t>Rio de Janeiro</w:t>
      </w:r>
      <w:r w:rsidRPr="00CB7843">
        <w:rPr>
          <w:shd w:val="clear" w:color="auto" w:fill="FFFFFF"/>
        </w:rPr>
        <w:t>, 2002.</w:t>
      </w:r>
      <w:r w:rsidR="00C45A2A" w:rsidRPr="00CB7843">
        <w:rPr>
          <w:shd w:val="clear" w:color="auto" w:fill="FFFFFF"/>
        </w:rPr>
        <w:t xml:space="preserve"> </w:t>
      </w:r>
    </w:p>
    <w:p w:rsidR="00AE57E8" w:rsidRPr="00CB7843" w:rsidRDefault="00AE57E8" w:rsidP="00CB7843">
      <w:pPr>
        <w:spacing w:after="240"/>
        <w:ind w:firstLine="0"/>
        <w:rPr>
          <w:shd w:val="clear" w:color="auto" w:fill="FFFFFF"/>
        </w:rPr>
      </w:pPr>
      <w:r w:rsidRPr="00CB7843">
        <w:rPr>
          <w:shd w:val="clear" w:color="auto" w:fill="FFFFFF"/>
        </w:rPr>
        <w:t xml:space="preserve">ABNT, NBR. </w:t>
      </w:r>
      <w:proofErr w:type="gramStart"/>
      <w:r w:rsidRPr="00CB7843">
        <w:rPr>
          <w:shd w:val="clear" w:color="auto" w:fill="FFFFFF"/>
        </w:rPr>
        <w:t xml:space="preserve">6023, </w:t>
      </w:r>
      <w:r w:rsidRPr="00CB7843">
        <w:rPr>
          <w:b/>
          <w:shd w:val="clear" w:color="auto" w:fill="FFFFFF"/>
        </w:rPr>
        <w:t xml:space="preserve">Informação e </w:t>
      </w:r>
      <w:proofErr w:type="spellStart"/>
      <w:r w:rsidRPr="00CB7843">
        <w:rPr>
          <w:b/>
          <w:shd w:val="clear" w:color="auto" w:fill="FFFFFF"/>
        </w:rPr>
        <w:t>documentação–Referências–elaboração</w:t>
      </w:r>
      <w:proofErr w:type="spellEnd"/>
      <w:proofErr w:type="gramEnd"/>
      <w:r w:rsidRPr="00CB7843">
        <w:rPr>
          <w:shd w:val="clear" w:color="auto" w:fill="FFFFFF"/>
        </w:rPr>
        <w:t>.</w:t>
      </w:r>
      <w:r w:rsidRPr="00CB7843">
        <w:rPr>
          <w:rStyle w:val="apple-converted-space"/>
          <w:shd w:val="clear" w:color="auto" w:fill="FFFFFF"/>
        </w:rPr>
        <w:t> </w:t>
      </w:r>
      <w:r w:rsidRPr="00CB7843">
        <w:rPr>
          <w:bCs/>
          <w:shd w:val="clear" w:color="auto" w:fill="FFFFFF"/>
        </w:rPr>
        <w:t>Rio de Janeiro</w:t>
      </w:r>
      <w:r w:rsidRPr="00CB7843">
        <w:rPr>
          <w:shd w:val="clear" w:color="auto" w:fill="FFFFFF"/>
        </w:rPr>
        <w:t>, 2002.</w:t>
      </w:r>
      <w:r w:rsidR="00C45A2A" w:rsidRPr="00CB7843">
        <w:rPr>
          <w:shd w:val="clear" w:color="auto" w:fill="FFFFFF"/>
        </w:rPr>
        <w:t xml:space="preserve"> </w:t>
      </w:r>
    </w:p>
    <w:p w:rsidR="00AE57E8" w:rsidRPr="00CB7843" w:rsidRDefault="00AE57E8" w:rsidP="00CB7843">
      <w:pPr>
        <w:autoSpaceDE w:val="0"/>
        <w:autoSpaceDN w:val="0"/>
        <w:adjustRightInd w:val="0"/>
        <w:spacing w:after="240"/>
        <w:ind w:firstLine="0"/>
      </w:pPr>
      <w:r w:rsidRPr="00CB7843">
        <w:t xml:space="preserve">LAKATOS, E. M.; MARCONI, M. A. </w:t>
      </w:r>
      <w:r w:rsidRPr="00CB7843">
        <w:rPr>
          <w:b/>
          <w:iCs/>
        </w:rPr>
        <w:t>Fundamentos da Metodologia Científica</w:t>
      </w:r>
      <w:r w:rsidRPr="00CB7843">
        <w:t xml:space="preserve">. </w:t>
      </w:r>
      <w:proofErr w:type="gramStart"/>
      <w:r w:rsidRPr="00CB7843">
        <w:t>6</w:t>
      </w:r>
      <w:proofErr w:type="gramEnd"/>
      <w:r w:rsidRPr="00CB7843">
        <w:t xml:space="preserve"> ed. São Paulo: Atlas, 2009</w:t>
      </w:r>
      <w:r w:rsidR="00DF29D1" w:rsidRPr="00CB7843">
        <w:t>.</w:t>
      </w:r>
    </w:p>
    <w:p w:rsidR="0042698E" w:rsidRPr="00CB7843" w:rsidRDefault="0042698E" w:rsidP="00CB7843">
      <w:pPr>
        <w:ind w:firstLine="0"/>
      </w:pPr>
      <w:r w:rsidRPr="00CB7843">
        <w:t xml:space="preserve">ABRANTES, Talita. Em 62% dos processos por tráfico, polícia é a única testemunha. Disponível em: </w:t>
      </w:r>
      <w:r w:rsidRPr="00A8017A">
        <w:t>&lt;</w:t>
      </w:r>
      <w:hyperlink r:id="rId8" w:history="1">
        <w:r w:rsidRPr="00A8017A">
          <w:rPr>
            <w:rStyle w:val="Hyperlink"/>
            <w:color w:val="auto"/>
            <w:u w:val="none"/>
          </w:rPr>
          <w:t>https://blog.mettzer.com/referencia-bibliografica-normas-abnt/</w:t>
        </w:r>
      </w:hyperlink>
      <w:r w:rsidRPr="00CB7843">
        <w:t xml:space="preserve">&gt;. Acesso em: </w:t>
      </w:r>
      <w:proofErr w:type="gramStart"/>
      <w:r w:rsidRPr="00CB7843">
        <w:t>2</w:t>
      </w:r>
      <w:proofErr w:type="gramEnd"/>
      <w:r w:rsidRPr="00CB7843">
        <w:t xml:space="preserve"> de junho de 2019.</w:t>
      </w:r>
    </w:p>
    <w:p w:rsidR="0042698E" w:rsidRPr="00CB7843" w:rsidRDefault="0042698E" w:rsidP="00CB7843">
      <w:pPr>
        <w:ind w:firstLine="0"/>
      </w:pPr>
      <w:r w:rsidRPr="00CB7843">
        <w:t xml:space="preserve">ÁVILA, G. Psicologia do testemunho: as falsas memórias no Processo Penal. </w:t>
      </w:r>
      <w:r w:rsidRPr="00CB7843">
        <w:rPr>
          <w:b/>
        </w:rPr>
        <w:t>Justificando</w:t>
      </w:r>
      <w:r w:rsidRPr="00CB7843">
        <w:t xml:space="preserve">, 2015. Disponível em:&lt; </w:t>
      </w:r>
      <w:hyperlink r:id="rId9" w:history="1">
        <w:r w:rsidRPr="00A8017A">
          <w:rPr>
            <w:rStyle w:val="Hyperlink"/>
            <w:color w:val="auto"/>
            <w:u w:val="none"/>
          </w:rPr>
          <w:t>http://www.justificando.com/2015/09/10/psicologia-do-testemunho-as-falsas-memorias-no-processo-penal</w:t>
        </w:r>
        <w:r w:rsidRPr="00CB7843">
          <w:rPr>
            <w:rStyle w:val="Hyperlink"/>
          </w:rPr>
          <w:t>/</w:t>
        </w:r>
      </w:hyperlink>
      <w:r w:rsidRPr="00CB7843">
        <w:t>&gt;. Acesso em 10 de setembro de 2019.</w:t>
      </w:r>
    </w:p>
    <w:p w:rsidR="0042698E" w:rsidRPr="00CB7843" w:rsidRDefault="0042698E" w:rsidP="00CB7843">
      <w:pPr>
        <w:ind w:firstLine="0"/>
      </w:pPr>
      <w:r w:rsidRPr="00CB7843">
        <w:t xml:space="preserve">BNMP- Banco Nacional de Monitoramento de Prisões. </w:t>
      </w:r>
      <w:r w:rsidRPr="00CB7843">
        <w:rPr>
          <w:b/>
        </w:rPr>
        <w:t>Conselho Nacional de Justiça</w:t>
      </w:r>
      <w:r w:rsidRPr="00CB7843">
        <w:t>: Cadastro Nacional de Presos. Brasília, 2018.</w:t>
      </w:r>
    </w:p>
    <w:p w:rsidR="00CD4617" w:rsidRDefault="0042698E" w:rsidP="00CB7843">
      <w:pPr>
        <w:ind w:firstLine="0"/>
      </w:pPr>
      <w:r w:rsidRPr="00CB7843">
        <w:t xml:space="preserve">BRASIL. Lei n° 13.105, de 16 de março de 2015. </w:t>
      </w:r>
      <w:r w:rsidRPr="00CB7843">
        <w:rPr>
          <w:b/>
        </w:rPr>
        <w:t>Código de Processo Civil</w:t>
      </w:r>
      <w:r w:rsidRPr="00CB7843">
        <w:t xml:space="preserve">, Brasília, DF. </w:t>
      </w:r>
    </w:p>
    <w:p w:rsidR="0042698E" w:rsidRPr="00CB7843" w:rsidRDefault="0042698E" w:rsidP="00CB7843">
      <w:pPr>
        <w:ind w:firstLine="0"/>
      </w:pPr>
      <w:r w:rsidRPr="00CB7843">
        <w:t>Disponível em: &lt;</w:t>
      </w:r>
      <w:hyperlink r:id="rId10" w:history="1">
        <w:r w:rsidRPr="00CB7843">
          <w:rPr>
            <w:rStyle w:val="Hyperlink"/>
            <w:color w:val="000000" w:themeColor="text1"/>
          </w:rPr>
          <w:t>http://www.planalto.gov.br/ccivil_03/_ato2015-2018/2015/lei/l13105.htm</w:t>
        </w:r>
      </w:hyperlink>
      <w:r w:rsidRPr="00CB7843">
        <w:rPr>
          <w:color w:val="000000" w:themeColor="text1"/>
        </w:rPr>
        <w:t>&gt;.</w:t>
      </w:r>
      <w:r w:rsidRPr="00CB7843">
        <w:t xml:space="preserve"> Acesso em: 27 de agosto de 2019.</w:t>
      </w:r>
    </w:p>
    <w:p w:rsidR="0042698E" w:rsidRDefault="0042698E" w:rsidP="00CB7843">
      <w:pPr>
        <w:ind w:firstLine="0"/>
      </w:pPr>
      <w:r w:rsidRPr="00CB7843">
        <w:lastRenderedPageBreak/>
        <w:t xml:space="preserve">BRASIL. Decreto-Lei nº 3.689, de </w:t>
      </w:r>
      <w:proofErr w:type="gramStart"/>
      <w:r w:rsidRPr="00CB7843">
        <w:t>3</w:t>
      </w:r>
      <w:proofErr w:type="gramEnd"/>
      <w:r w:rsidRPr="00CB7843">
        <w:t xml:space="preserve"> de outubro de 1941. </w:t>
      </w:r>
      <w:r w:rsidRPr="00CB7843">
        <w:rPr>
          <w:b/>
        </w:rPr>
        <w:t>Código de Processo Penal</w:t>
      </w:r>
      <w:r w:rsidRPr="00CB7843">
        <w:t>, Brasília, DF. Disponível em: &lt;http://www.planalto.gov.br/ccivil_03/decreto-lei/del3689compilado.htm&gt;. Acesso em: 09 de setembro de 2019.</w:t>
      </w:r>
    </w:p>
    <w:p w:rsidR="009F6D30" w:rsidRDefault="009F6D30" w:rsidP="009F6D30">
      <w:pPr>
        <w:ind w:firstLine="0"/>
      </w:pPr>
      <w:r>
        <w:t xml:space="preserve">BRASIL. Supremo Tribunal Federal. Habeas Corpus n. 76.557. Impetrante: Adilson Vieira </w:t>
      </w:r>
      <w:proofErr w:type="spellStart"/>
      <w:r>
        <w:t>Macabu</w:t>
      </w:r>
      <w:proofErr w:type="spellEnd"/>
      <w:r>
        <w:t>. Coautor: Tribunal de Justiça do Rio de Janeiro. Rel. Min. Marco Aurélio. Brasília, DF, 04 de agosto de 1998. Disponível em: &lt;</w:t>
      </w:r>
      <w:r w:rsidRPr="009F6D30">
        <w:t xml:space="preserve"> http://stf.jus.br/portal/jurisprudencia/listarJurisprudencia.asp?</w:t>
      </w:r>
      <w:proofErr w:type="gramStart"/>
      <w:r w:rsidRPr="009F6D30">
        <w:t>s1</w:t>
      </w:r>
      <w:proofErr w:type="gramEnd"/>
      <w:r w:rsidRPr="009F6D30">
        <w:t>=%28HC%24%2ESCLA%2E+E+76557%2ENUME%2E%29+OU+%28HC%2EACMS%2E+ADJ2+76557%2EACMS%2E%29&amp;base=baseAcordaos&amp;url=http://tinyurl.com/zxh2qwk</w:t>
      </w:r>
      <w:r>
        <w:t>&gt;. Acesso em 18 de setembro de 2019.</w:t>
      </w:r>
    </w:p>
    <w:p w:rsidR="009F6D30" w:rsidRPr="00CB7843" w:rsidRDefault="009F6D30" w:rsidP="00CB7843">
      <w:pPr>
        <w:ind w:firstLine="0"/>
      </w:pPr>
      <w:r>
        <w:t xml:space="preserve">BRASIL. Supremo Tribunal Federal. Habeas Corpus n. 91.487. Impetrante: Fernanda Trajano de Cristo e </w:t>
      </w:r>
      <w:proofErr w:type="gramStart"/>
      <w:r>
        <w:t>outro(</w:t>
      </w:r>
      <w:proofErr w:type="gramEnd"/>
      <w:r>
        <w:t>a/s). Coautor: Superior Tribunal de Justiça. Rel. Min. Cármen Lúcia. Brasília, DF, 11 de setembro de 2007. Disponível em: &lt;</w:t>
      </w:r>
      <w:r w:rsidRPr="009F6D30">
        <w:t xml:space="preserve"> http://stf.jus.br/portal/jurisprudencia/listarJurisprudencia.asp?</w:t>
      </w:r>
      <w:proofErr w:type="gramStart"/>
      <w:r w:rsidRPr="009F6D30">
        <w:t>s1</w:t>
      </w:r>
      <w:proofErr w:type="gramEnd"/>
      <w:r w:rsidRPr="009F6D30">
        <w:t>=%28HC%24%2ESCLA%2E+E+91487%2ENUME%2E%29+OU+%28HC%2EACMS%2E+ADJ2+91487%2EACMS%2E%29&amp;base=baseAcordaos&amp;url=http://tinyurl.com/y2o8yl76</w:t>
      </w:r>
      <w:r>
        <w:t>&gt;. Acesso em: 18 de setembro de 2019.</w:t>
      </w:r>
    </w:p>
    <w:p w:rsidR="0066789F" w:rsidRDefault="0066789F" w:rsidP="00CB7843">
      <w:pPr>
        <w:ind w:firstLine="0"/>
      </w:pPr>
      <w:r>
        <w:t xml:space="preserve">BRASIL. Supremo Tribunal Federal. Recurso Extraordinário n. 607173. Reclamante: Vagner Augusto Pereira. Reclamado: Ministério Público de Minas Gerais. </w:t>
      </w:r>
      <w:r w:rsidR="00A8017A">
        <w:t xml:space="preserve">Rel. Min. Cármen Lúcia. Brasília, DF, 11 de fevereiro de 2010. Disponível em: &lt; </w:t>
      </w:r>
      <w:proofErr w:type="gramStart"/>
      <w:r w:rsidR="00A8017A" w:rsidRPr="00A8017A">
        <w:t>https</w:t>
      </w:r>
      <w:proofErr w:type="gramEnd"/>
      <w:r w:rsidR="00A8017A" w:rsidRPr="00A8017A">
        <w:t>://stf.jusbrasil.com.br/jurisprudencia/7852770/recurso-extraordinario-re-607173-mg-stf</w:t>
      </w:r>
      <w:r w:rsidR="00A8017A">
        <w:t>&gt;. Acesso em: 22 de setembro de 2019.</w:t>
      </w:r>
    </w:p>
    <w:p w:rsidR="0042698E" w:rsidRPr="00CB7843" w:rsidRDefault="0042698E" w:rsidP="00CB7843">
      <w:pPr>
        <w:ind w:firstLine="0"/>
      </w:pPr>
      <w:r w:rsidRPr="00CB7843">
        <w:t xml:space="preserve">BRASIL. Tribunal de Justiça do Estado do Rio de Janeiro. Súmula n° 70. O fato de restringir-se a prova oral a depoimentos de autoridades policiais e seus agentes não desautoriza a condenação. </w:t>
      </w:r>
      <w:r w:rsidRPr="00CB7843">
        <w:rPr>
          <w:b/>
        </w:rPr>
        <w:t>Diário de Justiça</w:t>
      </w:r>
      <w:r w:rsidRPr="00CB7843">
        <w:t>, Rio de Janeiro, RJ, 04 de agosto de 2003, p. 565/572.</w:t>
      </w:r>
    </w:p>
    <w:p w:rsidR="0042698E" w:rsidRPr="00CB7843" w:rsidRDefault="0042698E" w:rsidP="00CB7843">
      <w:pPr>
        <w:ind w:firstLine="0"/>
      </w:pPr>
      <w:r w:rsidRPr="00CB7843">
        <w:t xml:space="preserve">CAPEZ, Fernando. </w:t>
      </w:r>
      <w:r w:rsidRPr="00CB7843">
        <w:rPr>
          <w:b/>
        </w:rPr>
        <w:t>Curso de Processo Penal</w:t>
      </w:r>
      <w:r w:rsidRPr="00CB7843">
        <w:t xml:space="preserve">. São Paulo: </w:t>
      </w:r>
      <w:proofErr w:type="gramStart"/>
      <w:r w:rsidRPr="00CB7843">
        <w:t>Saraiva,</w:t>
      </w:r>
      <w:proofErr w:type="gramEnd"/>
      <w:r w:rsidRPr="00CB7843">
        <w:t xml:space="preserve"> 2016.</w:t>
      </w:r>
    </w:p>
    <w:p w:rsidR="0042698E" w:rsidRPr="00CB7843" w:rsidRDefault="0042698E" w:rsidP="00CB7843">
      <w:pPr>
        <w:ind w:firstLine="0"/>
      </w:pPr>
      <w:r w:rsidRPr="00CB7843">
        <w:t xml:space="preserve">CARVALHO, </w:t>
      </w:r>
      <w:proofErr w:type="spellStart"/>
      <w:r w:rsidRPr="00CB7843">
        <w:t>Salo</w:t>
      </w:r>
      <w:proofErr w:type="spellEnd"/>
      <w:r w:rsidRPr="00CB7843">
        <w:t xml:space="preserve"> de; BRASIL E WEIGERT, Mariana de Assis. “</w:t>
      </w:r>
      <w:proofErr w:type="spellStart"/>
      <w:r w:rsidRPr="00CB7843">
        <w:rPr>
          <w:b/>
        </w:rPr>
        <w:t>Making</w:t>
      </w:r>
      <w:proofErr w:type="spellEnd"/>
      <w:r w:rsidRPr="00CB7843">
        <w:rPr>
          <w:b/>
        </w:rPr>
        <w:t xml:space="preserve"> a </w:t>
      </w:r>
      <w:proofErr w:type="spellStart"/>
      <w:r w:rsidRPr="00CB7843">
        <w:rPr>
          <w:b/>
        </w:rPr>
        <w:t>drug</w:t>
      </w:r>
      <w:proofErr w:type="spellEnd"/>
      <w:r w:rsidRPr="00CB7843">
        <w:rPr>
          <w:b/>
        </w:rPr>
        <w:t xml:space="preserve"> </w:t>
      </w:r>
      <w:proofErr w:type="spellStart"/>
      <w:r w:rsidRPr="00CB7843">
        <w:rPr>
          <w:b/>
        </w:rPr>
        <w:t>dealer</w:t>
      </w:r>
      <w:proofErr w:type="spellEnd"/>
      <w:r w:rsidRPr="00CB7843">
        <w:t>”. O impacto dos depoimentos policiais e os efeitos da Súmula n° 70 do TJRJ na construção do caso Rafael Braga. Revista de Estudos Criminais, Porto Alegre, v. 17, n. 68, p. 45-77, 2018.</w:t>
      </w:r>
    </w:p>
    <w:p w:rsidR="00A02DB1" w:rsidRDefault="00A02DB1" w:rsidP="00CB7843">
      <w:pPr>
        <w:ind w:firstLine="0"/>
      </w:pPr>
      <w:r>
        <w:lastRenderedPageBreak/>
        <w:t>ESTEVES</w:t>
      </w:r>
      <w:r w:rsidR="00356436">
        <w:t xml:space="preserve">, C. R. Z. </w:t>
      </w:r>
      <w:proofErr w:type="spellStart"/>
      <w:proofErr w:type="gramStart"/>
      <w:r w:rsidR="00356436">
        <w:t>et</w:t>
      </w:r>
      <w:proofErr w:type="spellEnd"/>
      <w:proofErr w:type="gramEnd"/>
      <w:r w:rsidR="00356436">
        <w:t xml:space="preserve"> al</w:t>
      </w:r>
      <w:r w:rsidR="00356436" w:rsidRPr="00356436">
        <w:rPr>
          <w:b/>
        </w:rPr>
        <w:t>. Depoimento</w:t>
      </w:r>
      <w:r w:rsidR="00356436">
        <w:t xml:space="preserve"> </w:t>
      </w:r>
      <w:r w:rsidR="00356436" w:rsidRPr="00356436">
        <w:rPr>
          <w:b/>
        </w:rPr>
        <w:t>de Policiais e valoração Probatória</w:t>
      </w:r>
      <w:r w:rsidR="00356436">
        <w:t xml:space="preserve">: </w:t>
      </w:r>
      <w:r w:rsidR="00356436" w:rsidRPr="00356436">
        <w:t>Estudo do Projeto de Lei n° 7.024/17</w:t>
      </w:r>
      <w:r w:rsidR="00356436">
        <w:t>. Centro de Apoio Operacional das Promotorias. Curitiba: Ministério Público do Paraná, 2018.</w:t>
      </w:r>
    </w:p>
    <w:p w:rsidR="0042698E" w:rsidRPr="00CB7843" w:rsidRDefault="0042698E" w:rsidP="00CB7843">
      <w:pPr>
        <w:ind w:firstLine="0"/>
      </w:pPr>
      <w:r w:rsidRPr="00CB7843">
        <w:t xml:space="preserve">FILHO, José dos </w:t>
      </w:r>
      <w:proofErr w:type="gramStart"/>
      <w:r w:rsidRPr="00CB7843">
        <w:t>Santos Carvalho</w:t>
      </w:r>
      <w:proofErr w:type="gramEnd"/>
      <w:r w:rsidRPr="00CB7843">
        <w:t xml:space="preserve">. </w:t>
      </w:r>
      <w:r w:rsidRPr="00CB7843">
        <w:rPr>
          <w:b/>
        </w:rPr>
        <w:t>Manual de Direito Administrativo</w:t>
      </w:r>
      <w:r w:rsidRPr="00CB7843">
        <w:t>. São Paulo: Atlas, 2015.</w:t>
      </w:r>
    </w:p>
    <w:sdt>
      <w:sdtPr>
        <w:rPr>
          <w:szCs w:val="24"/>
        </w:rPr>
        <w:id w:val="484918830"/>
        <w:bibliography/>
      </w:sdtPr>
      <w:sdtContent>
        <w:p w:rsidR="0042698E" w:rsidRPr="00CB7843" w:rsidRDefault="0042698E" w:rsidP="00CB7843">
          <w:pPr>
            <w:pStyle w:val="Bibliografia"/>
            <w:spacing w:line="360" w:lineRule="auto"/>
            <w:jc w:val="both"/>
            <w:rPr>
              <w:szCs w:val="24"/>
            </w:rPr>
          </w:pPr>
          <w:r w:rsidRPr="00CB7843">
            <w:rPr>
              <w:szCs w:val="24"/>
            </w:rPr>
            <w:t xml:space="preserve">FRANCESC, W. A ilegalidade da prisão baseada no testemunho de policiais. </w:t>
          </w:r>
          <w:r w:rsidRPr="00CB7843">
            <w:rPr>
              <w:b/>
              <w:szCs w:val="24"/>
            </w:rPr>
            <w:t>Justificando</w:t>
          </w:r>
          <w:r w:rsidRPr="00CB7843">
            <w:rPr>
              <w:szCs w:val="24"/>
            </w:rPr>
            <w:t xml:space="preserve">, 2017. Disponível em: &lt; http://www.justificando.com/2017/02/02/ilegalidade-da-prisao-baseada-no-testemunho-de-policiais/ &gt;. Acesso em 09 de setembro de 2019. </w:t>
          </w:r>
        </w:p>
      </w:sdtContent>
    </w:sdt>
    <w:p w:rsidR="0042698E" w:rsidRPr="00CB7843" w:rsidRDefault="0042698E" w:rsidP="00CB7843">
      <w:pPr>
        <w:ind w:firstLine="0"/>
      </w:pPr>
      <w:r w:rsidRPr="00CB7843">
        <w:t xml:space="preserve">LIMA, Renato Brasileiro de. Curso de Direito Processual Penal. Salvador. Editor </w:t>
      </w:r>
      <w:proofErr w:type="spellStart"/>
      <w:proofErr w:type="gramStart"/>
      <w:r w:rsidRPr="00CB7843">
        <w:t>JusPodivin</w:t>
      </w:r>
      <w:proofErr w:type="spellEnd"/>
      <w:proofErr w:type="gramEnd"/>
      <w:r w:rsidRPr="00CB7843">
        <w:t>, 2016.</w:t>
      </w:r>
    </w:p>
    <w:p w:rsidR="0042698E" w:rsidRPr="00CB7843" w:rsidRDefault="0042698E" w:rsidP="00CB7843">
      <w:pPr>
        <w:ind w:firstLine="0"/>
      </w:pPr>
      <w:r w:rsidRPr="00CB7843">
        <w:t xml:space="preserve">LOPES JR, </w:t>
      </w:r>
      <w:proofErr w:type="spellStart"/>
      <w:r w:rsidRPr="00CB7843">
        <w:t>Aury</w:t>
      </w:r>
      <w:proofErr w:type="spellEnd"/>
      <w:r w:rsidRPr="00CB7843">
        <w:t xml:space="preserve">. </w:t>
      </w:r>
      <w:r w:rsidRPr="00CB7843">
        <w:rPr>
          <w:b/>
        </w:rPr>
        <w:t>Direito Processual Penal</w:t>
      </w:r>
      <w:r w:rsidRPr="00CB7843">
        <w:t xml:space="preserve"> -11ª ed. – São Paulo: </w:t>
      </w:r>
      <w:proofErr w:type="gramStart"/>
      <w:r w:rsidRPr="00CB7843">
        <w:t>Saraiva,</w:t>
      </w:r>
      <w:proofErr w:type="gramEnd"/>
      <w:r w:rsidRPr="00CB7843">
        <w:t xml:space="preserve"> 2014.</w:t>
      </w:r>
    </w:p>
    <w:p w:rsidR="0042698E" w:rsidRDefault="00CB7843" w:rsidP="00CB7843">
      <w:pPr>
        <w:ind w:firstLine="0"/>
      </w:pPr>
      <w:r w:rsidRPr="00CB7843">
        <w:t>MINAS GERAIS. Tribunal de Justiça de Minas Gerais. APELAÇÃO CRIMI</w:t>
      </w:r>
      <w:r>
        <w:t xml:space="preserve">NAL Nº 1.0440.18.000217-0/001. </w:t>
      </w:r>
      <w:r w:rsidRPr="00CB7843">
        <w:t>Apelante: Ailton Agostinho de Souza. Apelado: Ministério Público do Estado de Minas Gerais. Belo Horizonte, MG, 28 de agosto de 2019. Disponível em:</w:t>
      </w:r>
      <w:proofErr w:type="gramStart"/>
      <w:r w:rsidRPr="00CB7843">
        <w:t xml:space="preserve">  </w:t>
      </w:r>
      <w:proofErr w:type="gramEnd"/>
      <w:r w:rsidRPr="00CB7843">
        <w:t>&lt;https://www5.tjmg.jus.br/jurisprudencia/pesquisaNumeroCNJEspelhoAcordao.do?</w:t>
      </w:r>
      <w:proofErr w:type="gramStart"/>
      <w:r w:rsidRPr="00CB7843">
        <w:t>numeroRegistro</w:t>
      </w:r>
      <w:proofErr w:type="gramEnd"/>
      <w:r w:rsidRPr="00CB7843">
        <w:t>=1&amp;totalLinhas=1&amp;linhasPorPagina=10&amp;numeroUnico=0002170-19.2018.8.13.0440&amp;pesquisaNumeroCNJ=Pesquisar&gt;. Acesso em: 18 de setembro de 2019.</w:t>
      </w:r>
    </w:p>
    <w:p w:rsidR="00CD4617" w:rsidRDefault="00CB7843" w:rsidP="00CB7843">
      <w:pPr>
        <w:ind w:firstLine="0"/>
      </w:pPr>
      <w:r>
        <w:t xml:space="preserve">MINAS GERAIS. Tribunal de Justiça de Minas Gerais. APELAÇÃO CRIMINAL N° </w:t>
      </w:r>
      <w:r w:rsidRPr="00CB7843">
        <w:t>0270743-89.2016.8.13.0701</w:t>
      </w:r>
      <w:r>
        <w:t xml:space="preserve">. Apelante: Ministério Público de Minas Gerais. Apelado: </w:t>
      </w:r>
      <w:proofErr w:type="spellStart"/>
      <w:r w:rsidR="00CD4617">
        <w:t>Maurilio</w:t>
      </w:r>
      <w:proofErr w:type="spellEnd"/>
      <w:r w:rsidR="00CD4617">
        <w:t xml:space="preserve"> Augusto do Nascimento e Mauricio dos Reis do Nascimento. Belo Horizonte, MG, 07 de agosto de 2019. Disponível em: &lt;</w:t>
      </w:r>
      <w:proofErr w:type="gramStart"/>
      <w:r w:rsidR="00CD4617" w:rsidRPr="00CD4617">
        <w:t>https</w:t>
      </w:r>
      <w:proofErr w:type="gramEnd"/>
      <w:r w:rsidR="00CD4617" w:rsidRPr="00CD4617">
        <w:t>://www5.tjmg.jus.br/jurisprudencia/pesquisaNumeroCNJEspelhoAcordao.do?&amp;</w:t>
      </w:r>
      <w:proofErr w:type="gramStart"/>
      <w:r w:rsidR="00CD4617" w:rsidRPr="00CD4617">
        <w:t>numeroRegistro</w:t>
      </w:r>
      <w:proofErr w:type="gramEnd"/>
      <w:r w:rsidR="00CD4617" w:rsidRPr="00CD4617">
        <w:t>=1&amp;totalLinhas=2&amp;paginaNumero=1&amp;linhasPorPagina=1&amp;numeroUnico=0270743-89.2016.8.13.0701&amp;pesquisaNumeroCNJ=Pesquisar&amp;</w:t>
      </w:r>
      <w:r w:rsidR="00CD4617">
        <w:t>&gt;. Acesso em: 18 de setembro de 2019.</w:t>
      </w:r>
    </w:p>
    <w:p w:rsidR="0042698E" w:rsidRPr="00CB7843" w:rsidRDefault="00CD4617" w:rsidP="00CB7843">
      <w:pPr>
        <w:ind w:firstLine="0"/>
      </w:pPr>
      <w:r w:rsidRPr="00CB7843">
        <w:t xml:space="preserve"> </w:t>
      </w:r>
      <w:r w:rsidR="0042698E" w:rsidRPr="00CB7843">
        <w:t xml:space="preserve">NUCCI, Guilherme de Souza. </w:t>
      </w:r>
      <w:r w:rsidR="0042698E" w:rsidRPr="00CB7843">
        <w:rPr>
          <w:b/>
        </w:rPr>
        <w:t>Código de Processo Penal Comentado</w:t>
      </w:r>
      <w:r w:rsidR="0042698E" w:rsidRPr="00CB7843">
        <w:t>. Rio de Janeiro: Forense, 2016.</w:t>
      </w:r>
    </w:p>
    <w:p w:rsidR="0042698E" w:rsidRPr="00CB7843" w:rsidRDefault="0042698E" w:rsidP="00CB7843">
      <w:pPr>
        <w:ind w:firstLine="0"/>
      </w:pPr>
      <w:r w:rsidRPr="00CB7843">
        <w:t xml:space="preserve">NUCCI, Guilherme de Souza. </w:t>
      </w:r>
      <w:r w:rsidRPr="00CB7843">
        <w:rPr>
          <w:b/>
        </w:rPr>
        <w:t>Manual de Processo Penal e Execução Penal</w:t>
      </w:r>
      <w:r w:rsidRPr="00CB7843">
        <w:t>. Rio de Janeiro: Forense, 2016.</w:t>
      </w:r>
    </w:p>
    <w:p w:rsidR="0042698E" w:rsidRPr="00CB7843" w:rsidRDefault="0042698E" w:rsidP="00CB7843">
      <w:pPr>
        <w:ind w:firstLine="0"/>
      </w:pPr>
      <w:r w:rsidRPr="00CB7843">
        <w:t xml:space="preserve">PIETRO. Maria Sylvia </w:t>
      </w:r>
      <w:proofErr w:type="spellStart"/>
      <w:r w:rsidRPr="00CB7843">
        <w:t>Zanella</w:t>
      </w:r>
      <w:proofErr w:type="spellEnd"/>
      <w:r w:rsidRPr="00CB7843">
        <w:t xml:space="preserve"> Di. </w:t>
      </w:r>
      <w:r w:rsidRPr="00CB7843">
        <w:rPr>
          <w:b/>
        </w:rPr>
        <w:t>Direito Administrativo</w:t>
      </w:r>
      <w:r w:rsidRPr="00CB7843">
        <w:t>. Rio de Janeiro: Forense, 2018.</w:t>
      </w:r>
    </w:p>
    <w:p w:rsidR="0042698E" w:rsidRPr="00CB7843" w:rsidRDefault="0042698E" w:rsidP="00CB7843">
      <w:pPr>
        <w:ind w:firstLine="0"/>
      </w:pPr>
      <w:r w:rsidRPr="00CB7843">
        <w:lastRenderedPageBreak/>
        <w:t xml:space="preserve">STF, 2ª Turma, </w:t>
      </w:r>
      <w:proofErr w:type="spellStart"/>
      <w:r w:rsidRPr="00CB7843">
        <w:t>RE-AgR</w:t>
      </w:r>
      <w:proofErr w:type="spellEnd"/>
      <w:r w:rsidRPr="00CB7843">
        <w:t xml:space="preserve"> 425.734/MG, Rel. Min. Ellen </w:t>
      </w:r>
      <w:proofErr w:type="spellStart"/>
      <w:r w:rsidRPr="00CB7843">
        <w:t>Gracie</w:t>
      </w:r>
      <w:proofErr w:type="spellEnd"/>
      <w:r w:rsidRPr="00CB7843">
        <w:t>, DJ 28/10/2005 p. 57. Em sentido semelhante: STF, 2ª Turma, HC 89.877/ES, Rel. Min. Eros</w:t>
      </w:r>
      <w:r w:rsidR="00CB7843" w:rsidRPr="00CB7843">
        <w:t xml:space="preserve">. </w:t>
      </w:r>
      <w:r w:rsidRPr="00CB7843">
        <w:t>Grau, j. 07/11/2006, DJ 15/12/2006; STF, 1ª Turma, RE 287.658/MG, Rel. Min. Sepúlveda Pertence, DJ 03/10/2003 p. 22.</w:t>
      </w:r>
    </w:p>
    <w:p w:rsidR="0042698E" w:rsidRPr="00CB7843" w:rsidRDefault="0042698E" w:rsidP="00CB7843">
      <w:pPr>
        <w:ind w:firstLine="0"/>
        <w:rPr>
          <w:color w:val="000000"/>
          <w:shd w:val="clear" w:color="auto" w:fill="FFFFFF"/>
        </w:rPr>
      </w:pPr>
      <w:r w:rsidRPr="00CB7843">
        <w:rPr>
          <w:color w:val="000000"/>
          <w:shd w:val="clear" w:color="auto" w:fill="FFFFFF"/>
        </w:rPr>
        <w:t xml:space="preserve">TAKAMURA, </w:t>
      </w:r>
      <w:proofErr w:type="spellStart"/>
      <w:r w:rsidRPr="00CB7843">
        <w:rPr>
          <w:color w:val="000000"/>
          <w:shd w:val="clear" w:color="auto" w:fill="FFFFFF"/>
        </w:rPr>
        <w:t>Thallita</w:t>
      </w:r>
      <w:proofErr w:type="spellEnd"/>
      <w:r w:rsidRPr="00CB7843">
        <w:rPr>
          <w:color w:val="000000"/>
          <w:shd w:val="clear" w:color="auto" w:fill="FFFFFF"/>
        </w:rPr>
        <w:t xml:space="preserve"> </w:t>
      </w:r>
      <w:proofErr w:type="spellStart"/>
      <w:r w:rsidRPr="00CB7843">
        <w:rPr>
          <w:color w:val="000000"/>
          <w:shd w:val="clear" w:color="auto" w:fill="FFFFFF"/>
        </w:rPr>
        <w:t>Tiemi</w:t>
      </w:r>
      <w:proofErr w:type="spellEnd"/>
      <w:r w:rsidRPr="00CB7843">
        <w:rPr>
          <w:color w:val="000000"/>
          <w:shd w:val="clear" w:color="auto" w:fill="FFFFFF"/>
        </w:rPr>
        <w:t xml:space="preserve">. </w:t>
      </w:r>
      <w:r w:rsidRPr="00CB7843">
        <w:rPr>
          <w:b/>
          <w:color w:val="000000"/>
          <w:shd w:val="clear" w:color="auto" w:fill="FFFFFF"/>
        </w:rPr>
        <w:t>Análise crítica acerca da admissibilidade e valoração do depoimento policial como prova única para a condenação</w:t>
      </w:r>
      <w:r w:rsidRPr="00CB7843">
        <w:rPr>
          <w:color w:val="000000"/>
          <w:shd w:val="clear" w:color="auto" w:fill="FFFFFF"/>
        </w:rPr>
        <w:t>. 2016. 91f. Trabalho de Conclusão de Curso- Universidade de São Paulo, Ribeirão Preto, 2016.</w:t>
      </w:r>
    </w:p>
    <w:p w:rsidR="00AE57E8" w:rsidRDefault="00AE57E8" w:rsidP="00CB7843">
      <w:pPr>
        <w:ind w:firstLine="0"/>
        <w:rPr>
          <w:b/>
        </w:rPr>
      </w:pPr>
    </w:p>
    <w:p w:rsidR="00577E20" w:rsidRPr="00CB7843" w:rsidRDefault="00577E20" w:rsidP="00CB7843">
      <w:pPr>
        <w:ind w:firstLine="0"/>
        <w:rPr>
          <w:b/>
        </w:rPr>
      </w:pPr>
      <w:r>
        <w:rPr>
          <w:b/>
        </w:rPr>
        <w:tab/>
        <w:t xml:space="preserve">O Conteúdo expresso no trabalho é de inteira responsabilidade do (s) </w:t>
      </w:r>
      <w:proofErr w:type="gramStart"/>
      <w:r>
        <w:rPr>
          <w:b/>
        </w:rPr>
        <w:t>autor(</w:t>
      </w:r>
      <w:proofErr w:type="gramEnd"/>
      <w:r>
        <w:rPr>
          <w:b/>
        </w:rPr>
        <w:t>es).</w:t>
      </w:r>
    </w:p>
    <w:sectPr w:rsidR="00577E20" w:rsidRPr="00CB7843" w:rsidSect="00864F12">
      <w:headerReference w:type="default" r:id="rId11"/>
      <w:footerReference w:type="default" r:id="rId12"/>
      <w:pgSz w:w="11907" w:h="16840" w:code="9"/>
      <w:pgMar w:top="1701" w:right="1134" w:bottom="1134" w:left="1701" w:header="1701"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60A" w:rsidRDefault="0007360A">
      <w:pPr>
        <w:spacing w:line="240" w:lineRule="auto"/>
      </w:pPr>
      <w:r>
        <w:separator/>
      </w:r>
    </w:p>
  </w:endnote>
  <w:endnote w:type="continuationSeparator" w:id="0">
    <w:p w:rsidR="0007360A" w:rsidRDefault="000736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Univer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ACB" w:rsidRPr="004328F6" w:rsidRDefault="009748DF" w:rsidP="00212ACB">
    <w:pPr>
      <w:jc w:val="center"/>
      <w:rPr>
        <w:b/>
      </w:rPr>
    </w:pPr>
    <w:r>
      <w:rPr>
        <w:b/>
        <w:noProof/>
      </w:rPr>
      <w:drawing>
        <wp:anchor distT="0" distB="0" distL="114300" distR="114300" simplePos="0" relativeHeight="251660288" behindDoc="1" locked="0" layoutInCell="1" allowOverlap="1">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4462" cy="758781"/>
                  </a:xfrm>
                  <a:prstGeom prst="rect">
                    <a:avLst/>
                  </a:prstGeom>
                </pic:spPr>
              </pic:pic>
            </a:graphicData>
          </a:graphic>
        </wp:anchor>
      </w:drawing>
    </w:r>
  </w:p>
  <w:p w:rsidR="000D00C1" w:rsidRDefault="000D00C1" w:rsidP="00671E85">
    <w:pPr>
      <w:pStyle w:val="Rodap"/>
      <w:spacing w:line="240" w:lineRule="auto"/>
      <w:jc w:val="center"/>
      <w:rPr>
        <w:color w:val="FF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60A" w:rsidRDefault="0007360A">
      <w:pPr>
        <w:spacing w:line="240" w:lineRule="auto"/>
      </w:pPr>
      <w:bookmarkStart w:id="0" w:name="_Hlk481184532"/>
      <w:bookmarkEnd w:id="0"/>
      <w:r>
        <w:separator/>
      </w:r>
    </w:p>
  </w:footnote>
  <w:footnote w:type="continuationSeparator" w:id="0">
    <w:p w:rsidR="0007360A" w:rsidRDefault="0007360A">
      <w:pPr>
        <w:spacing w:line="240" w:lineRule="auto"/>
      </w:pPr>
      <w:r>
        <w:continuationSeparator/>
      </w:r>
    </w:p>
  </w:footnote>
  <w:footnote w:id="1">
    <w:p w:rsidR="00495845" w:rsidRDefault="00495845" w:rsidP="00495845">
      <w:pPr>
        <w:pStyle w:val="Textodenotaderodap"/>
        <w:rPr>
          <w:rFonts w:cstheme="minorBidi"/>
          <w:lang w:eastAsia="en-US"/>
        </w:rPr>
      </w:pPr>
      <w:r w:rsidRPr="00F83668">
        <w:rPr>
          <w:rStyle w:val="Refdenotaderodap"/>
        </w:rPr>
        <w:footnoteRef/>
      </w:r>
      <w:r>
        <w:t xml:space="preserve"> Graduando na Universidade do Estado de Minas Gerais, </w:t>
      </w:r>
      <w:proofErr w:type="gramStart"/>
      <w:r>
        <w:t>gustavosilvaarantes@gmail.com</w:t>
      </w:r>
      <w:proofErr w:type="gramEnd"/>
    </w:p>
  </w:footnote>
  <w:footnote w:id="2">
    <w:p w:rsidR="00495845" w:rsidRDefault="00495845" w:rsidP="00495845">
      <w:pPr>
        <w:pStyle w:val="Textodenotaderodap"/>
      </w:pPr>
      <w:r w:rsidRPr="00F83668">
        <w:rPr>
          <w:rStyle w:val="Refdenotaderodap"/>
        </w:rPr>
        <w:footnoteRef/>
      </w:r>
      <w:r>
        <w:t xml:space="preserve"> </w:t>
      </w:r>
      <w:proofErr w:type="spellStart"/>
      <w:r>
        <w:t>Graduanda</w:t>
      </w:r>
      <w:proofErr w:type="spellEnd"/>
      <w:r>
        <w:t xml:space="preserve"> na Universidade do Estado de Minas Gerais, </w:t>
      </w:r>
      <w:proofErr w:type="gramStart"/>
      <w:r>
        <w:t>thainalima191@yahoo.com.br</w:t>
      </w:r>
      <w:proofErr w:type="gramEnd"/>
    </w:p>
  </w:footnote>
  <w:footnote w:id="3">
    <w:p w:rsidR="00495845" w:rsidRPr="0053712B" w:rsidRDefault="00495845" w:rsidP="00495845">
      <w:pPr>
        <w:pStyle w:val="Textodenotaderodap"/>
        <w:rPr>
          <w:sz w:val="20"/>
        </w:rPr>
      </w:pPr>
      <w:r w:rsidRPr="00F83668">
        <w:rPr>
          <w:rStyle w:val="Refdenotaderodap"/>
          <w:szCs w:val="24"/>
        </w:rPr>
        <w:footnoteRef/>
      </w:r>
      <w:r w:rsidRPr="0053712B">
        <w:rPr>
          <w:sz w:val="20"/>
        </w:rPr>
        <w:t xml:space="preserve"> </w:t>
      </w:r>
      <w:r w:rsidR="00E5356A">
        <w:rPr>
          <w:sz w:val="20"/>
        </w:rPr>
        <w:t xml:space="preserve"> </w:t>
      </w:r>
      <w:r>
        <w:rPr>
          <w:sz w:val="20"/>
        </w:rPr>
        <w:t xml:space="preserve"> </w:t>
      </w:r>
      <w:r w:rsidR="00E5356A">
        <w:rPr>
          <w:szCs w:val="24"/>
        </w:rPr>
        <w:t>M</w:t>
      </w:r>
      <w:r w:rsidR="00E5356A" w:rsidRPr="00E5356A">
        <w:rPr>
          <w:szCs w:val="24"/>
        </w:rPr>
        <w:t xml:space="preserve">estra pela Faculdade de Direito da Universidade de São Paulo </w:t>
      </w:r>
      <w:r w:rsidRPr="00E5356A">
        <w:rPr>
          <w:szCs w:val="24"/>
        </w:rPr>
        <w:t xml:space="preserve">– </w:t>
      </w:r>
      <w:r w:rsidRPr="00E5356A">
        <w:rPr>
          <w:i/>
          <w:szCs w:val="24"/>
        </w:rPr>
        <w:t>e-mail</w:t>
      </w:r>
      <w:r w:rsidRPr="00E5356A">
        <w:rPr>
          <w:szCs w:val="24"/>
        </w:rPr>
        <w:t xml:space="preserve">: </w:t>
      </w:r>
      <w:r w:rsidR="0075746B" w:rsidRPr="00E5356A">
        <w:rPr>
          <w:szCs w:val="24"/>
        </w:rPr>
        <w:t>nathalia.coscrato@outlook.com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6"/>
      <w:gridCol w:w="4842"/>
      <w:gridCol w:w="643"/>
    </w:tblGrid>
    <w:tr w:rsidR="00916BFE" w:rsidTr="002715DD">
      <w:trPr>
        <w:trHeight w:val="713"/>
      </w:trPr>
      <w:tc>
        <w:tcPr>
          <w:tcW w:w="3726" w:type="dxa"/>
          <w:vAlign w:val="center"/>
        </w:tcPr>
        <w:p w:rsidR="004A558F" w:rsidRDefault="004A558F" w:rsidP="00CC0A4E"/>
      </w:tc>
      <w:tc>
        <w:tcPr>
          <w:tcW w:w="4842" w:type="dxa"/>
          <w:vAlign w:val="center"/>
        </w:tcPr>
        <w:p w:rsidR="004A558F" w:rsidRDefault="004A558F" w:rsidP="00CC0A4E"/>
      </w:tc>
      <w:tc>
        <w:tcPr>
          <w:tcW w:w="643" w:type="dxa"/>
          <w:vAlign w:val="center"/>
        </w:tcPr>
        <w:p w:rsidR="004A558F" w:rsidRPr="00143165" w:rsidRDefault="004A558F" w:rsidP="00CC0A4E"/>
      </w:tc>
    </w:tr>
  </w:tbl>
  <w:p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15800" cy="1626920"/>
                  </a:xfrm>
                  <a:prstGeom prst="rect">
                    <a:avLst/>
                  </a:prstGeom>
                </pic:spPr>
              </pic:pic>
            </a:graphicData>
          </a:graphic>
        </wp:anchor>
      </w:drawing>
    </w:r>
  </w:p>
  <w:p w:rsidR="00655EC1" w:rsidRPr="00D162BD" w:rsidRDefault="00655EC1" w:rsidP="00D162BD">
    <w:pPr>
      <w:pStyle w:val="Cabealho"/>
      <w:ind w:right="360"/>
      <w:jc w:val="center"/>
      <w:rPr>
        <w:sz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8">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0"/>
  </w:num>
  <w:num w:numId="8">
    <w:abstractNumId w:val="5"/>
  </w:num>
  <w:num w:numId="9">
    <w:abstractNumId w:val="4"/>
  </w:num>
  <w:num w:numId="10">
    <w:abstractNumId w:val="4"/>
    <w:lvlOverride w:ilvl="0">
      <w:startOverride w:val="1"/>
    </w:lvlOverride>
  </w:num>
  <w:num w:numId="11">
    <w:abstractNumId w:val="9"/>
  </w:num>
  <w:num w:numId="12">
    <w:abstractNumId w:val="11"/>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43E5"/>
    <w:rsid w:val="00044717"/>
    <w:rsid w:val="000453C9"/>
    <w:rsid w:val="00050462"/>
    <w:rsid w:val="0005406A"/>
    <w:rsid w:val="000546D0"/>
    <w:rsid w:val="00054AAC"/>
    <w:rsid w:val="00055FF0"/>
    <w:rsid w:val="00056FDF"/>
    <w:rsid w:val="000576EC"/>
    <w:rsid w:val="000600A3"/>
    <w:rsid w:val="0006628F"/>
    <w:rsid w:val="000663BA"/>
    <w:rsid w:val="0007022F"/>
    <w:rsid w:val="000704DD"/>
    <w:rsid w:val="00070A47"/>
    <w:rsid w:val="00071A22"/>
    <w:rsid w:val="0007360A"/>
    <w:rsid w:val="0007465C"/>
    <w:rsid w:val="00077239"/>
    <w:rsid w:val="000777A1"/>
    <w:rsid w:val="00084A64"/>
    <w:rsid w:val="00086045"/>
    <w:rsid w:val="00090CCB"/>
    <w:rsid w:val="00090E36"/>
    <w:rsid w:val="00095379"/>
    <w:rsid w:val="00097691"/>
    <w:rsid w:val="000A05F4"/>
    <w:rsid w:val="000B2726"/>
    <w:rsid w:val="000B308A"/>
    <w:rsid w:val="000C5365"/>
    <w:rsid w:val="000D00C1"/>
    <w:rsid w:val="000D6838"/>
    <w:rsid w:val="000E061D"/>
    <w:rsid w:val="000E064F"/>
    <w:rsid w:val="000E09F2"/>
    <w:rsid w:val="000E3E33"/>
    <w:rsid w:val="000E42E9"/>
    <w:rsid w:val="000E5ECD"/>
    <w:rsid w:val="000E64AA"/>
    <w:rsid w:val="000F49E1"/>
    <w:rsid w:val="0010200B"/>
    <w:rsid w:val="00102F7F"/>
    <w:rsid w:val="00111900"/>
    <w:rsid w:val="00111E1E"/>
    <w:rsid w:val="001216E7"/>
    <w:rsid w:val="00125AF5"/>
    <w:rsid w:val="00136F55"/>
    <w:rsid w:val="00137D29"/>
    <w:rsid w:val="001413C9"/>
    <w:rsid w:val="00143165"/>
    <w:rsid w:val="00145FDB"/>
    <w:rsid w:val="001464D5"/>
    <w:rsid w:val="00147ADC"/>
    <w:rsid w:val="001517AF"/>
    <w:rsid w:val="00151F9D"/>
    <w:rsid w:val="00152B40"/>
    <w:rsid w:val="00153288"/>
    <w:rsid w:val="00156670"/>
    <w:rsid w:val="0015716B"/>
    <w:rsid w:val="00161474"/>
    <w:rsid w:val="00162E8E"/>
    <w:rsid w:val="00163511"/>
    <w:rsid w:val="00165222"/>
    <w:rsid w:val="00165314"/>
    <w:rsid w:val="001661D8"/>
    <w:rsid w:val="00171C2D"/>
    <w:rsid w:val="001725A8"/>
    <w:rsid w:val="00172622"/>
    <w:rsid w:val="00177EBA"/>
    <w:rsid w:val="001801F0"/>
    <w:rsid w:val="00184582"/>
    <w:rsid w:val="00186A50"/>
    <w:rsid w:val="00187E16"/>
    <w:rsid w:val="00190679"/>
    <w:rsid w:val="001910B2"/>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D7029"/>
    <w:rsid w:val="001E0333"/>
    <w:rsid w:val="001E1A1B"/>
    <w:rsid w:val="001E26E6"/>
    <w:rsid w:val="001E4548"/>
    <w:rsid w:val="001E65F8"/>
    <w:rsid w:val="001E6CF8"/>
    <w:rsid w:val="001F0E67"/>
    <w:rsid w:val="001F3B69"/>
    <w:rsid w:val="001F5F73"/>
    <w:rsid w:val="001F6172"/>
    <w:rsid w:val="001F646C"/>
    <w:rsid w:val="001F6D76"/>
    <w:rsid w:val="001F6FB6"/>
    <w:rsid w:val="002029EA"/>
    <w:rsid w:val="0020487D"/>
    <w:rsid w:val="00207E1E"/>
    <w:rsid w:val="00212ACB"/>
    <w:rsid w:val="00220CD1"/>
    <w:rsid w:val="0022458F"/>
    <w:rsid w:val="002253EF"/>
    <w:rsid w:val="00225CED"/>
    <w:rsid w:val="00226310"/>
    <w:rsid w:val="00227E2B"/>
    <w:rsid w:val="00231EE4"/>
    <w:rsid w:val="00233819"/>
    <w:rsid w:val="00243A36"/>
    <w:rsid w:val="00252085"/>
    <w:rsid w:val="002534D8"/>
    <w:rsid w:val="00255276"/>
    <w:rsid w:val="00256F0C"/>
    <w:rsid w:val="00264840"/>
    <w:rsid w:val="00266181"/>
    <w:rsid w:val="00266D8C"/>
    <w:rsid w:val="002715DD"/>
    <w:rsid w:val="00272567"/>
    <w:rsid w:val="00274A8E"/>
    <w:rsid w:val="00275357"/>
    <w:rsid w:val="00276654"/>
    <w:rsid w:val="00280F7F"/>
    <w:rsid w:val="0028230F"/>
    <w:rsid w:val="00284F95"/>
    <w:rsid w:val="00286DDA"/>
    <w:rsid w:val="00293B55"/>
    <w:rsid w:val="00295455"/>
    <w:rsid w:val="002A4E64"/>
    <w:rsid w:val="002B01A6"/>
    <w:rsid w:val="002B13F8"/>
    <w:rsid w:val="002B52FA"/>
    <w:rsid w:val="002B667E"/>
    <w:rsid w:val="002B73A7"/>
    <w:rsid w:val="002C1B0E"/>
    <w:rsid w:val="002C3EA8"/>
    <w:rsid w:val="002C420E"/>
    <w:rsid w:val="002D0D15"/>
    <w:rsid w:val="002D2A45"/>
    <w:rsid w:val="002D7707"/>
    <w:rsid w:val="002E14D0"/>
    <w:rsid w:val="002E5416"/>
    <w:rsid w:val="002E7F2E"/>
    <w:rsid w:val="002F1563"/>
    <w:rsid w:val="002F34A0"/>
    <w:rsid w:val="002F52CC"/>
    <w:rsid w:val="002F68EF"/>
    <w:rsid w:val="002F75BE"/>
    <w:rsid w:val="002F7642"/>
    <w:rsid w:val="00301377"/>
    <w:rsid w:val="003033C0"/>
    <w:rsid w:val="00303791"/>
    <w:rsid w:val="00304F21"/>
    <w:rsid w:val="00306554"/>
    <w:rsid w:val="00310456"/>
    <w:rsid w:val="00313AFD"/>
    <w:rsid w:val="003305B2"/>
    <w:rsid w:val="003327E3"/>
    <w:rsid w:val="00335BA8"/>
    <w:rsid w:val="00341319"/>
    <w:rsid w:val="00342933"/>
    <w:rsid w:val="00343E25"/>
    <w:rsid w:val="0034428D"/>
    <w:rsid w:val="00344423"/>
    <w:rsid w:val="003449A4"/>
    <w:rsid w:val="00350DDA"/>
    <w:rsid w:val="0035372D"/>
    <w:rsid w:val="003555C6"/>
    <w:rsid w:val="00356436"/>
    <w:rsid w:val="00362A35"/>
    <w:rsid w:val="00365ACC"/>
    <w:rsid w:val="00367ACA"/>
    <w:rsid w:val="00367E3F"/>
    <w:rsid w:val="00371250"/>
    <w:rsid w:val="003718C7"/>
    <w:rsid w:val="00372267"/>
    <w:rsid w:val="0037549B"/>
    <w:rsid w:val="00376493"/>
    <w:rsid w:val="003768CF"/>
    <w:rsid w:val="00383B83"/>
    <w:rsid w:val="00384A82"/>
    <w:rsid w:val="003862F5"/>
    <w:rsid w:val="003878E6"/>
    <w:rsid w:val="0039049C"/>
    <w:rsid w:val="003920AA"/>
    <w:rsid w:val="00393507"/>
    <w:rsid w:val="00396FB3"/>
    <w:rsid w:val="003A4C50"/>
    <w:rsid w:val="003A674F"/>
    <w:rsid w:val="003B042B"/>
    <w:rsid w:val="003B232D"/>
    <w:rsid w:val="003B3161"/>
    <w:rsid w:val="003B4D33"/>
    <w:rsid w:val="003B78DF"/>
    <w:rsid w:val="003C0B6E"/>
    <w:rsid w:val="003C25CF"/>
    <w:rsid w:val="003C7083"/>
    <w:rsid w:val="003D081B"/>
    <w:rsid w:val="003D5B6F"/>
    <w:rsid w:val="003D5CB6"/>
    <w:rsid w:val="003E73E6"/>
    <w:rsid w:val="003F1C4D"/>
    <w:rsid w:val="003F39B3"/>
    <w:rsid w:val="003F507D"/>
    <w:rsid w:val="003F6CDE"/>
    <w:rsid w:val="004028D7"/>
    <w:rsid w:val="00405583"/>
    <w:rsid w:val="0040640E"/>
    <w:rsid w:val="0041126E"/>
    <w:rsid w:val="00413ED4"/>
    <w:rsid w:val="00424FD6"/>
    <w:rsid w:val="00425614"/>
    <w:rsid w:val="0042698E"/>
    <w:rsid w:val="004301FE"/>
    <w:rsid w:val="004319F8"/>
    <w:rsid w:val="004328F6"/>
    <w:rsid w:val="00433A55"/>
    <w:rsid w:val="0044561B"/>
    <w:rsid w:val="00451294"/>
    <w:rsid w:val="00455EDC"/>
    <w:rsid w:val="004600C1"/>
    <w:rsid w:val="00461942"/>
    <w:rsid w:val="00463CEF"/>
    <w:rsid w:val="004705B9"/>
    <w:rsid w:val="00470BCF"/>
    <w:rsid w:val="0048098D"/>
    <w:rsid w:val="00482DA0"/>
    <w:rsid w:val="004859AC"/>
    <w:rsid w:val="00486A31"/>
    <w:rsid w:val="00492250"/>
    <w:rsid w:val="00492644"/>
    <w:rsid w:val="00495147"/>
    <w:rsid w:val="00495845"/>
    <w:rsid w:val="004A335C"/>
    <w:rsid w:val="004A3B4E"/>
    <w:rsid w:val="004A558F"/>
    <w:rsid w:val="004B1410"/>
    <w:rsid w:val="004B1A31"/>
    <w:rsid w:val="004B2384"/>
    <w:rsid w:val="004B4190"/>
    <w:rsid w:val="004B79D7"/>
    <w:rsid w:val="004C04D6"/>
    <w:rsid w:val="004C1A65"/>
    <w:rsid w:val="004C5769"/>
    <w:rsid w:val="004D5EF1"/>
    <w:rsid w:val="004D7C7E"/>
    <w:rsid w:val="004E0C7D"/>
    <w:rsid w:val="004E1663"/>
    <w:rsid w:val="004E1C2A"/>
    <w:rsid w:val="004E35BD"/>
    <w:rsid w:val="00500326"/>
    <w:rsid w:val="00502CBE"/>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91E"/>
    <w:rsid w:val="00545DE7"/>
    <w:rsid w:val="00547E21"/>
    <w:rsid w:val="005515EB"/>
    <w:rsid w:val="005520B1"/>
    <w:rsid w:val="0055429D"/>
    <w:rsid w:val="005547B2"/>
    <w:rsid w:val="00557872"/>
    <w:rsid w:val="0056094B"/>
    <w:rsid w:val="00562F76"/>
    <w:rsid w:val="005630D0"/>
    <w:rsid w:val="0056342B"/>
    <w:rsid w:val="00570D6E"/>
    <w:rsid w:val="00573A12"/>
    <w:rsid w:val="005747F7"/>
    <w:rsid w:val="005764A9"/>
    <w:rsid w:val="00577E20"/>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B7E0A"/>
    <w:rsid w:val="005C30F7"/>
    <w:rsid w:val="005C5A0D"/>
    <w:rsid w:val="005C5B0B"/>
    <w:rsid w:val="005C7124"/>
    <w:rsid w:val="005D6B6B"/>
    <w:rsid w:val="005E2F1A"/>
    <w:rsid w:val="005E5D55"/>
    <w:rsid w:val="005F20E5"/>
    <w:rsid w:val="005F2C11"/>
    <w:rsid w:val="005F2D86"/>
    <w:rsid w:val="005F47DA"/>
    <w:rsid w:val="005F70C5"/>
    <w:rsid w:val="00601C78"/>
    <w:rsid w:val="00601CBC"/>
    <w:rsid w:val="00602FE5"/>
    <w:rsid w:val="006053C8"/>
    <w:rsid w:val="006076FF"/>
    <w:rsid w:val="0061199B"/>
    <w:rsid w:val="00622A78"/>
    <w:rsid w:val="00622BF6"/>
    <w:rsid w:val="00626349"/>
    <w:rsid w:val="006265A2"/>
    <w:rsid w:val="006351D9"/>
    <w:rsid w:val="0064079B"/>
    <w:rsid w:val="00642C02"/>
    <w:rsid w:val="0064322E"/>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6789F"/>
    <w:rsid w:val="00670E4E"/>
    <w:rsid w:val="00671E85"/>
    <w:rsid w:val="00672B5B"/>
    <w:rsid w:val="00673A72"/>
    <w:rsid w:val="00677290"/>
    <w:rsid w:val="006775EF"/>
    <w:rsid w:val="00680FB7"/>
    <w:rsid w:val="00682653"/>
    <w:rsid w:val="006833ED"/>
    <w:rsid w:val="00683E66"/>
    <w:rsid w:val="00685F26"/>
    <w:rsid w:val="00690137"/>
    <w:rsid w:val="006909EC"/>
    <w:rsid w:val="00691E42"/>
    <w:rsid w:val="00692021"/>
    <w:rsid w:val="00694489"/>
    <w:rsid w:val="006959A7"/>
    <w:rsid w:val="006970E3"/>
    <w:rsid w:val="006A18AF"/>
    <w:rsid w:val="006A2E0B"/>
    <w:rsid w:val="006A6A34"/>
    <w:rsid w:val="006A72D2"/>
    <w:rsid w:val="006B73AF"/>
    <w:rsid w:val="006B7D11"/>
    <w:rsid w:val="006C0EF6"/>
    <w:rsid w:val="006C13AA"/>
    <w:rsid w:val="006C3EB6"/>
    <w:rsid w:val="006C5209"/>
    <w:rsid w:val="006C6813"/>
    <w:rsid w:val="006C727E"/>
    <w:rsid w:val="006D4A30"/>
    <w:rsid w:val="006E0486"/>
    <w:rsid w:val="006E0997"/>
    <w:rsid w:val="006E1C24"/>
    <w:rsid w:val="006E663B"/>
    <w:rsid w:val="006F0244"/>
    <w:rsid w:val="006F2B68"/>
    <w:rsid w:val="006F3C4C"/>
    <w:rsid w:val="006F4CCA"/>
    <w:rsid w:val="006F5D55"/>
    <w:rsid w:val="006F73E5"/>
    <w:rsid w:val="00701745"/>
    <w:rsid w:val="00701AF3"/>
    <w:rsid w:val="00701FCB"/>
    <w:rsid w:val="007032F6"/>
    <w:rsid w:val="00705080"/>
    <w:rsid w:val="00706BAB"/>
    <w:rsid w:val="00707DFF"/>
    <w:rsid w:val="007108DC"/>
    <w:rsid w:val="00710FC8"/>
    <w:rsid w:val="00715713"/>
    <w:rsid w:val="00721491"/>
    <w:rsid w:val="0073142D"/>
    <w:rsid w:val="0073323D"/>
    <w:rsid w:val="00741861"/>
    <w:rsid w:val="00745C99"/>
    <w:rsid w:val="0075226F"/>
    <w:rsid w:val="00752D17"/>
    <w:rsid w:val="00753BDE"/>
    <w:rsid w:val="00755099"/>
    <w:rsid w:val="0075746B"/>
    <w:rsid w:val="00757874"/>
    <w:rsid w:val="007601E8"/>
    <w:rsid w:val="00762EEB"/>
    <w:rsid w:val="007703FD"/>
    <w:rsid w:val="007716AA"/>
    <w:rsid w:val="00776CDD"/>
    <w:rsid w:val="00781AAE"/>
    <w:rsid w:val="007870B7"/>
    <w:rsid w:val="00794CC6"/>
    <w:rsid w:val="007A21F4"/>
    <w:rsid w:val="007A4956"/>
    <w:rsid w:val="007A5588"/>
    <w:rsid w:val="007A60D1"/>
    <w:rsid w:val="007B2C70"/>
    <w:rsid w:val="007B3611"/>
    <w:rsid w:val="007B5ED1"/>
    <w:rsid w:val="007C44A6"/>
    <w:rsid w:val="007C6664"/>
    <w:rsid w:val="007D0B82"/>
    <w:rsid w:val="007D3561"/>
    <w:rsid w:val="007D4A8B"/>
    <w:rsid w:val="007D7B0C"/>
    <w:rsid w:val="007D7F06"/>
    <w:rsid w:val="007E21BE"/>
    <w:rsid w:val="007E3776"/>
    <w:rsid w:val="007E529B"/>
    <w:rsid w:val="007F0B79"/>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34C1E"/>
    <w:rsid w:val="00842E03"/>
    <w:rsid w:val="008451C0"/>
    <w:rsid w:val="0084521B"/>
    <w:rsid w:val="008464D8"/>
    <w:rsid w:val="00847E6B"/>
    <w:rsid w:val="00852A07"/>
    <w:rsid w:val="008569E1"/>
    <w:rsid w:val="0086222C"/>
    <w:rsid w:val="00864F12"/>
    <w:rsid w:val="00865928"/>
    <w:rsid w:val="0086605F"/>
    <w:rsid w:val="00872E84"/>
    <w:rsid w:val="00875309"/>
    <w:rsid w:val="00875B3B"/>
    <w:rsid w:val="00880AC0"/>
    <w:rsid w:val="008825C4"/>
    <w:rsid w:val="00885F72"/>
    <w:rsid w:val="00886C11"/>
    <w:rsid w:val="00891354"/>
    <w:rsid w:val="0089345D"/>
    <w:rsid w:val="008943E9"/>
    <w:rsid w:val="008A7608"/>
    <w:rsid w:val="008B42A4"/>
    <w:rsid w:val="008B6481"/>
    <w:rsid w:val="008C115A"/>
    <w:rsid w:val="008C63B7"/>
    <w:rsid w:val="008D5CDE"/>
    <w:rsid w:val="008D6E4A"/>
    <w:rsid w:val="008E1EB5"/>
    <w:rsid w:val="008E296E"/>
    <w:rsid w:val="008E5D99"/>
    <w:rsid w:val="008F03BF"/>
    <w:rsid w:val="008F2B90"/>
    <w:rsid w:val="008F3D0D"/>
    <w:rsid w:val="008F6A30"/>
    <w:rsid w:val="00900CF0"/>
    <w:rsid w:val="00902E08"/>
    <w:rsid w:val="0090362D"/>
    <w:rsid w:val="00905977"/>
    <w:rsid w:val="00907087"/>
    <w:rsid w:val="009078E9"/>
    <w:rsid w:val="00916BFE"/>
    <w:rsid w:val="00922771"/>
    <w:rsid w:val="00926F43"/>
    <w:rsid w:val="009324AB"/>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70181"/>
    <w:rsid w:val="00973BE5"/>
    <w:rsid w:val="009748DF"/>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36"/>
    <w:rsid w:val="009B5548"/>
    <w:rsid w:val="009B56E0"/>
    <w:rsid w:val="009B6148"/>
    <w:rsid w:val="009C07FF"/>
    <w:rsid w:val="009C0ED7"/>
    <w:rsid w:val="009C3C95"/>
    <w:rsid w:val="009C579A"/>
    <w:rsid w:val="009C7B72"/>
    <w:rsid w:val="009D1818"/>
    <w:rsid w:val="009D2243"/>
    <w:rsid w:val="009D53D8"/>
    <w:rsid w:val="009D66B5"/>
    <w:rsid w:val="009D6FDF"/>
    <w:rsid w:val="009E0291"/>
    <w:rsid w:val="009E133D"/>
    <w:rsid w:val="009E2C27"/>
    <w:rsid w:val="009E56FC"/>
    <w:rsid w:val="009E58B4"/>
    <w:rsid w:val="009E5B43"/>
    <w:rsid w:val="009E614A"/>
    <w:rsid w:val="009F36AF"/>
    <w:rsid w:val="009F62F6"/>
    <w:rsid w:val="009F6D30"/>
    <w:rsid w:val="009F6E91"/>
    <w:rsid w:val="00A0167A"/>
    <w:rsid w:val="00A0170E"/>
    <w:rsid w:val="00A02DB1"/>
    <w:rsid w:val="00A07AC8"/>
    <w:rsid w:val="00A11C35"/>
    <w:rsid w:val="00A14824"/>
    <w:rsid w:val="00A17663"/>
    <w:rsid w:val="00A22C39"/>
    <w:rsid w:val="00A23E45"/>
    <w:rsid w:val="00A269C9"/>
    <w:rsid w:val="00A27376"/>
    <w:rsid w:val="00A449C8"/>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017A"/>
    <w:rsid w:val="00A85B52"/>
    <w:rsid w:val="00A87E3C"/>
    <w:rsid w:val="00A936E1"/>
    <w:rsid w:val="00AA28DA"/>
    <w:rsid w:val="00AA2BA4"/>
    <w:rsid w:val="00AA337A"/>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9B5"/>
    <w:rsid w:val="00B07D04"/>
    <w:rsid w:val="00B116B7"/>
    <w:rsid w:val="00B156C9"/>
    <w:rsid w:val="00B206CF"/>
    <w:rsid w:val="00B20F50"/>
    <w:rsid w:val="00B25013"/>
    <w:rsid w:val="00B35644"/>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900C6"/>
    <w:rsid w:val="00B90B08"/>
    <w:rsid w:val="00B920EF"/>
    <w:rsid w:val="00B96FE0"/>
    <w:rsid w:val="00BB09E7"/>
    <w:rsid w:val="00BB22B6"/>
    <w:rsid w:val="00BB44CD"/>
    <w:rsid w:val="00BC3F16"/>
    <w:rsid w:val="00BC724B"/>
    <w:rsid w:val="00BC78D2"/>
    <w:rsid w:val="00BD07EC"/>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204AF"/>
    <w:rsid w:val="00C25671"/>
    <w:rsid w:val="00C3061D"/>
    <w:rsid w:val="00C30F33"/>
    <w:rsid w:val="00C341C4"/>
    <w:rsid w:val="00C34602"/>
    <w:rsid w:val="00C40B6A"/>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6758"/>
    <w:rsid w:val="00C8799B"/>
    <w:rsid w:val="00C90035"/>
    <w:rsid w:val="00C95011"/>
    <w:rsid w:val="00CA06B2"/>
    <w:rsid w:val="00CA1210"/>
    <w:rsid w:val="00CA178A"/>
    <w:rsid w:val="00CA2E7C"/>
    <w:rsid w:val="00CA367F"/>
    <w:rsid w:val="00CA63E2"/>
    <w:rsid w:val="00CA6500"/>
    <w:rsid w:val="00CA7B3B"/>
    <w:rsid w:val="00CB21BE"/>
    <w:rsid w:val="00CB7843"/>
    <w:rsid w:val="00CC0A24"/>
    <w:rsid w:val="00CC0A4E"/>
    <w:rsid w:val="00CC4925"/>
    <w:rsid w:val="00CC7724"/>
    <w:rsid w:val="00CC7BA8"/>
    <w:rsid w:val="00CD05E8"/>
    <w:rsid w:val="00CD1241"/>
    <w:rsid w:val="00CD4617"/>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46ADC"/>
    <w:rsid w:val="00D51817"/>
    <w:rsid w:val="00D53AD9"/>
    <w:rsid w:val="00D5491F"/>
    <w:rsid w:val="00D5500B"/>
    <w:rsid w:val="00D57512"/>
    <w:rsid w:val="00D57BE3"/>
    <w:rsid w:val="00D7293A"/>
    <w:rsid w:val="00D73F79"/>
    <w:rsid w:val="00D75029"/>
    <w:rsid w:val="00D767F7"/>
    <w:rsid w:val="00D91320"/>
    <w:rsid w:val="00DA0651"/>
    <w:rsid w:val="00DA09AE"/>
    <w:rsid w:val="00DA1A6B"/>
    <w:rsid w:val="00DA6A69"/>
    <w:rsid w:val="00DB57BE"/>
    <w:rsid w:val="00DB697B"/>
    <w:rsid w:val="00DC3D02"/>
    <w:rsid w:val="00DC7130"/>
    <w:rsid w:val="00DD29AD"/>
    <w:rsid w:val="00DD317D"/>
    <w:rsid w:val="00DD4571"/>
    <w:rsid w:val="00DD7A45"/>
    <w:rsid w:val="00DE2295"/>
    <w:rsid w:val="00DE393A"/>
    <w:rsid w:val="00DE3D4B"/>
    <w:rsid w:val="00DE5FCA"/>
    <w:rsid w:val="00DE732A"/>
    <w:rsid w:val="00DE7F4C"/>
    <w:rsid w:val="00DF29D1"/>
    <w:rsid w:val="00DF37E7"/>
    <w:rsid w:val="00DF654D"/>
    <w:rsid w:val="00E04420"/>
    <w:rsid w:val="00E10074"/>
    <w:rsid w:val="00E13316"/>
    <w:rsid w:val="00E20455"/>
    <w:rsid w:val="00E20B26"/>
    <w:rsid w:val="00E26587"/>
    <w:rsid w:val="00E2776A"/>
    <w:rsid w:val="00E3036E"/>
    <w:rsid w:val="00E30BB7"/>
    <w:rsid w:val="00E3125D"/>
    <w:rsid w:val="00E35D75"/>
    <w:rsid w:val="00E4242B"/>
    <w:rsid w:val="00E4448A"/>
    <w:rsid w:val="00E46885"/>
    <w:rsid w:val="00E477F3"/>
    <w:rsid w:val="00E5248E"/>
    <w:rsid w:val="00E5356A"/>
    <w:rsid w:val="00E57D62"/>
    <w:rsid w:val="00E613EE"/>
    <w:rsid w:val="00E622A4"/>
    <w:rsid w:val="00E644A0"/>
    <w:rsid w:val="00E650BB"/>
    <w:rsid w:val="00E65ED0"/>
    <w:rsid w:val="00E66988"/>
    <w:rsid w:val="00E73B3A"/>
    <w:rsid w:val="00E74682"/>
    <w:rsid w:val="00E77BFD"/>
    <w:rsid w:val="00E77F79"/>
    <w:rsid w:val="00E809BC"/>
    <w:rsid w:val="00E87B5B"/>
    <w:rsid w:val="00E92168"/>
    <w:rsid w:val="00E92F04"/>
    <w:rsid w:val="00E93ED5"/>
    <w:rsid w:val="00E959D5"/>
    <w:rsid w:val="00E9649D"/>
    <w:rsid w:val="00E9782C"/>
    <w:rsid w:val="00EA32EB"/>
    <w:rsid w:val="00EB07E3"/>
    <w:rsid w:val="00EB471F"/>
    <w:rsid w:val="00EB7B00"/>
    <w:rsid w:val="00EC05DE"/>
    <w:rsid w:val="00EC0E86"/>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08CC"/>
    <w:rsid w:val="00F3184B"/>
    <w:rsid w:val="00F35E61"/>
    <w:rsid w:val="00F3741A"/>
    <w:rsid w:val="00F4000F"/>
    <w:rsid w:val="00F42066"/>
    <w:rsid w:val="00F52EFE"/>
    <w:rsid w:val="00F53C81"/>
    <w:rsid w:val="00F54338"/>
    <w:rsid w:val="00F565AF"/>
    <w:rsid w:val="00F57995"/>
    <w:rsid w:val="00F62937"/>
    <w:rsid w:val="00F70528"/>
    <w:rsid w:val="00F7748B"/>
    <w:rsid w:val="00F77FA4"/>
    <w:rsid w:val="00F81BA3"/>
    <w:rsid w:val="00F83668"/>
    <w:rsid w:val="00F84834"/>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4800"/>
    <w:rsid w:val="00FE5273"/>
    <w:rsid w:val="00FE5C7F"/>
    <w:rsid w:val="00FF4B5D"/>
    <w:rsid w:val="00FF6E13"/>
    <w:rsid w:val="00FF79B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link w:val="TextodenotaderodapChar"/>
    <w:uiPriority w:val="99"/>
    <w:semiHidden/>
    <w:rsid w:val="00022785"/>
    <w:pPr>
      <w:spacing w:line="240" w:lineRule="auto"/>
    </w:pPr>
    <w:rPr>
      <w:szCs w:val="20"/>
    </w:rPr>
  </w:style>
  <w:style w:type="character" w:styleId="Refdenotaderodap">
    <w:name w:val="footnote reference"/>
    <w:basedOn w:val="Fontepargpadro"/>
    <w:uiPriority w:val="99"/>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MenoPendente1">
    <w:name w:val="Menção Pendente1"/>
    <w:basedOn w:val="Fontepargpadro"/>
    <w:uiPriority w:val="99"/>
    <w:semiHidden/>
    <w:unhideWhenUsed/>
    <w:rsid w:val="00CA1210"/>
    <w:rPr>
      <w:color w:val="605E5C"/>
      <w:shd w:val="clear" w:color="auto" w:fill="E1DFDD"/>
    </w:rPr>
  </w:style>
  <w:style w:type="character" w:customStyle="1" w:styleId="TextodenotaderodapChar">
    <w:name w:val="Texto de nota de rodapé Char"/>
    <w:basedOn w:val="Fontepargpadro"/>
    <w:link w:val="Textodenotaderodap"/>
    <w:uiPriority w:val="99"/>
    <w:semiHidden/>
    <w:rsid w:val="005F20E5"/>
    <w:rPr>
      <w:sz w:val="24"/>
    </w:rPr>
  </w:style>
  <w:style w:type="paragraph" w:styleId="Bibliografia">
    <w:name w:val="Bibliography"/>
    <w:basedOn w:val="Normal"/>
    <w:next w:val="Normal"/>
    <w:uiPriority w:val="37"/>
    <w:semiHidden/>
    <w:unhideWhenUsed/>
    <w:rsid w:val="0042698E"/>
    <w:pPr>
      <w:spacing w:after="0" w:line="240" w:lineRule="auto"/>
      <w:ind w:firstLine="0"/>
      <w:contextualSpacing w:val="0"/>
      <w:jc w:val="left"/>
    </w:pPr>
    <w:rPr>
      <w:rFonts w:eastAsia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268247171">
      <w:bodyDiv w:val="1"/>
      <w:marLeft w:val="0"/>
      <w:marRight w:val="0"/>
      <w:marTop w:val="0"/>
      <w:marBottom w:val="0"/>
      <w:divBdr>
        <w:top w:val="none" w:sz="0" w:space="0" w:color="auto"/>
        <w:left w:val="none" w:sz="0" w:space="0" w:color="auto"/>
        <w:bottom w:val="none" w:sz="0" w:space="0" w:color="auto"/>
        <w:right w:val="none" w:sz="0" w:space="0" w:color="auto"/>
      </w:divBdr>
    </w:div>
    <w:div w:id="391581808">
      <w:bodyDiv w:val="1"/>
      <w:marLeft w:val="0"/>
      <w:marRight w:val="0"/>
      <w:marTop w:val="0"/>
      <w:marBottom w:val="0"/>
      <w:divBdr>
        <w:top w:val="none" w:sz="0" w:space="0" w:color="auto"/>
        <w:left w:val="none" w:sz="0" w:space="0" w:color="auto"/>
        <w:bottom w:val="none" w:sz="0" w:space="0" w:color="auto"/>
        <w:right w:val="none" w:sz="0" w:space="0" w:color="auto"/>
      </w:divBdr>
    </w:div>
    <w:div w:id="494103321">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576288557">
      <w:bodyDiv w:val="1"/>
      <w:marLeft w:val="0"/>
      <w:marRight w:val="0"/>
      <w:marTop w:val="0"/>
      <w:marBottom w:val="0"/>
      <w:divBdr>
        <w:top w:val="none" w:sz="0" w:space="0" w:color="auto"/>
        <w:left w:val="none" w:sz="0" w:space="0" w:color="auto"/>
        <w:bottom w:val="none" w:sz="0" w:space="0" w:color="auto"/>
        <w:right w:val="none" w:sz="0" w:space="0" w:color="auto"/>
      </w:divBdr>
    </w:div>
    <w:div w:id="898781435">
      <w:bodyDiv w:val="1"/>
      <w:marLeft w:val="0"/>
      <w:marRight w:val="0"/>
      <w:marTop w:val="0"/>
      <w:marBottom w:val="0"/>
      <w:divBdr>
        <w:top w:val="none" w:sz="0" w:space="0" w:color="auto"/>
        <w:left w:val="none" w:sz="0" w:space="0" w:color="auto"/>
        <w:bottom w:val="none" w:sz="0" w:space="0" w:color="auto"/>
        <w:right w:val="none" w:sz="0" w:space="0" w:color="auto"/>
      </w:divBdr>
    </w:div>
    <w:div w:id="1213036762">
      <w:bodyDiv w:val="1"/>
      <w:marLeft w:val="0"/>
      <w:marRight w:val="0"/>
      <w:marTop w:val="0"/>
      <w:marBottom w:val="0"/>
      <w:divBdr>
        <w:top w:val="none" w:sz="0" w:space="0" w:color="auto"/>
        <w:left w:val="none" w:sz="0" w:space="0" w:color="auto"/>
        <w:bottom w:val="none" w:sz="0" w:space="0" w:color="auto"/>
        <w:right w:val="none" w:sz="0" w:space="0" w:color="auto"/>
      </w:divBdr>
    </w:div>
    <w:div w:id="1255627013">
      <w:bodyDiv w:val="1"/>
      <w:marLeft w:val="0"/>
      <w:marRight w:val="0"/>
      <w:marTop w:val="0"/>
      <w:marBottom w:val="0"/>
      <w:divBdr>
        <w:top w:val="none" w:sz="0" w:space="0" w:color="auto"/>
        <w:left w:val="none" w:sz="0" w:space="0" w:color="auto"/>
        <w:bottom w:val="none" w:sz="0" w:space="0" w:color="auto"/>
        <w:right w:val="none" w:sz="0" w:space="0" w:color="auto"/>
      </w:divBdr>
    </w:div>
    <w:div w:id="1335962719">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 w:id="195408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mettzer.com/referencia-bibliografica-normas-ab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_ato2015-2018/2015/lei/l13105.htm" TargetMode="External"/><Relationship Id="rId4" Type="http://schemas.openxmlformats.org/officeDocument/2006/relationships/settings" Target="settings.xml"/><Relationship Id="rId9" Type="http://schemas.openxmlformats.org/officeDocument/2006/relationships/hyperlink" Target="http://www.justificando.com/2015/09/10/psicologia-do-testemunho-as-falsas-memorias-no-processo-pena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46E3FCF9-8456-45FE-A9D1-194D7239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15</TotalTime>
  <Pages>13</Pages>
  <Words>4290</Words>
  <Characters>23172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27408</CharactersWithSpaces>
  <SharedDoc>false</SharedDoc>
  <HyperlinkBase>www.doity.com.br/congressouemg</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cp:lastModifiedBy>Thaina</cp:lastModifiedBy>
  <cp:revision>3</cp:revision>
  <cp:lastPrinted>2019-09-01T20:53:00Z</cp:lastPrinted>
  <dcterms:created xsi:type="dcterms:W3CDTF">2019-09-22T23:45:00Z</dcterms:created>
  <dcterms:modified xsi:type="dcterms:W3CDTF">2019-09-22T23:54:00Z</dcterms:modified>
  <cp:category>Trabalho Científico</cp:category>
  <cp:contentStatus>Aplicável - 2019</cp:contentStatus>
</cp:coreProperties>
</file>