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A4416" w14:textId="77777777" w:rsidR="00174528" w:rsidRDefault="0038729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VULNERABILIDADE DE POPULAÇÕES EM FRAGMENTOS FLORESTAIS URBANOS: UMA ANÁLISE DA BIOLOGIA DA CONSERVAÇÃO APLICADA AO PARQUE ARARA-AZUL, IMPERATRIZ (MA)</w:t>
      </w:r>
    </w:p>
    <w:p w14:paraId="0912E094" w14:textId="77777777" w:rsidR="00174528" w:rsidRDefault="00174528">
      <w:pPr>
        <w:jc w:val="center"/>
        <w:rPr>
          <w:b/>
          <w:bCs/>
          <w:sz w:val="24"/>
          <w:szCs w:val="24"/>
        </w:rPr>
      </w:pPr>
    </w:p>
    <w:p w14:paraId="343E466A" w14:textId="77777777" w:rsidR="00174528" w:rsidRDefault="00387297">
      <w:pPr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SILVA, Adna Abkeyla Rocha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SILVA, Jennyfer Samara Alves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RODRIGUES SCHNEIDER, Chaiane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ANGELO, Dalton Henrique</w:t>
      </w:r>
      <w:r>
        <w:rPr>
          <w:sz w:val="24"/>
          <w:szCs w:val="24"/>
          <w:u w:val="single"/>
          <w:vertAlign w:val="superscript"/>
        </w:rPr>
        <w:t>4</w:t>
      </w:r>
      <w:r>
        <w:rPr>
          <w:sz w:val="24"/>
          <w:szCs w:val="24"/>
        </w:rPr>
        <w:t xml:space="preserve">; </w:t>
      </w:r>
    </w:p>
    <w:p w14:paraId="54201045" w14:textId="77777777" w:rsidR="00174528" w:rsidRDefault="00174528">
      <w:pPr>
        <w:shd w:val="clear" w:color="auto" w:fill="FFFFFF"/>
        <w:tabs>
          <w:tab w:val="left" w:pos="2500"/>
        </w:tabs>
        <w:jc w:val="center"/>
        <w:rPr>
          <w:b/>
          <w:bCs/>
          <w:color w:val="FF0000"/>
          <w:sz w:val="24"/>
          <w:szCs w:val="24"/>
        </w:rPr>
      </w:pPr>
    </w:p>
    <w:p w14:paraId="6D1D1702" w14:textId="09BB8A1C" w:rsidR="00174528" w:rsidRPr="0074569F" w:rsidRDefault="00387297">
      <w:pPr>
        <w:tabs>
          <w:tab w:val="center" w:pos="4252"/>
          <w:tab w:val="right" w:pos="8504"/>
          <w:tab w:val="left" w:pos="1650"/>
        </w:tabs>
        <w:jc w:val="center"/>
        <w:rPr>
          <w:sz w:val="24"/>
          <w:szCs w:val="24"/>
        </w:rPr>
      </w:pPr>
      <w:r w:rsidRPr="0074569F">
        <w:rPr>
          <w:sz w:val="24"/>
          <w:szCs w:val="24"/>
        </w:rPr>
        <w:t xml:space="preserve">¹ Discente em Engenharia Florestal, UEMASUL, adna.silva@uemasul.edu.br; </w:t>
      </w:r>
      <w:r w:rsidRPr="0074569F">
        <w:rPr>
          <w:sz w:val="24"/>
          <w:szCs w:val="24"/>
          <w:vertAlign w:val="superscript"/>
        </w:rPr>
        <w:t xml:space="preserve">2 </w:t>
      </w:r>
      <w:r w:rsidRPr="0074569F">
        <w:rPr>
          <w:sz w:val="24"/>
          <w:szCs w:val="24"/>
        </w:rPr>
        <w:t xml:space="preserve">Discente em Engenharia Florestal, UEMASUL, jennyfer.alves@uemasul.edu.br; </w:t>
      </w:r>
      <w:r w:rsidRPr="0074569F">
        <w:rPr>
          <w:sz w:val="24"/>
          <w:szCs w:val="24"/>
          <w:vertAlign w:val="superscript"/>
        </w:rPr>
        <w:t>3</w:t>
      </w:r>
      <w:r w:rsidRPr="0074569F">
        <w:rPr>
          <w:sz w:val="24"/>
          <w:szCs w:val="24"/>
        </w:rPr>
        <w:t xml:space="preserve"> Professora Doutora em Engenharia Florestal, UEPA; </w:t>
      </w:r>
      <w:r w:rsidRPr="0074569F">
        <w:rPr>
          <w:sz w:val="24"/>
          <w:szCs w:val="24"/>
          <w:vertAlign w:val="superscript"/>
        </w:rPr>
        <w:t>4</w:t>
      </w:r>
      <w:r w:rsidRPr="0074569F">
        <w:rPr>
          <w:sz w:val="24"/>
          <w:szCs w:val="24"/>
        </w:rPr>
        <w:t xml:space="preserve"> Professor Mestre em Engenharia Florestal, UEMASUL</w:t>
      </w:r>
    </w:p>
    <w:p w14:paraId="10088FCE" w14:textId="77777777" w:rsidR="00174528" w:rsidRDefault="00174528">
      <w:pPr>
        <w:keepLines/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38190DA" w14:textId="77777777" w:rsidR="00174528" w:rsidRDefault="00174528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0C9ECBD2" w14:textId="77777777" w:rsidR="00174528" w:rsidRDefault="0038729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42FDFBD9" w14:textId="1EB80DFD" w:rsidR="00174528" w:rsidRDefault="00387297">
      <w:pPr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Biologia da Conservação busca gerir a biodiversidade em paisagens fragmentadas, onde populações isoladas e pequenas são suscetíveis ao vórtice de extinção, um declínio acelerado pela perda de variabilidade genética e endogamia. Este estudo realizou uma revisão bibliográfica para correlacionar os princípios da conservação com a realidade do Parque Natural Municipal Arara-Azul, em Imperatriz (MA). Os objetivos foram: (1) contextualizar o vórtice de extinção e a perda de variabilidade genética; (2) analisar a Análise de Viabilidade Populacional (AVP) como ferramenta de manejo; e (3) aplicar esses conceitos ao Parque Arara-Azul, propondo medidas de mitigação para o efeito de borda e para espécies vulneráveis, como a </w:t>
      </w:r>
      <w:r w:rsidRPr="00F51CE0">
        <w:rPr>
          <w:i/>
          <w:iCs/>
          <w:sz w:val="24"/>
          <w:szCs w:val="24"/>
        </w:rPr>
        <w:t>Erythroxylum ayrtonianum</w:t>
      </w:r>
      <w:r>
        <w:rPr>
          <w:sz w:val="24"/>
          <w:szCs w:val="24"/>
        </w:rPr>
        <w:t>. A metodologia qualitativa e descritiva integrou a revisão sistemática de literatura (20</w:t>
      </w:r>
      <w:r w:rsidR="00B7716A">
        <w:rPr>
          <w:sz w:val="24"/>
          <w:szCs w:val="24"/>
        </w:rPr>
        <w:t>15</w:t>
      </w:r>
      <w:r>
        <w:rPr>
          <w:sz w:val="24"/>
          <w:szCs w:val="24"/>
        </w:rPr>
        <w:t xml:space="preserve">-2025) com a contextualização socioambiental do parque. Os resultados indicam que o Parque, um fragmento urbano de </w:t>
      </w:r>
      <w:r w:rsidR="00B7716A">
        <w:rPr>
          <w:sz w:val="24"/>
          <w:szCs w:val="24"/>
        </w:rPr>
        <w:t>≈</w:t>
      </w:r>
      <w:r>
        <w:rPr>
          <w:sz w:val="24"/>
          <w:szCs w:val="24"/>
        </w:rPr>
        <w:t xml:space="preserve">32 ha com formato alongado, sofre com o efeito de borda e o isolamento, o que aumenta a vulnerabilidade de espécies endêmicas como a </w:t>
      </w:r>
      <w:r>
        <w:rPr>
          <w:i/>
          <w:iCs/>
          <w:sz w:val="24"/>
          <w:szCs w:val="24"/>
        </w:rPr>
        <w:t>E. ayrtonianum</w:t>
      </w:r>
      <w:r>
        <w:rPr>
          <w:sz w:val="24"/>
          <w:szCs w:val="24"/>
        </w:rPr>
        <w:t>. A discussão reforça a AVP como instrumento técnico essencial para definir estratégias de manejo, como a restauração de habitats e a estimativa do tamanho mínimo de população viável. Conclui-se que a conservação da biodiversidade em paisagens urbanas como a de Imperatriz exige uma abordagem integrada que una o rigor científico da biologia da conservação (monitoramento genético e AVP) com o engajamento social e a implementação de políticas públicas eficazes, como a criação de corredores ecológicos e a educação ambiental, para garantir a resiliência e a sustentabilidade dos ecossistemas locais.</w:t>
      </w:r>
    </w:p>
    <w:p w14:paraId="24B39564" w14:textId="77777777" w:rsidR="00174528" w:rsidRDefault="00174528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1876E3D7" w14:textId="77777777" w:rsidR="00174528" w:rsidRDefault="00387297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t>Endogamia. Vórtice de Extinção. Análise de Viabilidade Populacional (AVP).</w:t>
      </w:r>
    </w:p>
    <w:p w14:paraId="240F5FA9" w14:textId="77777777" w:rsidR="00174528" w:rsidRDefault="0017452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CD5A4D7" w14:textId="77777777" w:rsidR="00174528" w:rsidRDefault="00174528">
      <w:pP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</w:p>
    <w:p w14:paraId="2B21D321" w14:textId="77777777" w:rsidR="00174528" w:rsidRDefault="00387297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Ciências Agrárias</w:t>
      </w:r>
    </w:p>
    <w:p w14:paraId="4BAD589A" w14:textId="77777777" w:rsidR="00174528" w:rsidRDefault="0017452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542CEDF3" w14:textId="77777777" w:rsidR="00174528" w:rsidRDefault="0017452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5AB17398" w14:textId="77777777" w:rsidR="00174528" w:rsidRDefault="0017452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29A80B43" w14:textId="77777777" w:rsidR="006F7820" w:rsidRDefault="006F782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64AC72C5" w14:textId="77777777" w:rsidR="00174528" w:rsidRDefault="0017452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46BBE6A1" w14:textId="77777777" w:rsidR="00174528" w:rsidRDefault="00174528">
      <w:pPr>
        <w:shd w:val="clear" w:color="auto" w:fill="FFFFFF"/>
        <w:tabs>
          <w:tab w:val="left" w:pos="2500"/>
        </w:tabs>
        <w:jc w:val="both"/>
        <w:rPr>
          <w:b/>
          <w:bCs/>
          <w:sz w:val="24"/>
          <w:szCs w:val="24"/>
        </w:rPr>
      </w:pPr>
    </w:p>
    <w:p w14:paraId="318B7A04" w14:textId="77777777" w:rsidR="00174528" w:rsidRDefault="00387297">
      <w:pPr>
        <w:numPr>
          <w:ilvl w:val="0"/>
          <w:numId w:val="2"/>
        </w:num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INTRODUÇÃO</w:t>
      </w:r>
    </w:p>
    <w:p w14:paraId="4ED4C8E3" w14:textId="1D00C9D3" w:rsidR="00174528" w:rsidRDefault="003872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A Biologia da Conservação assume um papel crucial na gestão da biodiversidade e na atenuação da crise de extinção, face à intensa influência humana. O principal desafio reside na conservação de populações em áreas fragmentadas, onde o isolamento e a diminuição do tamanho populacional aumentam a vulnerabilidade (S</w:t>
      </w:r>
      <w:r w:rsidR="0074569F">
        <w:rPr>
          <w:sz w:val="24"/>
          <w:szCs w:val="24"/>
          <w:highlight w:val="white"/>
        </w:rPr>
        <w:t>ouza</w:t>
      </w:r>
      <w:r>
        <w:rPr>
          <w:sz w:val="24"/>
          <w:szCs w:val="24"/>
          <w:highlight w:val="white"/>
        </w:rPr>
        <w:t>; V</w:t>
      </w:r>
      <w:r w:rsidR="0074569F">
        <w:rPr>
          <w:sz w:val="24"/>
          <w:szCs w:val="24"/>
          <w:highlight w:val="white"/>
        </w:rPr>
        <w:t>ancine</w:t>
      </w:r>
      <w:r>
        <w:rPr>
          <w:sz w:val="24"/>
          <w:szCs w:val="24"/>
          <w:highlight w:val="white"/>
        </w:rPr>
        <w:t>, 2025). Pequenas populações são suscetíveis ao vórtice de extinção, acelerado pela combinação de fatores demográficos, ambientais e genéticos (W</w:t>
      </w:r>
      <w:r w:rsidR="0074569F">
        <w:rPr>
          <w:sz w:val="24"/>
          <w:szCs w:val="24"/>
          <w:highlight w:val="white"/>
        </w:rPr>
        <w:t>illiams</w:t>
      </w:r>
      <w:r>
        <w:rPr>
          <w:sz w:val="24"/>
          <w:szCs w:val="24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et al</w:t>
      </w:r>
      <w:r>
        <w:rPr>
          <w:sz w:val="24"/>
          <w:szCs w:val="24"/>
          <w:highlight w:val="white"/>
        </w:rPr>
        <w:t>., 2021), intensificados por processos como "derretimento mutacional" e "seca mutacional" (M</w:t>
      </w:r>
      <w:r w:rsidR="0074569F">
        <w:rPr>
          <w:sz w:val="24"/>
          <w:szCs w:val="24"/>
          <w:highlight w:val="white"/>
        </w:rPr>
        <w:t>awass</w:t>
      </w:r>
      <w:r>
        <w:rPr>
          <w:sz w:val="24"/>
          <w:szCs w:val="24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et al</w:t>
      </w:r>
      <w:r>
        <w:rPr>
          <w:sz w:val="24"/>
          <w:szCs w:val="24"/>
          <w:highlight w:val="white"/>
        </w:rPr>
        <w:t>., 2025), que diminuem a diversidade genética e amplificam a depressão por consanguinidade (V</w:t>
      </w:r>
      <w:r w:rsidR="0074569F">
        <w:rPr>
          <w:sz w:val="24"/>
          <w:szCs w:val="24"/>
          <w:highlight w:val="white"/>
        </w:rPr>
        <w:t>itorino</w:t>
      </w:r>
      <w:r>
        <w:rPr>
          <w:sz w:val="24"/>
          <w:szCs w:val="24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et al</w:t>
      </w:r>
      <w:r>
        <w:rPr>
          <w:sz w:val="24"/>
          <w:szCs w:val="24"/>
          <w:highlight w:val="white"/>
        </w:rPr>
        <w:t>., 2020; P</w:t>
      </w:r>
      <w:r w:rsidR="0074569F">
        <w:rPr>
          <w:sz w:val="24"/>
          <w:szCs w:val="24"/>
          <w:highlight w:val="white"/>
        </w:rPr>
        <w:t>arreira</w:t>
      </w:r>
      <w:r>
        <w:rPr>
          <w:sz w:val="24"/>
          <w:szCs w:val="24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et al</w:t>
      </w:r>
      <w:r>
        <w:rPr>
          <w:sz w:val="24"/>
          <w:szCs w:val="24"/>
          <w:highlight w:val="white"/>
        </w:rPr>
        <w:t>., 2025).</w:t>
      </w:r>
    </w:p>
    <w:p w14:paraId="542B99B6" w14:textId="069F27BB" w:rsidR="00174528" w:rsidRDefault="003872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Tal quadro se mostra ainda mais crítico em zonas de transição, como o Maranhão, onde a fragmentação entre Cerrado e Amazônia, provocada pela urbanização e pelo desmatamento (C</w:t>
      </w:r>
      <w:r w:rsidR="0074569F">
        <w:rPr>
          <w:sz w:val="24"/>
          <w:szCs w:val="24"/>
          <w:highlight w:val="white"/>
        </w:rPr>
        <w:t>elentano</w:t>
      </w:r>
      <w:r>
        <w:rPr>
          <w:sz w:val="24"/>
          <w:szCs w:val="24"/>
          <w:highlight w:val="white"/>
        </w:rPr>
        <w:t>; M</w:t>
      </w:r>
      <w:r w:rsidR="0074569F">
        <w:rPr>
          <w:sz w:val="24"/>
          <w:szCs w:val="24"/>
          <w:highlight w:val="white"/>
        </w:rPr>
        <w:t>iranda</w:t>
      </w:r>
      <w:r>
        <w:rPr>
          <w:sz w:val="24"/>
          <w:szCs w:val="24"/>
          <w:highlight w:val="white"/>
        </w:rPr>
        <w:t>; M</w:t>
      </w:r>
      <w:r w:rsidR="0074569F">
        <w:rPr>
          <w:sz w:val="24"/>
          <w:szCs w:val="24"/>
          <w:highlight w:val="white"/>
        </w:rPr>
        <w:t>endonça</w:t>
      </w:r>
      <w:r>
        <w:rPr>
          <w:sz w:val="24"/>
          <w:szCs w:val="24"/>
          <w:highlight w:val="white"/>
        </w:rPr>
        <w:t>, 2018), compromete serviços ecossistêmicos essenciais (C</w:t>
      </w:r>
      <w:r w:rsidR="0074569F">
        <w:rPr>
          <w:sz w:val="24"/>
          <w:szCs w:val="24"/>
          <w:highlight w:val="white"/>
        </w:rPr>
        <w:t>andido</w:t>
      </w:r>
      <w:r>
        <w:rPr>
          <w:sz w:val="24"/>
          <w:szCs w:val="24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et al</w:t>
      </w:r>
      <w:r>
        <w:rPr>
          <w:sz w:val="24"/>
          <w:szCs w:val="24"/>
          <w:highlight w:val="white"/>
        </w:rPr>
        <w:t>., 2025). A aplicação do saber científico nestes contextos é dificultada pela falta de informações sobre tamanho efetivo e fluxo gênico em parques urbanos (G</w:t>
      </w:r>
      <w:r w:rsidR="0074569F">
        <w:rPr>
          <w:sz w:val="24"/>
          <w:szCs w:val="24"/>
          <w:highlight w:val="white"/>
        </w:rPr>
        <w:t>raça</w:t>
      </w:r>
      <w:r>
        <w:rPr>
          <w:sz w:val="24"/>
          <w:szCs w:val="24"/>
          <w:highlight w:val="white"/>
        </w:rPr>
        <w:t>; T</w:t>
      </w:r>
      <w:r w:rsidR="0074569F">
        <w:rPr>
          <w:sz w:val="24"/>
          <w:szCs w:val="24"/>
          <w:highlight w:val="white"/>
        </w:rPr>
        <w:t>elles</w:t>
      </w:r>
      <w:r>
        <w:rPr>
          <w:sz w:val="24"/>
          <w:szCs w:val="24"/>
          <w:highlight w:val="white"/>
        </w:rPr>
        <w:t>, 2020). No caso do Parque Arara-Azul, um fragmento de aproximadamente 32 hectares e formato alongado, os efeitos de borda e a pressão do ambiente urbano aumentam sua fragilidade ecológica.</w:t>
      </w:r>
    </w:p>
    <w:p w14:paraId="27B4AE84" w14:textId="38C4A9F9" w:rsidR="00174528" w:rsidRDefault="003872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A inclusão de ferramentas preditivas ao contexto local é imprescindível para orientar estratégias de gestão, e a Análise de Viabilidade Populacional (AVP) se destaca como instrumento primordial para estimar riscos de extinção (C</w:t>
      </w:r>
      <w:r w:rsidR="0074569F">
        <w:rPr>
          <w:sz w:val="24"/>
          <w:szCs w:val="24"/>
          <w:highlight w:val="white"/>
        </w:rPr>
        <w:t>haudhary</w:t>
      </w:r>
      <w:r>
        <w:rPr>
          <w:sz w:val="24"/>
          <w:szCs w:val="24"/>
          <w:highlight w:val="white"/>
        </w:rPr>
        <w:t>; O</w:t>
      </w:r>
      <w:r w:rsidR="0074569F">
        <w:rPr>
          <w:sz w:val="24"/>
          <w:szCs w:val="24"/>
          <w:highlight w:val="white"/>
        </w:rPr>
        <w:t>li</w:t>
      </w:r>
      <w:r>
        <w:rPr>
          <w:sz w:val="24"/>
          <w:szCs w:val="24"/>
          <w:highlight w:val="white"/>
        </w:rPr>
        <w:t>, 2020). Estudos recentes reafirmam a relevância da conectividade ecológica e da gestão participativa para restabelecer o fluxo gênico (S</w:t>
      </w:r>
      <w:r w:rsidR="0074569F">
        <w:rPr>
          <w:sz w:val="24"/>
          <w:szCs w:val="24"/>
          <w:highlight w:val="white"/>
        </w:rPr>
        <w:t>ánchez</w:t>
      </w:r>
      <w:r>
        <w:rPr>
          <w:sz w:val="24"/>
          <w:szCs w:val="24"/>
          <w:highlight w:val="white"/>
        </w:rPr>
        <w:t>, 2020; C</w:t>
      </w:r>
      <w:r w:rsidR="0074569F">
        <w:rPr>
          <w:sz w:val="24"/>
          <w:szCs w:val="24"/>
          <w:highlight w:val="white"/>
        </w:rPr>
        <w:t>almon</w:t>
      </w:r>
      <w:r>
        <w:rPr>
          <w:sz w:val="24"/>
          <w:szCs w:val="24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et al</w:t>
      </w:r>
      <w:r>
        <w:rPr>
          <w:sz w:val="24"/>
          <w:szCs w:val="24"/>
          <w:highlight w:val="white"/>
        </w:rPr>
        <w:t>., 2021). A vanguarda do conhecimento também busca aprimorar a AVP em cenários com dados escassos, integrando genética da conservação e ecologia da paisagem para modelos mais precisos e aplicáveis a fragmentos urbanos (M</w:t>
      </w:r>
      <w:r w:rsidR="0074569F">
        <w:rPr>
          <w:sz w:val="24"/>
          <w:szCs w:val="24"/>
          <w:highlight w:val="white"/>
        </w:rPr>
        <w:t>onteiro</w:t>
      </w:r>
      <w:r>
        <w:rPr>
          <w:sz w:val="24"/>
          <w:szCs w:val="24"/>
          <w:highlight w:val="white"/>
        </w:rPr>
        <w:t xml:space="preserve"> </w:t>
      </w:r>
      <w:r>
        <w:rPr>
          <w:i/>
          <w:iCs/>
          <w:sz w:val="24"/>
          <w:szCs w:val="24"/>
          <w:highlight w:val="white"/>
        </w:rPr>
        <w:t>et al</w:t>
      </w:r>
      <w:r>
        <w:rPr>
          <w:sz w:val="24"/>
          <w:szCs w:val="24"/>
          <w:highlight w:val="white"/>
        </w:rPr>
        <w:t>., 2022).</w:t>
      </w:r>
    </w:p>
    <w:p w14:paraId="2C72EFA4" w14:textId="6BB98853" w:rsidR="00174528" w:rsidRDefault="00387297" w:rsidP="0074569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Em face desse panorama, o presente estudo realiza uma revisão bibliográfica sobre a fragilidade de populações pequenas e sua aplicação à gestão de unidades de conservação municipais. Os objetivos são: (1) apresentar os mecanismos do vórtice de extinção e da perda de diversidade genética; (2) examinar a AVP como ferramenta de gestão; e (3) associar esses </w:t>
      </w:r>
      <w:r>
        <w:rPr>
          <w:sz w:val="24"/>
          <w:szCs w:val="24"/>
          <w:highlight w:val="white"/>
        </w:rPr>
        <w:lastRenderedPageBreak/>
        <w:t>conceitos ao contexto socioambiental do Parque Arara-Azul, em Imperatriz (MA). A revisão oferece bases teóricas para fortalecer a gestão ativa e integrada de fragmentos urbanos.</w:t>
      </w:r>
    </w:p>
    <w:p w14:paraId="50603AF2" w14:textId="77777777" w:rsidR="00174528" w:rsidRDefault="00387297">
      <w:pPr>
        <w:numPr>
          <w:ilvl w:val="0"/>
          <w:numId w:val="2"/>
        </w:num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METODOLOGIA</w:t>
      </w:r>
    </w:p>
    <w:p w14:paraId="16C243FD" w14:textId="4C98463D" w:rsidR="00174528" w:rsidRDefault="003872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elaboração deste estudo baseou-se em uma abordagem qualitativa e descritiva (A</w:t>
      </w:r>
      <w:r w:rsidR="0074569F">
        <w:rPr>
          <w:sz w:val="24"/>
          <w:szCs w:val="24"/>
        </w:rPr>
        <w:t>ugusto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2013), sustentada pela análise integrada de referenciais teóricos da biologia da conservação e de dados regionais referentes ao estado do Maranhão, com ênfase na cidade de Imperatriz e no Parque Arara-Azul. A escolha por esse método deve-se ao fato de que a pesquisa qualitativa permite compreender, de forma interpretativa, a relação entre os conceitos ecológicos universais e as dinâmicas socioambientais locais (N</w:t>
      </w:r>
      <w:r w:rsidR="0074569F">
        <w:rPr>
          <w:sz w:val="24"/>
          <w:szCs w:val="24"/>
        </w:rPr>
        <w:t>unes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2022).</w:t>
      </w:r>
    </w:p>
    <w:p w14:paraId="35B6EDDE" w14:textId="7E9F11CF" w:rsidR="00174528" w:rsidRDefault="003872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Inicialmente, realizou-se uma revisão sistemática em bases como SciELO, Google Acadêmico e Periódicos CAPES, com foco em publicações de 20</w:t>
      </w:r>
      <w:r w:rsidR="00B7716A">
        <w:rPr>
          <w:sz w:val="24"/>
          <w:szCs w:val="24"/>
        </w:rPr>
        <w:t>15</w:t>
      </w:r>
      <w:r>
        <w:rPr>
          <w:sz w:val="24"/>
          <w:szCs w:val="24"/>
        </w:rPr>
        <w:t xml:space="preserve"> a 2025. para identificar estudos recentes sobre os principais mecanismos que influenciam a persistência de populações naturais. Paralelamente à fundamentação teórica, foi realizada a contextualização ambiental e institucional de Imperatriz e de sua principal unidade de conservação municipal. Para tanto, consultaram-se documentos oficiais da Prefeitura de Imperatriz (2024) e reportagens sobre o Parque Arara-Azul, analisando a realidade local à luz dos conceitos de conectividade. </w:t>
      </w:r>
      <w:r>
        <w:rPr>
          <w:sz w:val="24"/>
          <w:szCs w:val="24"/>
          <w:highlight w:val="white"/>
        </w:rPr>
        <w:t>A fragmentação no estado foi comparada com ideias sobre metapopulações e soluções inspiradas na natureza, como os corredores verdes</w:t>
      </w:r>
      <w:r>
        <w:rPr>
          <w:sz w:val="24"/>
          <w:szCs w:val="24"/>
        </w:rPr>
        <w:t xml:space="preserve"> (C</w:t>
      </w:r>
      <w:r w:rsidR="0074569F">
        <w:rPr>
          <w:sz w:val="24"/>
          <w:szCs w:val="24"/>
        </w:rPr>
        <w:t>almon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2021).</w:t>
      </w:r>
    </w:p>
    <w:p w14:paraId="45D036E3" w14:textId="77777777" w:rsidR="00174528" w:rsidRDefault="003872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metodologia também envolveu a análise qualitativa, </w:t>
      </w:r>
      <w:r>
        <w:rPr>
          <w:sz w:val="24"/>
          <w:szCs w:val="24"/>
          <w:highlight w:val="white"/>
        </w:rPr>
        <w:t>como os fatores ecológicos discutidos nos estudos, como a perda de diversidade genética, as mudanças no tamanho das populações e o isolamento, podem ser vistos em áreas de vegetação urbana no Maranhão. A relevância das soluções baseadas na natureza para as cidades, como a criação de parques e corredores verdes, também foi considerada como parte do conhecimento teórico.</w:t>
      </w:r>
    </w:p>
    <w:p w14:paraId="5FD6891D" w14:textId="77777777" w:rsidR="00174528" w:rsidRDefault="0038729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o texto foi redigido de forma a integrar os achados da revisão e a contextualização, respeitando as normas da Associação Brasileira de Normas Técnicas (ABNT NBR 6023: 2018) para citações e referências. </w:t>
      </w:r>
      <w:r>
        <w:rPr>
          <w:sz w:val="24"/>
          <w:szCs w:val="24"/>
          <w:highlight w:val="white"/>
        </w:rPr>
        <w:t xml:space="preserve">A ideia de combinar o conhecimento científico global com os dados locais foi oferecer uma visão completa de como os princípios ecológicos de conservação de populações pequenas se mostram na realidade de Imperatriz e do Parque </w:t>
      </w:r>
      <w:r>
        <w:rPr>
          <w:sz w:val="24"/>
          <w:szCs w:val="24"/>
          <w:highlight w:val="white"/>
        </w:rPr>
        <w:lastRenderedPageBreak/>
        <w:t>Arara-Azul.</w:t>
      </w:r>
    </w:p>
    <w:p w14:paraId="445717E5" w14:textId="77777777" w:rsidR="00174528" w:rsidRDefault="00387297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Figura 1</w:t>
      </w:r>
      <w:r>
        <w:rPr>
          <w:sz w:val="24"/>
          <w:szCs w:val="24"/>
        </w:rPr>
        <w:t>– Processo de revisão de literatura</w:t>
      </w:r>
    </w:p>
    <w:p w14:paraId="5C3C776B" w14:textId="77777777" w:rsidR="00174528" w:rsidRDefault="00387297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00987D5" wp14:editId="28ACAAFB">
            <wp:extent cx="5759775" cy="4318000"/>
            <wp:effectExtent l="0" t="0" r="0" b="0"/>
            <wp:docPr id="20236913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456DC">
        <w:rPr>
          <w:b/>
          <w:bCs/>
          <w:sz w:val="24"/>
          <w:szCs w:val="24"/>
        </w:rPr>
        <w:t>Fonte</w:t>
      </w:r>
      <w:r>
        <w:rPr>
          <w:sz w:val="24"/>
          <w:szCs w:val="24"/>
        </w:rPr>
        <w:t>: Autores (2025)</w:t>
      </w:r>
    </w:p>
    <w:p w14:paraId="16BE2BCD" w14:textId="77777777" w:rsidR="00174528" w:rsidRDefault="00387297">
      <w:pPr>
        <w:pStyle w:val="Ttulo2"/>
        <w:numPr>
          <w:ilvl w:val="0"/>
          <w:numId w:val="2"/>
        </w:num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  <w:bookmarkStart w:id="0" w:name="_heading=h.5dsoodc0ardj" w:colFirst="0" w:colLast="0"/>
      <w:bookmarkEnd w:id="0"/>
      <w:r>
        <w:rPr>
          <w:sz w:val="24"/>
          <w:szCs w:val="24"/>
        </w:rPr>
        <w:t>RESULTADOS E DISCUSSÃO</w:t>
      </w:r>
    </w:p>
    <w:p w14:paraId="18A3087A" w14:textId="652D419D" w:rsidR="00174528" w:rsidRDefault="00387297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revisão bibliográfica evidenciou que populações pequenas em fragmentos urbanos apresentam vulnerabilidades decorrentes da combinação entre perda de variabilidade genética, redução do fluxo gênico, intensificação dos efeitos de borda e pressão antrópica constante (V</w:t>
      </w:r>
      <w:r w:rsidR="0074569F">
        <w:rPr>
          <w:sz w:val="24"/>
          <w:szCs w:val="24"/>
        </w:rPr>
        <w:t>itorino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2020; S</w:t>
      </w:r>
      <w:r w:rsidR="0074569F">
        <w:rPr>
          <w:sz w:val="24"/>
          <w:szCs w:val="24"/>
        </w:rPr>
        <w:t>ouza</w:t>
      </w:r>
      <w:r>
        <w:rPr>
          <w:sz w:val="24"/>
          <w:szCs w:val="24"/>
        </w:rPr>
        <w:t>; V</w:t>
      </w:r>
      <w:r w:rsidR="0074569F">
        <w:rPr>
          <w:sz w:val="24"/>
          <w:szCs w:val="24"/>
        </w:rPr>
        <w:t>ancine</w:t>
      </w:r>
      <w:r>
        <w:rPr>
          <w:sz w:val="24"/>
          <w:szCs w:val="24"/>
        </w:rPr>
        <w:t>, 2025). Esses fatores reduzem o tamanho efetivo populacional e aumentam o risco de extinção local, principalmente em fragmentos com formato alongado, área reduzida e isolamento físico, características recorrentes no Parque Natural Municipal Arara-Azul, em Imperatriz (MA).</w:t>
      </w:r>
    </w:p>
    <w:p w14:paraId="41890238" w14:textId="77777777" w:rsidR="00174528" w:rsidRDefault="00387297">
      <w:pPr>
        <w:pStyle w:val="Ttulo3"/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0" w:after="0" w:line="360" w:lineRule="auto"/>
        <w:jc w:val="both"/>
        <w:rPr>
          <w:sz w:val="24"/>
          <w:szCs w:val="24"/>
        </w:rPr>
      </w:pPr>
      <w:bookmarkStart w:id="1" w:name="_heading=h.gxdwg29gb0f7" w:colFirst="0" w:colLast="0"/>
      <w:bookmarkEnd w:id="1"/>
      <w:r>
        <w:rPr>
          <w:sz w:val="24"/>
          <w:szCs w:val="24"/>
        </w:rPr>
        <w:lastRenderedPageBreak/>
        <w:t>3.1. Mecanismos do vórtice de extinção e perda de variabilidade genética</w:t>
      </w:r>
    </w:p>
    <w:p w14:paraId="4026E646" w14:textId="1996F352" w:rsidR="00174528" w:rsidRDefault="0038729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Os estudos analisados mostram que populações reduzidas e isoladas estão expostas a um conjunto de fatores que interagem entre si, impulsionando o declínio: diminuição do número de indivíduos aptos à reprodução (Ne), carência de variabilidade genética, elevação da consanguinidade e maior fragilidade diante de mudanças demográficas aleatórias e do meio ambiente</w:t>
      </w:r>
      <w:r>
        <w:rPr>
          <w:sz w:val="24"/>
          <w:szCs w:val="24"/>
        </w:rPr>
        <w:t xml:space="preserve"> (W</w:t>
      </w:r>
      <w:r w:rsidR="0074569F">
        <w:rPr>
          <w:sz w:val="24"/>
          <w:szCs w:val="24"/>
        </w:rPr>
        <w:t>illiams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2021; V</w:t>
      </w:r>
      <w:r w:rsidR="0074569F">
        <w:rPr>
          <w:sz w:val="24"/>
          <w:szCs w:val="24"/>
        </w:rPr>
        <w:t>itorino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2020; P</w:t>
      </w:r>
      <w:r w:rsidR="0074569F">
        <w:rPr>
          <w:sz w:val="24"/>
          <w:szCs w:val="24"/>
        </w:rPr>
        <w:t>arreira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2025). Processos genéticos descritos recentemente, como “</w:t>
      </w:r>
      <w:r w:rsidR="006F7820">
        <w:rPr>
          <w:sz w:val="24"/>
          <w:szCs w:val="24"/>
        </w:rPr>
        <w:t>derretimento</w:t>
      </w:r>
      <w:r>
        <w:rPr>
          <w:sz w:val="24"/>
          <w:szCs w:val="24"/>
        </w:rPr>
        <w:t xml:space="preserve"> mutacional” e “seca mutacional”, </w:t>
      </w:r>
      <w:r>
        <w:rPr>
          <w:sz w:val="24"/>
          <w:szCs w:val="24"/>
          <w:highlight w:val="white"/>
        </w:rPr>
        <w:t>ajudam a entender como a perda de mutações vantajosas e o acúmulo de mutações prejudiciais podem apressar o declínio</w:t>
      </w:r>
      <w:r>
        <w:rPr>
          <w:sz w:val="24"/>
          <w:szCs w:val="24"/>
        </w:rPr>
        <w:t xml:space="preserve"> (MAWASS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2025).</w:t>
      </w:r>
    </w:p>
    <w:p w14:paraId="2F5CF3A8" w14:textId="5AA1A194" w:rsidR="00174528" w:rsidRDefault="0038729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Áreas urbanas fragmentadas demonstraram, em diversos estudos, impactos nas bordas, redução de plantas hospedeiras e mudanças microclimáticas que afetam principalmente plantas que precisam de </w:t>
      </w:r>
      <w:r w:rsidR="0074569F">
        <w:rPr>
          <w:sz w:val="24"/>
          <w:szCs w:val="24"/>
          <w:highlight w:val="white"/>
        </w:rPr>
        <w:t>micro-habitat</w:t>
      </w:r>
      <w:r>
        <w:rPr>
          <w:sz w:val="24"/>
          <w:szCs w:val="24"/>
          <w:highlight w:val="white"/>
        </w:rPr>
        <w:t xml:space="preserve"> estáveis (epífitas) e espécies que vivem no interior das matas </w:t>
      </w:r>
      <w:r>
        <w:rPr>
          <w:sz w:val="24"/>
          <w:szCs w:val="24"/>
        </w:rPr>
        <w:t>(R</w:t>
      </w:r>
      <w:r w:rsidR="0074569F">
        <w:rPr>
          <w:sz w:val="24"/>
          <w:szCs w:val="24"/>
        </w:rPr>
        <w:t>ocha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2024; S</w:t>
      </w:r>
      <w:r w:rsidR="0074569F">
        <w:rPr>
          <w:sz w:val="24"/>
          <w:szCs w:val="24"/>
        </w:rPr>
        <w:t>ilva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., 2019). </w:t>
      </w:r>
      <w:r>
        <w:rPr>
          <w:sz w:val="24"/>
          <w:szCs w:val="24"/>
          <w:highlight w:val="white"/>
        </w:rPr>
        <w:t>Em áreas de transição (Cerrado-Amazônia) essas dificuldades se juntam ao crescimento das cidades e ao desmatamento da região, prejudicando os serviços dos ecossistemas e aumentando os riscos de extinção local</w:t>
      </w:r>
      <w:r>
        <w:rPr>
          <w:rFonts w:ascii="Roboto" w:eastAsia="Roboto" w:hAnsi="Roboto" w:cs="Roboto"/>
          <w:sz w:val="27"/>
          <w:szCs w:val="27"/>
          <w:highlight w:val="white"/>
        </w:rPr>
        <w:t xml:space="preserve"> </w:t>
      </w:r>
      <w:r>
        <w:rPr>
          <w:sz w:val="24"/>
          <w:szCs w:val="24"/>
        </w:rPr>
        <w:t>(C</w:t>
      </w:r>
      <w:r w:rsidR="0074569F">
        <w:rPr>
          <w:sz w:val="24"/>
          <w:szCs w:val="24"/>
        </w:rPr>
        <w:t>elentano</w:t>
      </w:r>
      <w:r>
        <w:rPr>
          <w:sz w:val="24"/>
          <w:szCs w:val="24"/>
        </w:rPr>
        <w:t>; M</w:t>
      </w:r>
      <w:r w:rsidR="0074569F">
        <w:rPr>
          <w:sz w:val="24"/>
          <w:szCs w:val="24"/>
        </w:rPr>
        <w:t>iranda</w:t>
      </w:r>
      <w:r>
        <w:rPr>
          <w:sz w:val="24"/>
          <w:szCs w:val="24"/>
        </w:rPr>
        <w:t>; M</w:t>
      </w:r>
      <w:r w:rsidR="0074569F">
        <w:rPr>
          <w:sz w:val="24"/>
          <w:szCs w:val="24"/>
        </w:rPr>
        <w:t>endonça</w:t>
      </w:r>
      <w:r>
        <w:rPr>
          <w:sz w:val="24"/>
          <w:szCs w:val="24"/>
        </w:rPr>
        <w:t>, 2018; C</w:t>
      </w:r>
      <w:r w:rsidR="0074569F">
        <w:rPr>
          <w:sz w:val="24"/>
          <w:szCs w:val="24"/>
        </w:rPr>
        <w:t>andido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2025).</w:t>
      </w:r>
    </w:p>
    <w:p w14:paraId="15530FED" w14:textId="7D5204FE" w:rsidR="00174528" w:rsidRDefault="00387297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Tabela 1</w:t>
      </w:r>
      <w:r>
        <w:rPr>
          <w:sz w:val="24"/>
          <w:szCs w:val="24"/>
        </w:rPr>
        <w:t xml:space="preserve"> - Mecanismos do vórtice de extinção e evidências aplicáveis a fragmentos urbanos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1"/>
        <w:gridCol w:w="3022"/>
        <w:gridCol w:w="3022"/>
      </w:tblGrid>
      <w:tr w:rsidR="00405F58" w14:paraId="1EC2A0D3" w14:textId="77777777" w:rsidTr="00405F58">
        <w:tc>
          <w:tcPr>
            <w:tcW w:w="3021" w:type="dxa"/>
            <w:tcBorders>
              <w:top w:val="single" w:sz="4" w:space="0" w:color="auto"/>
              <w:bottom w:val="single" w:sz="4" w:space="0" w:color="auto"/>
            </w:tcBorders>
          </w:tcPr>
          <w:p w14:paraId="78BE0A8D" w14:textId="107F6DD4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Mecanismo</w:t>
            </w:r>
          </w:p>
        </w:tc>
        <w:tc>
          <w:tcPr>
            <w:tcW w:w="3022" w:type="dxa"/>
            <w:tcBorders>
              <w:top w:val="single" w:sz="4" w:space="0" w:color="auto"/>
              <w:bottom w:val="single" w:sz="4" w:space="0" w:color="auto"/>
            </w:tcBorders>
          </w:tcPr>
          <w:p w14:paraId="2DA7BC3C" w14:textId="03A516F7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Efeito ecológico</w:t>
            </w:r>
          </w:p>
        </w:tc>
        <w:tc>
          <w:tcPr>
            <w:tcW w:w="3022" w:type="dxa"/>
            <w:tcBorders>
              <w:top w:val="single" w:sz="4" w:space="0" w:color="auto"/>
              <w:bottom w:val="single" w:sz="4" w:space="0" w:color="auto"/>
            </w:tcBorders>
          </w:tcPr>
          <w:p w14:paraId="16ED0AC3" w14:textId="6F6EB700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Evidência bibliográfica</w:t>
            </w:r>
          </w:p>
        </w:tc>
      </w:tr>
      <w:tr w:rsidR="00405F58" w14:paraId="743CE1F7" w14:textId="77777777" w:rsidTr="00405F58">
        <w:tc>
          <w:tcPr>
            <w:tcW w:w="3021" w:type="dxa"/>
            <w:tcBorders>
              <w:top w:val="single" w:sz="4" w:space="0" w:color="auto"/>
            </w:tcBorders>
            <w:vAlign w:val="center"/>
          </w:tcPr>
          <w:p w14:paraId="2BA08B28" w14:textId="056F80D3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Perda de variabilidade genética</w:t>
            </w:r>
          </w:p>
        </w:tc>
        <w:tc>
          <w:tcPr>
            <w:tcW w:w="3022" w:type="dxa"/>
            <w:tcBorders>
              <w:top w:val="single" w:sz="4" w:space="0" w:color="auto"/>
            </w:tcBorders>
            <w:vAlign w:val="center"/>
          </w:tcPr>
          <w:p w14:paraId="49074277" w14:textId="21ADE204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Menor adaptabilidade; resposta reduzida a estressores</w:t>
            </w:r>
          </w:p>
        </w:tc>
        <w:tc>
          <w:tcPr>
            <w:tcW w:w="3022" w:type="dxa"/>
            <w:tcBorders>
              <w:top w:val="single" w:sz="4" w:space="0" w:color="auto"/>
            </w:tcBorders>
            <w:vAlign w:val="center"/>
          </w:tcPr>
          <w:p w14:paraId="368DAD44" w14:textId="26C4723F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VITORINO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 xml:space="preserve">., 2020; PARREIRA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>., 2025</w:t>
            </w:r>
          </w:p>
        </w:tc>
      </w:tr>
      <w:tr w:rsidR="00405F58" w:rsidRPr="0074569F" w14:paraId="278BBF52" w14:textId="77777777" w:rsidTr="00405F58">
        <w:tc>
          <w:tcPr>
            <w:tcW w:w="3021" w:type="dxa"/>
            <w:vAlign w:val="center"/>
          </w:tcPr>
          <w:p w14:paraId="5EB5BFE2" w14:textId="595F969A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Endogamia</w:t>
            </w:r>
          </w:p>
        </w:tc>
        <w:tc>
          <w:tcPr>
            <w:tcW w:w="3022" w:type="dxa"/>
            <w:vAlign w:val="center"/>
          </w:tcPr>
          <w:p w14:paraId="7D8F2461" w14:textId="4321893B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Depressão de fitness, menor fecundidade</w:t>
            </w:r>
          </w:p>
        </w:tc>
        <w:tc>
          <w:tcPr>
            <w:tcW w:w="3022" w:type="dxa"/>
            <w:vAlign w:val="center"/>
          </w:tcPr>
          <w:p w14:paraId="777390ED" w14:textId="789A7CDD" w:rsidR="00405F58" w:rsidRP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05F58">
              <w:rPr>
                <w:sz w:val="20"/>
                <w:szCs w:val="20"/>
                <w:lang w:val="en-US"/>
              </w:rPr>
              <w:t xml:space="preserve">PARREIRA </w:t>
            </w:r>
            <w:r w:rsidRPr="00405F58">
              <w:rPr>
                <w:i/>
                <w:iCs/>
                <w:sz w:val="20"/>
                <w:szCs w:val="20"/>
                <w:lang w:val="en-US"/>
              </w:rPr>
              <w:t>et al</w:t>
            </w:r>
            <w:r w:rsidRPr="00405F58">
              <w:rPr>
                <w:sz w:val="20"/>
                <w:szCs w:val="20"/>
                <w:lang w:val="en-US"/>
              </w:rPr>
              <w:t>., 2025; WILLIAMS</w:t>
            </w:r>
            <w:r w:rsidRPr="00405F58">
              <w:rPr>
                <w:i/>
                <w:iCs/>
                <w:sz w:val="20"/>
                <w:szCs w:val="20"/>
                <w:lang w:val="en-US"/>
              </w:rPr>
              <w:t xml:space="preserve"> et al</w:t>
            </w:r>
            <w:r w:rsidRPr="00405F58">
              <w:rPr>
                <w:sz w:val="20"/>
                <w:szCs w:val="20"/>
                <w:lang w:val="en-US"/>
              </w:rPr>
              <w:t>., 2021</w:t>
            </w:r>
          </w:p>
        </w:tc>
      </w:tr>
      <w:tr w:rsidR="00405F58" w14:paraId="57685D72" w14:textId="77777777" w:rsidTr="00405F58">
        <w:tc>
          <w:tcPr>
            <w:tcW w:w="3021" w:type="dxa"/>
            <w:vAlign w:val="center"/>
          </w:tcPr>
          <w:p w14:paraId="373783EE" w14:textId="59B521B8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Fusão/seca mutacional</w:t>
            </w:r>
          </w:p>
        </w:tc>
        <w:tc>
          <w:tcPr>
            <w:tcW w:w="3022" w:type="dxa"/>
            <w:vAlign w:val="center"/>
          </w:tcPr>
          <w:p w14:paraId="67CD24D0" w14:textId="14DB7E5E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Perda de alelos benéficos / acúmulo deletério</w:t>
            </w:r>
          </w:p>
        </w:tc>
        <w:tc>
          <w:tcPr>
            <w:tcW w:w="3022" w:type="dxa"/>
            <w:vAlign w:val="center"/>
          </w:tcPr>
          <w:p w14:paraId="440A3A38" w14:textId="438B8C8D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MAWASS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>., 2025</w:t>
            </w:r>
          </w:p>
        </w:tc>
      </w:tr>
      <w:tr w:rsidR="00405F58" w14:paraId="0F559676" w14:textId="77777777" w:rsidTr="00405F58">
        <w:tc>
          <w:tcPr>
            <w:tcW w:w="3021" w:type="dxa"/>
            <w:vAlign w:val="center"/>
          </w:tcPr>
          <w:p w14:paraId="59D5B5DB" w14:textId="5B9BE419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Efeito de borda</w:t>
            </w:r>
          </w:p>
        </w:tc>
        <w:tc>
          <w:tcPr>
            <w:tcW w:w="3022" w:type="dxa"/>
            <w:vAlign w:val="center"/>
          </w:tcPr>
          <w:p w14:paraId="76AE6B6C" w14:textId="068A7BFC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Alteração microclimática, menor interior florestal</w:t>
            </w:r>
          </w:p>
        </w:tc>
        <w:tc>
          <w:tcPr>
            <w:tcW w:w="3022" w:type="dxa"/>
            <w:vAlign w:val="center"/>
          </w:tcPr>
          <w:p w14:paraId="1C5BF869" w14:textId="09C3316A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RABELO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 xml:space="preserve">., 2025; ROCHA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 xml:space="preserve">., 2024; SILVA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>., 2019</w:t>
            </w:r>
          </w:p>
        </w:tc>
      </w:tr>
      <w:tr w:rsidR="00405F58" w:rsidRPr="0074569F" w14:paraId="5A7F9391" w14:textId="77777777" w:rsidTr="00405F58">
        <w:tc>
          <w:tcPr>
            <w:tcW w:w="3021" w:type="dxa"/>
            <w:vAlign w:val="center"/>
          </w:tcPr>
          <w:p w14:paraId="6179D6D3" w14:textId="204B7232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Isolamento (fluxo gênico reduzido)</w:t>
            </w:r>
          </w:p>
        </w:tc>
        <w:tc>
          <w:tcPr>
            <w:tcW w:w="3022" w:type="dxa"/>
            <w:vAlign w:val="center"/>
          </w:tcPr>
          <w:p w14:paraId="1A335211" w14:textId="0968B4F8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Redução do Ne, maior deriva genética</w:t>
            </w:r>
          </w:p>
        </w:tc>
        <w:tc>
          <w:tcPr>
            <w:tcW w:w="3022" w:type="dxa"/>
            <w:vAlign w:val="center"/>
          </w:tcPr>
          <w:p w14:paraId="3DE021DB" w14:textId="10F3488B" w:rsidR="00405F58" w:rsidRP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05F58">
              <w:rPr>
                <w:sz w:val="20"/>
                <w:szCs w:val="20"/>
                <w:lang w:val="en-US"/>
              </w:rPr>
              <w:t>GRAÇA; TELLES, 2020; HATFIELD; ORME; BANKS-LEITE, 2018</w:t>
            </w:r>
          </w:p>
        </w:tc>
      </w:tr>
    </w:tbl>
    <w:p w14:paraId="7AAFC8E4" w14:textId="77777777" w:rsidR="00174528" w:rsidRDefault="00387297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Fonte</w:t>
      </w:r>
      <w:r>
        <w:rPr>
          <w:sz w:val="24"/>
          <w:szCs w:val="24"/>
        </w:rPr>
        <w:t>: Autores (2025).</w:t>
      </w:r>
    </w:p>
    <w:p w14:paraId="44BADA99" w14:textId="7FE60C75" w:rsidR="00174528" w:rsidRDefault="0038729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Esses mecanismos atuam em sinergia nas áreas urbanas, acelerando processos </w:t>
      </w:r>
      <w:r>
        <w:rPr>
          <w:sz w:val="24"/>
          <w:szCs w:val="24"/>
        </w:rPr>
        <w:lastRenderedPageBreak/>
        <w:t>observados em diferentes estudos nacionais e regionais (S</w:t>
      </w:r>
      <w:r w:rsidR="0074569F">
        <w:rPr>
          <w:sz w:val="24"/>
          <w:szCs w:val="24"/>
        </w:rPr>
        <w:t>ouza</w:t>
      </w:r>
      <w:r>
        <w:rPr>
          <w:sz w:val="24"/>
          <w:szCs w:val="24"/>
        </w:rPr>
        <w:t>; V</w:t>
      </w:r>
      <w:r w:rsidR="0074569F">
        <w:rPr>
          <w:sz w:val="24"/>
          <w:szCs w:val="24"/>
        </w:rPr>
        <w:t>ancine</w:t>
      </w:r>
      <w:r>
        <w:rPr>
          <w:sz w:val="24"/>
          <w:szCs w:val="24"/>
        </w:rPr>
        <w:t>, 2025; M</w:t>
      </w:r>
      <w:r w:rsidR="0074569F">
        <w:rPr>
          <w:sz w:val="24"/>
          <w:szCs w:val="24"/>
        </w:rPr>
        <w:t>onteiro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2022).</w:t>
      </w:r>
    </w:p>
    <w:p w14:paraId="4F60FE84" w14:textId="77777777" w:rsidR="00174528" w:rsidRDefault="00387297">
      <w:pPr>
        <w:pStyle w:val="Ttulo3"/>
        <w:spacing w:line="360" w:lineRule="auto"/>
        <w:jc w:val="both"/>
        <w:rPr>
          <w:sz w:val="24"/>
          <w:szCs w:val="24"/>
        </w:rPr>
      </w:pPr>
      <w:bookmarkStart w:id="2" w:name="_heading=h.sf9heguvmqyz" w:colFirst="0" w:colLast="0"/>
      <w:bookmarkEnd w:id="2"/>
      <w:r>
        <w:rPr>
          <w:sz w:val="24"/>
          <w:szCs w:val="24"/>
        </w:rPr>
        <w:t>3.2. AVP como ferramenta de manejo</w:t>
      </w:r>
    </w:p>
    <w:p w14:paraId="5710ED1C" w14:textId="77777777" w:rsidR="00174528" w:rsidRDefault="0038729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Na área de estudos, a Análise de Viabilidade Populacional (AVP) se destaca como uma ferramenta essencial para avaliar perigos e simular diferentes estratégias de gestão</w:t>
      </w:r>
      <w:r>
        <w:rPr>
          <w:sz w:val="24"/>
          <w:szCs w:val="24"/>
        </w:rPr>
        <w:t xml:space="preserve"> (CHAUDHARY; OLI, 2020). </w:t>
      </w:r>
      <w:r>
        <w:rPr>
          <w:sz w:val="24"/>
          <w:szCs w:val="24"/>
          <w:highlight w:val="white"/>
        </w:rPr>
        <w:t>Em áreas urbanas fragmentadas e com poucos dados, a AVP possibilita</w:t>
      </w:r>
      <w:r>
        <w:rPr>
          <w:sz w:val="24"/>
          <w:szCs w:val="24"/>
        </w:rPr>
        <w:t>:</w:t>
      </w:r>
    </w:p>
    <w:p w14:paraId="3F653F3C" w14:textId="77777777" w:rsidR="00174528" w:rsidRDefault="0038729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Estimar probabilidades de extinção sob cenários de continuidade/alteração do habitat;</w:t>
      </w:r>
    </w:p>
    <w:p w14:paraId="2A37C880" w14:textId="77777777" w:rsidR="00174528" w:rsidRDefault="0038729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Calcular o tamanho mínimo de população viável (MVP) necessário para reduzir risco a níveis aceitáveis;</w:t>
      </w:r>
    </w:p>
    <w:p w14:paraId="391398F6" w14:textId="77777777" w:rsidR="00174528" w:rsidRDefault="0038729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Comparar cenários com e sem intervenções (corredores, restauração, manejo reprodutivo);</w:t>
      </w:r>
    </w:p>
    <w:p w14:paraId="3FDFF3A1" w14:textId="02B8EC6F" w:rsidR="00174528" w:rsidRDefault="00387297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Priorizar espécies e ações de monitoramento (S</w:t>
      </w:r>
      <w:r w:rsidR="0074569F">
        <w:rPr>
          <w:sz w:val="24"/>
          <w:szCs w:val="24"/>
        </w:rPr>
        <w:t>ánchez</w:t>
      </w:r>
      <w:r>
        <w:rPr>
          <w:sz w:val="24"/>
          <w:szCs w:val="24"/>
        </w:rPr>
        <w:t>, 2020; C</w:t>
      </w:r>
      <w:r w:rsidR="0074569F">
        <w:rPr>
          <w:sz w:val="24"/>
          <w:szCs w:val="24"/>
        </w:rPr>
        <w:t>almon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2021).</w:t>
      </w:r>
    </w:p>
    <w:p w14:paraId="0D922E4D" w14:textId="55C47496" w:rsidR="00174528" w:rsidRDefault="0038729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Estudos aplicados reforçam que, apesar das incertezas, a AVP orienta decisões práticas quando combinada com monitoramento (D</w:t>
      </w:r>
      <w:r w:rsidR="0074569F">
        <w:rPr>
          <w:sz w:val="24"/>
          <w:szCs w:val="24"/>
        </w:rPr>
        <w:t>esbiez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2020) e dados genéticos (M</w:t>
      </w:r>
      <w:r w:rsidR="0074569F">
        <w:rPr>
          <w:sz w:val="24"/>
          <w:szCs w:val="24"/>
        </w:rPr>
        <w:t>onteiro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2022). Em contextos municipais, a AVP também facilita a comunicação dos riscos aos gestores e à sociedade (P</w:t>
      </w:r>
      <w:r w:rsidR="0074569F">
        <w:rPr>
          <w:sz w:val="24"/>
          <w:szCs w:val="24"/>
        </w:rPr>
        <w:t>rimack</w:t>
      </w:r>
      <w:r>
        <w:rPr>
          <w:sz w:val="24"/>
          <w:szCs w:val="24"/>
        </w:rPr>
        <w:t>; R</w:t>
      </w:r>
      <w:r w:rsidR="0074569F">
        <w:rPr>
          <w:sz w:val="24"/>
          <w:szCs w:val="24"/>
        </w:rPr>
        <w:t>odrigues</w:t>
      </w:r>
      <w:r>
        <w:rPr>
          <w:sz w:val="24"/>
          <w:szCs w:val="24"/>
        </w:rPr>
        <w:t>, 2001; C</w:t>
      </w:r>
      <w:r w:rsidR="0074569F">
        <w:rPr>
          <w:sz w:val="24"/>
          <w:szCs w:val="24"/>
        </w:rPr>
        <w:t>haudhary</w:t>
      </w:r>
      <w:r>
        <w:rPr>
          <w:sz w:val="24"/>
          <w:szCs w:val="24"/>
        </w:rPr>
        <w:t>; OLI, 2020).</w:t>
      </w:r>
    </w:p>
    <w:p w14:paraId="3C06E609" w14:textId="77777777" w:rsidR="00174528" w:rsidRDefault="00387297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Tabela 2</w:t>
      </w:r>
      <w:r>
        <w:rPr>
          <w:sz w:val="24"/>
          <w:szCs w:val="24"/>
        </w:rPr>
        <w:t xml:space="preserve"> - Aplicações operacionais da AVP em fragmentos urbanos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1"/>
        <w:gridCol w:w="3022"/>
        <w:gridCol w:w="3022"/>
      </w:tblGrid>
      <w:tr w:rsidR="00405F58" w14:paraId="32F8E88C" w14:textId="77777777" w:rsidTr="00405F58">
        <w:trPr>
          <w:jc w:val="center"/>
        </w:trPr>
        <w:tc>
          <w:tcPr>
            <w:tcW w:w="30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FAB2F" w14:textId="7BF33E51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Aplicação</w:t>
            </w:r>
          </w:p>
        </w:tc>
        <w:tc>
          <w:tcPr>
            <w:tcW w:w="3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70F9A" w14:textId="3DAA9672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Resultado esperado</w:t>
            </w:r>
          </w:p>
        </w:tc>
        <w:tc>
          <w:tcPr>
            <w:tcW w:w="3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2E6581" w14:textId="545A7857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Referências</w:t>
            </w:r>
          </w:p>
        </w:tc>
      </w:tr>
      <w:tr w:rsidR="00405F58" w:rsidRPr="0074569F" w14:paraId="2173F266" w14:textId="77777777" w:rsidTr="00405F58">
        <w:trPr>
          <w:jc w:val="center"/>
        </w:trPr>
        <w:tc>
          <w:tcPr>
            <w:tcW w:w="3021" w:type="dxa"/>
            <w:tcBorders>
              <w:top w:val="single" w:sz="4" w:space="0" w:color="auto"/>
            </w:tcBorders>
            <w:vAlign w:val="center"/>
          </w:tcPr>
          <w:p w14:paraId="11FDFEE1" w14:textId="2DC79525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Simulação de conectividade (com/sem corredores)</w:t>
            </w:r>
          </w:p>
        </w:tc>
        <w:tc>
          <w:tcPr>
            <w:tcW w:w="3022" w:type="dxa"/>
            <w:tcBorders>
              <w:top w:val="single" w:sz="4" w:space="0" w:color="auto"/>
            </w:tcBorders>
            <w:vAlign w:val="center"/>
          </w:tcPr>
          <w:p w14:paraId="5827C42B" w14:textId="5CB189BA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Avaliação do ganho de persistência</w:t>
            </w:r>
          </w:p>
        </w:tc>
        <w:tc>
          <w:tcPr>
            <w:tcW w:w="3022" w:type="dxa"/>
            <w:tcBorders>
              <w:top w:val="single" w:sz="4" w:space="0" w:color="auto"/>
            </w:tcBorders>
            <w:vAlign w:val="center"/>
          </w:tcPr>
          <w:p w14:paraId="089D9BF0" w14:textId="21FD83E2" w:rsidR="00405F58" w:rsidRP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405F58">
              <w:rPr>
                <w:sz w:val="20"/>
                <w:szCs w:val="20"/>
                <w:lang w:val="en-US"/>
              </w:rPr>
              <w:t xml:space="preserve">CALMON </w:t>
            </w:r>
            <w:r w:rsidRPr="00405F58">
              <w:rPr>
                <w:i/>
                <w:iCs/>
                <w:sz w:val="20"/>
                <w:szCs w:val="20"/>
                <w:lang w:val="en-US"/>
              </w:rPr>
              <w:t>et al</w:t>
            </w:r>
            <w:r w:rsidRPr="00405F58">
              <w:rPr>
                <w:sz w:val="20"/>
                <w:szCs w:val="20"/>
                <w:lang w:val="en-US"/>
              </w:rPr>
              <w:t>., 2021; CHAUDHARY; OLI, 2020</w:t>
            </w:r>
          </w:p>
        </w:tc>
      </w:tr>
      <w:tr w:rsidR="00405F58" w14:paraId="10C4EDB3" w14:textId="77777777" w:rsidTr="00405F58">
        <w:trPr>
          <w:jc w:val="center"/>
        </w:trPr>
        <w:tc>
          <w:tcPr>
            <w:tcW w:w="3021" w:type="dxa"/>
            <w:vAlign w:val="center"/>
          </w:tcPr>
          <w:p w14:paraId="7826ECF9" w14:textId="15B92A61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Estimativa de MVP</w:t>
            </w:r>
          </w:p>
        </w:tc>
        <w:tc>
          <w:tcPr>
            <w:tcW w:w="3022" w:type="dxa"/>
            <w:vAlign w:val="center"/>
          </w:tcPr>
          <w:p w14:paraId="085DF5F6" w14:textId="7B9B8455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Meta de manejo populacional</w:t>
            </w:r>
          </w:p>
        </w:tc>
        <w:tc>
          <w:tcPr>
            <w:tcW w:w="3022" w:type="dxa"/>
            <w:vAlign w:val="center"/>
          </w:tcPr>
          <w:p w14:paraId="17B18841" w14:textId="18309A75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SÁNCHEZ, 2020</w:t>
            </w:r>
          </w:p>
        </w:tc>
      </w:tr>
      <w:tr w:rsidR="00405F58" w14:paraId="798925F2" w14:textId="77777777" w:rsidTr="00405F58">
        <w:trPr>
          <w:jc w:val="center"/>
        </w:trPr>
        <w:tc>
          <w:tcPr>
            <w:tcW w:w="3021" w:type="dxa"/>
            <w:vAlign w:val="center"/>
          </w:tcPr>
          <w:p w14:paraId="6DDF9576" w14:textId="1BA22B6F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Cenários de manejo (restauração, plantio)</w:t>
            </w:r>
          </w:p>
        </w:tc>
        <w:tc>
          <w:tcPr>
            <w:tcW w:w="3022" w:type="dxa"/>
            <w:vAlign w:val="center"/>
          </w:tcPr>
          <w:p w14:paraId="3575BADE" w14:textId="37690C41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Definição de prioridades e custos</w:t>
            </w:r>
          </w:p>
        </w:tc>
        <w:tc>
          <w:tcPr>
            <w:tcW w:w="3022" w:type="dxa"/>
            <w:vAlign w:val="center"/>
          </w:tcPr>
          <w:p w14:paraId="008E98D0" w14:textId="5407E5AA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DESBIEZ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 xml:space="preserve">., 2020; MONTEIRO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>., 2022</w:t>
            </w:r>
          </w:p>
        </w:tc>
      </w:tr>
      <w:tr w:rsidR="00405F58" w14:paraId="436EAB58" w14:textId="77777777" w:rsidTr="00405F58">
        <w:trPr>
          <w:jc w:val="center"/>
        </w:trPr>
        <w:tc>
          <w:tcPr>
            <w:tcW w:w="3021" w:type="dxa"/>
            <w:vAlign w:val="center"/>
          </w:tcPr>
          <w:p w14:paraId="1D81B293" w14:textId="4E02929C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Integração com monitoramento genético</w:t>
            </w:r>
          </w:p>
        </w:tc>
        <w:tc>
          <w:tcPr>
            <w:tcW w:w="3022" w:type="dxa"/>
            <w:vAlign w:val="center"/>
          </w:tcPr>
          <w:p w14:paraId="13AC6196" w14:textId="53BF3B12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Deteção precoce de perda de variabilidade</w:t>
            </w:r>
          </w:p>
        </w:tc>
        <w:tc>
          <w:tcPr>
            <w:tcW w:w="3022" w:type="dxa"/>
            <w:vAlign w:val="center"/>
          </w:tcPr>
          <w:p w14:paraId="57286319" w14:textId="6A49F78E" w:rsidR="00405F58" w:rsidRDefault="00405F58" w:rsidP="00405F5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MONTEIRO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 xml:space="preserve">., 2022; VITORINO </w:t>
            </w:r>
            <w:r>
              <w:rPr>
                <w:i/>
                <w:iCs/>
                <w:sz w:val="20"/>
                <w:szCs w:val="20"/>
              </w:rPr>
              <w:t>et al</w:t>
            </w:r>
            <w:r>
              <w:rPr>
                <w:sz w:val="20"/>
                <w:szCs w:val="20"/>
              </w:rPr>
              <w:t>., 2020</w:t>
            </w:r>
          </w:p>
        </w:tc>
      </w:tr>
    </w:tbl>
    <w:p w14:paraId="3D8AE2D4" w14:textId="77777777" w:rsidR="00174528" w:rsidRDefault="00387297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Fonte</w:t>
      </w:r>
      <w:r>
        <w:rPr>
          <w:sz w:val="24"/>
          <w:szCs w:val="24"/>
        </w:rPr>
        <w:t>: Autores (2025).</w:t>
      </w:r>
    </w:p>
    <w:p w14:paraId="142CB99B" w14:textId="77777777" w:rsidR="00174528" w:rsidRDefault="00387297">
      <w:pPr>
        <w:pStyle w:val="Ttulo3"/>
        <w:spacing w:line="360" w:lineRule="auto"/>
        <w:jc w:val="both"/>
        <w:rPr>
          <w:sz w:val="24"/>
          <w:szCs w:val="24"/>
        </w:rPr>
      </w:pPr>
      <w:bookmarkStart w:id="3" w:name="_heading=h.l9foneqtgirh" w:colFirst="0" w:colLast="0"/>
      <w:bookmarkEnd w:id="3"/>
      <w:r>
        <w:rPr>
          <w:sz w:val="24"/>
          <w:szCs w:val="24"/>
        </w:rPr>
        <w:t>3.3. Integração dos conceitos com o contexto socioambiental do Parque Arara-Azul</w:t>
      </w:r>
    </w:p>
    <w:p w14:paraId="079F29C1" w14:textId="0FE36FFF" w:rsidR="000D2940" w:rsidRPr="000D2940" w:rsidRDefault="000D2940" w:rsidP="000D2940">
      <w:pPr>
        <w:spacing w:line="360" w:lineRule="auto"/>
        <w:ind w:firstLine="709"/>
        <w:jc w:val="both"/>
        <w:rPr>
          <w:sz w:val="24"/>
          <w:szCs w:val="24"/>
        </w:rPr>
      </w:pPr>
      <w:r w:rsidRPr="000D2940">
        <w:rPr>
          <w:sz w:val="24"/>
          <w:szCs w:val="24"/>
        </w:rPr>
        <w:t xml:space="preserve">A aplicação dos conceitos anteriores ao Parque Arara-Azul (≈ 32 ha, formato alongado, </w:t>
      </w:r>
      <w:r w:rsidRPr="000D2940">
        <w:rPr>
          <w:sz w:val="24"/>
          <w:szCs w:val="24"/>
        </w:rPr>
        <w:lastRenderedPageBreak/>
        <w:t>alta proporção de borda e matriz urbana intensa) indica um quadro de vulnerabilidade compatível com o vórtice descrito. Observações e evidências indiretas (carência de inventário detalhado; relatos de declínio de epífitas e redução de forófitos) permitem associar os riscos apontados pela literatura com a situação local (G</w:t>
      </w:r>
      <w:r w:rsidR="0074569F" w:rsidRPr="000D2940">
        <w:rPr>
          <w:sz w:val="24"/>
          <w:szCs w:val="24"/>
        </w:rPr>
        <w:t>raça</w:t>
      </w:r>
      <w:r w:rsidRPr="000D2940">
        <w:rPr>
          <w:sz w:val="24"/>
          <w:szCs w:val="24"/>
        </w:rPr>
        <w:t>; T</w:t>
      </w:r>
      <w:r w:rsidR="0074569F" w:rsidRPr="000D2940">
        <w:rPr>
          <w:sz w:val="24"/>
          <w:szCs w:val="24"/>
        </w:rPr>
        <w:t>elles</w:t>
      </w:r>
      <w:r w:rsidRPr="000D2940">
        <w:rPr>
          <w:sz w:val="24"/>
          <w:szCs w:val="24"/>
        </w:rPr>
        <w:t>, 2020; R</w:t>
      </w:r>
      <w:r w:rsidR="0074569F" w:rsidRPr="000D2940">
        <w:rPr>
          <w:sz w:val="24"/>
          <w:szCs w:val="24"/>
        </w:rPr>
        <w:t>ocha</w:t>
      </w:r>
      <w:r w:rsidRPr="000D2940">
        <w:rPr>
          <w:sz w:val="24"/>
          <w:szCs w:val="24"/>
        </w:rPr>
        <w:t xml:space="preserve"> </w:t>
      </w:r>
      <w:r w:rsidRPr="000D2940">
        <w:rPr>
          <w:i/>
          <w:iCs/>
          <w:sz w:val="24"/>
          <w:szCs w:val="24"/>
        </w:rPr>
        <w:t>et al</w:t>
      </w:r>
      <w:r w:rsidRPr="000D2940">
        <w:rPr>
          <w:sz w:val="24"/>
          <w:szCs w:val="24"/>
        </w:rPr>
        <w:t>., 2024; SI</w:t>
      </w:r>
      <w:r w:rsidR="0074569F" w:rsidRPr="000D2940">
        <w:rPr>
          <w:sz w:val="24"/>
          <w:szCs w:val="24"/>
        </w:rPr>
        <w:t>lva</w:t>
      </w:r>
      <w:r w:rsidRPr="000D2940">
        <w:rPr>
          <w:sz w:val="24"/>
          <w:szCs w:val="24"/>
        </w:rPr>
        <w:t xml:space="preserve"> </w:t>
      </w:r>
      <w:r w:rsidRPr="000D2940">
        <w:rPr>
          <w:i/>
          <w:iCs/>
          <w:sz w:val="24"/>
          <w:szCs w:val="24"/>
        </w:rPr>
        <w:t>et al</w:t>
      </w:r>
      <w:r w:rsidRPr="000D2940">
        <w:rPr>
          <w:sz w:val="24"/>
          <w:szCs w:val="24"/>
        </w:rPr>
        <w:t>., 2019).</w:t>
      </w:r>
    </w:p>
    <w:p w14:paraId="329082BB" w14:textId="2F334849" w:rsidR="00174528" w:rsidRDefault="0038729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Exemplo aplicado, epífitas</w:t>
      </w:r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estudos de fragmentos urbanos mostram relação positiva entre DAP/idade do forófito e riqueza de epífitas; perda de forófitos e bordadura reduzem diretamente nichos para epífitas (R</w:t>
      </w:r>
      <w:r w:rsidR="0074569F">
        <w:rPr>
          <w:sz w:val="24"/>
          <w:szCs w:val="24"/>
        </w:rPr>
        <w:t>ocha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., 2024). Assim, espécies locais sensíveis, como </w:t>
      </w:r>
      <w:r w:rsidR="00F51CE0" w:rsidRPr="00F51CE0">
        <w:rPr>
          <w:i/>
          <w:iCs/>
          <w:sz w:val="24"/>
          <w:szCs w:val="24"/>
        </w:rPr>
        <w:t>Erythroxylum ayrtonianum</w:t>
      </w:r>
      <w:r w:rsidR="00F51CE0">
        <w:rPr>
          <w:sz w:val="24"/>
          <w:szCs w:val="24"/>
        </w:rPr>
        <w:t xml:space="preserve"> </w:t>
      </w:r>
      <w:r>
        <w:rPr>
          <w:sz w:val="24"/>
          <w:szCs w:val="24"/>
        </w:rPr>
        <w:t>(airtonianum), são esperadas a declinar quando há remoção de árvores hospedeiras, diminuição da umidade e aumento da radiação solar, fenômenos fortemente descritos para áreas urbanas (R</w:t>
      </w:r>
      <w:r w:rsidR="0074569F">
        <w:rPr>
          <w:sz w:val="24"/>
          <w:szCs w:val="24"/>
        </w:rPr>
        <w:t>ocha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2024; S</w:t>
      </w:r>
      <w:r w:rsidR="0074569F">
        <w:rPr>
          <w:sz w:val="24"/>
          <w:szCs w:val="24"/>
        </w:rPr>
        <w:t>ilva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2019).</w:t>
      </w:r>
    </w:p>
    <w:p w14:paraId="6CF411E7" w14:textId="4AD3C11B" w:rsidR="00174528" w:rsidRDefault="0038729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articulação entre ciência e gestão municipal é essencial, evidências sobre vulnerabilidade devem ser traduzidas em medidas práticas através de políticas locais, educação ambiental e envolvimento comunitário (G</w:t>
      </w:r>
      <w:r w:rsidR="0074569F">
        <w:rPr>
          <w:sz w:val="24"/>
          <w:szCs w:val="24"/>
        </w:rPr>
        <w:t>iaretta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2012; LOPES; S</w:t>
      </w:r>
      <w:r w:rsidR="0074569F">
        <w:rPr>
          <w:sz w:val="24"/>
          <w:szCs w:val="24"/>
        </w:rPr>
        <w:t>elles</w:t>
      </w:r>
      <w:r>
        <w:rPr>
          <w:sz w:val="24"/>
          <w:szCs w:val="24"/>
        </w:rPr>
        <w:t>, 2024). Além disso, iniciativas de governança que integrem instituições locais e estaduais são recomendadas para viabilizar ações de maior escala (P</w:t>
      </w:r>
      <w:r w:rsidR="0074569F">
        <w:rPr>
          <w:sz w:val="24"/>
          <w:szCs w:val="24"/>
        </w:rPr>
        <w:t>rimack</w:t>
      </w:r>
      <w:r>
        <w:rPr>
          <w:sz w:val="24"/>
          <w:szCs w:val="24"/>
        </w:rPr>
        <w:t>; R</w:t>
      </w:r>
      <w:r w:rsidR="0074569F">
        <w:rPr>
          <w:sz w:val="24"/>
          <w:szCs w:val="24"/>
        </w:rPr>
        <w:t>odrigues</w:t>
      </w:r>
      <w:r>
        <w:rPr>
          <w:sz w:val="24"/>
          <w:szCs w:val="24"/>
        </w:rPr>
        <w:t>, 2001).</w:t>
      </w:r>
    </w:p>
    <w:p w14:paraId="3E3E1A18" w14:textId="77777777" w:rsidR="00405F58" w:rsidRDefault="00405F58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sz w:val="24"/>
          <w:szCs w:val="24"/>
        </w:rPr>
      </w:pPr>
    </w:p>
    <w:p w14:paraId="765C88E3" w14:textId="77777777" w:rsidR="00174528" w:rsidRDefault="00387297">
      <w:pPr>
        <w:widowControl/>
        <w:numPr>
          <w:ilvl w:val="0"/>
          <w:numId w:val="2"/>
        </w:numPr>
        <w:tabs>
          <w:tab w:val="left" w:pos="1290"/>
        </w:tabs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CONCLUSÃO </w:t>
      </w:r>
    </w:p>
    <w:p w14:paraId="797DAC60" w14:textId="38A40293" w:rsidR="00174528" w:rsidRPr="0074569F" w:rsidRDefault="00387297" w:rsidP="0074569F">
      <w:pPr>
        <w:widowControl/>
        <w:tabs>
          <w:tab w:val="left" w:pos="69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estudo evidenciou a criticidade da situação de populações arbóreas em fragmentos urbanos, como o Parque Arara-Azul em Imperatriz (MA), que se encontra sob a ameaça iminente do vórtice de extinção. A análise da literatura, atualizada com pesquisas recentes, confirmam que a fragmentação de habitat leva à perda de variabilidade genética e ao aumento da endogamia, comprometendo a resiliência das espécies a longo prazo. A aplicação de ferramentas como a Análise de Viabilidade Populacional (AVP) não é apenas uma recomendação teórica, mas uma necessidade prática para subsidiar planos de manejo que possam efetivamente mitigar os riscos de extinção local. A pesquisa demonstrou que, embora o cenário seja desafiador, estratégias focadas na restauração da conectividade ecológica, por meio de corredores verdes, e no monitoramento genético contínuo, são fundamentais para reverter o declínio populacional. Conclui-se que a conservação da biodiversidade em paisagens urbanas depende de uma abordagem multifacetada, que integre o rigor científico da biologia da </w:t>
      </w:r>
      <w:r>
        <w:rPr>
          <w:sz w:val="24"/>
          <w:szCs w:val="24"/>
        </w:rPr>
        <w:lastRenderedPageBreak/>
        <w:t>conservação com o engajamento social e políticas públicas eficazes. A sobrevivência de espécies no Parque Arara-Azul, e em contextos similares, está intrinsecamente ligada à capacidade de se planejar e executar ações que transcendam os limites do parque, promovendo a conectividade da paisagem e a conscientização da comunidade sobre seu papel como guardiã da biodiversidade local.</w:t>
      </w:r>
    </w:p>
    <w:p w14:paraId="654AD4BC" w14:textId="77777777" w:rsidR="00174528" w:rsidRPr="004456DC" w:rsidRDefault="00387297">
      <w:pPr>
        <w:widowControl/>
        <w:tabs>
          <w:tab w:val="left" w:pos="1290"/>
        </w:tabs>
        <w:jc w:val="both"/>
        <w:rPr>
          <w:sz w:val="24"/>
          <w:szCs w:val="24"/>
        </w:rPr>
      </w:pPr>
      <w:r w:rsidRPr="004456DC">
        <w:rPr>
          <w:b/>
          <w:bCs/>
          <w:sz w:val="24"/>
          <w:szCs w:val="24"/>
        </w:rPr>
        <w:t xml:space="preserve">REFERÊNCIAS </w:t>
      </w:r>
    </w:p>
    <w:p w14:paraId="02D025DD" w14:textId="77777777" w:rsidR="00174528" w:rsidRPr="004456DC" w:rsidRDefault="00174528">
      <w:pPr>
        <w:rPr>
          <w:sz w:val="24"/>
          <w:szCs w:val="24"/>
        </w:rPr>
      </w:pPr>
    </w:p>
    <w:p w14:paraId="5136D554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AUGUSTO, C. A; SOUZA, J. P de; DELLAGNELO, E. H. L; CARIO, S. A. F. Pesquisa Qualitativa: rigor metodológico no tratamento da teoria dos custos de transação em artigos apresentados nos congressos da Sober (2007-2011). </w:t>
      </w:r>
      <w:r>
        <w:rPr>
          <w:b/>
          <w:bCs/>
          <w:sz w:val="24"/>
          <w:szCs w:val="24"/>
        </w:rPr>
        <w:t>Revista de Economia e Sociologia Rural</w:t>
      </w:r>
      <w:r>
        <w:rPr>
          <w:sz w:val="24"/>
          <w:szCs w:val="24"/>
        </w:rPr>
        <w:t>, v. 51, n. 4, p. 745-764, dez. 2013.</w:t>
      </w:r>
    </w:p>
    <w:p w14:paraId="3FA2D2B4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CALMON, M. Restauração de florestas e paisagens em larga escala: O Brasil na liderança global. </w:t>
      </w:r>
      <w:r>
        <w:rPr>
          <w:b/>
          <w:bCs/>
          <w:sz w:val="24"/>
          <w:szCs w:val="24"/>
        </w:rPr>
        <w:t>Ciência e Cultura</w:t>
      </w:r>
      <w:r>
        <w:rPr>
          <w:sz w:val="24"/>
          <w:szCs w:val="24"/>
        </w:rPr>
        <w:t>, São Paulo, v. 73, n. 1, p. 9-14, jan/mar. 2021.</w:t>
      </w:r>
    </w:p>
    <w:p w14:paraId="647A1F67" w14:textId="77777777" w:rsidR="00405F58" w:rsidRPr="004456DC" w:rsidRDefault="00405F58" w:rsidP="00405F58">
      <w:pPr>
        <w:spacing w:after="240"/>
        <w:jc w:val="both"/>
        <w:rPr>
          <w:sz w:val="24"/>
          <w:szCs w:val="24"/>
        </w:rPr>
      </w:pPr>
      <w:r w:rsidRPr="00405F58">
        <w:rPr>
          <w:sz w:val="24"/>
          <w:szCs w:val="24"/>
          <w:lang w:val="en-US"/>
        </w:rPr>
        <w:t xml:space="preserve">CANDIDO, H. M. N; ENDRENY, T. A; CARVALHO, F. A. Benefits Provided by Urban Vegetation in Brazilian Cities. </w:t>
      </w:r>
      <w:r w:rsidRPr="004456DC">
        <w:rPr>
          <w:b/>
          <w:bCs/>
          <w:sz w:val="24"/>
          <w:szCs w:val="24"/>
        </w:rPr>
        <w:t>Plants</w:t>
      </w:r>
      <w:r w:rsidRPr="004456DC">
        <w:rPr>
          <w:sz w:val="24"/>
          <w:szCs w:val="24"/>
        </w:rPr>
        <w:t>, v. 14, n. 3, p. 392, 2025.</w:t>
      </w:r>
    </w:p>
    <w:p w14:paraId="3C138E5B" w14:textId="06F8A8A5" w:rsidR="00405F58" w:rsidRPr="004456DC" w:rsidRDefault="00405F58" w:rsidP="00405F58">
      <w:pPr>
        <w:spacing w:after="24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CELENTANO, D; MIRANDA, M. V. C; MENDONÇA, E. N. Desmatamento, degradação e violência no “Mosaico Gurupi” - A região mais ameaçada da Amazônia. </w:t>
      </w:r>
      <w:r w:rsidRPr="004456DC">
        <w:rPr>
          <w:b/>
          <w:bCs/>
          <w:sz w:val="24"/>
          <w:szCs w:val="24"/>
          <w:lang w:val="en-US"/>
        </w:rPr>
        <w:t>Estudos Avançados</w:t>
      </w:r>
      <w:r w:rsidRPr="004456DC">
        <w:rPr>
          <w:sz w:val="24"/>
          <w:szCs w:val="24"/>
          <w:lang w:val="en-US"/>
        </w:rPr>
        <w:t xml:space="preserve">, v. 32, n. 92, p. 315-339, </w:t>
      </w:r>
      <w:r w:rsidR="0074569F" w:rsidRPr="004456DC">
        <w:rPr>
          <w:sz w:val="24"/>
          <w:szCs w:val="24"/>
          <w:lang w:val="en-US"/>
        </w:rPr>
        <w:t>jan. /</w:t>
      </w:r>
      <w:r w:rsidRPr="004456DC">
        <w:rPr>
          <w:sz w:val="24"/>
          <w:szCs w:val="24"/>
          <w:lang w:val="en-US"/>
        </w:rPr>
        <w:t>abr. 2018.</w:t>
      </w:r>
    </w:p>
    <w:p w14:paraId="55490E07" w14:textId="77777777" w:rsidR="00405F58" w:rsidRPr="006F7820" w:rsidRDefault="00405F58" w:rsidP="00405F58">
      <w:pPr>
        <w:spacing w:after="240"/>
        <w:jc w:val="both"/>
        <w:rPr>
          <w:sz w:val="24"/>
          <w:szCs w:val="24"/>
          <w:lang w:val="en-US"/>
        </w:rPr>
      </w:pPr>
      <w:r w:rsidRPr="006F7820">
        <w:rPr>
          <w:sz w:val="24"/>
          <w:szCs w:val="24"/>
          <w:lang w:val="en-US"/>
        </w:rPr>
        <w:t xml:space="preserve">CHAUDHARY, V; OLI, M. K. A critical appraisal of population viability analysis. </w:t>
      </w:r>
      <w:r w:rsidRPr="006F7820">
        <w:rPr>
          <w:b/>
          <w:bCs/>
          <w:sz w:val="24"/>
          <w:szCs w:val="24"/>
          <w:lang w:val="en-US"/>
        </w:rPr>
        <w:t>Conservation Biology</w:t>
      </w:r>
      <w:r w:rsidRPr="006F7820">
        <w:rPr>
          <w:sz w:val="24"/>
          <w:szCs w:val="24"/>
          <w:lang w:val="en-US"/>
        </w:rPr>
        <w:t>, v. 34, n. 1, p. 26-40, 4 jun. 2019.</w:t>
      </w:r>
    </w:p>
    <w:p w14:paraId="6EABFBA1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 w:rsidRPr="006F7820">
        <w:rPr>
          <w:sz w:val="24"/>
          <w:szCs w:val="24"/>
          <w:lang w:val="en-US"/>
        </w:rPr>
        <w:t xml:space="preserve">DESBIEZ, A. L. J. BERTASSONI, A. TRAYLOR-HOLZER, K. Population viability analysis as a tool for giant anteater conservation. </w:t>
      </w:r>
      <w:r w:rsidRPr="006F7820">
        <w:rPr>
          <w:b/>
          <w:bCs/>
          <w:sz w:val="24"/>
          <w:szCs w:val="24"/>
          <w:lang w:val="en-US"/>
        </w:rPr>
        <w:t>Perspectives in Ecology and Conservation</w:t>
      </w:r>
      <w:r w:rsidRPr="006F7820">
        <w:rPr>
          <w:sz w:val="24"/>
          <w:szCs w:val="24"/>
          <w:lang w:val="en-US"/>
        </w:rPr>
        <w:t xml:space="preserve">, v. 18, n. 2, p. 124-131, 30 de maio. </w:t>
      </w:r>
      <w:r>
        <w:rPr>
          <w:sz w:val="24"/>
          <w:szCs w:val="24"/>
        </w:rPr>
        <w:t>2020.</w:t>
      </w:r>
    </w:p>
    <w:p w14:paraId="56E14E91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GIARETTA, J. B. Z; FERNANDES, V; PHILIPPI JR, A. Desafios e condicionantes da participação social na gestão ambiental municipal no Brasil. </w:t>
      </w:r>
      <w:r>
        <w:rPr>
          <w:b/>
          <w:bCs/>
          <w:sz w:val="24"/>
          <w:szCs w:val="24"/>
        </w:rPr>
        <w:t>Organizações &amp; Sociedade</w:t>
      </w:r>
      <w:r>
        <w:rPr>
          <w:sz w:val="24"/>
          <w:szCs w:val="24"/>
        </w:rPr>
        <w:t>, v. 19, n. 62, p. 527-548, set. 2012.</w:t>
      </w:r>
    </w:p>
    <w:p w14:paraId="1C8FECEA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GRAÇA, P. K. C.; TELLES, F. P. A importância dos parques urbanos para a manutenção da biodiversidade e benefícios socioambientais: uma análise realizada no Parque do Flamengo (Rio de Janeiro). </w:t>
      </w:r>
      <w:r>
        <w:rPr>
          <w:b/>
          <w:bCs/>
          <w:sz w:val="24"/>
          <w:szCs w:val="24"/>
        </w:rPr>
        <w:t>Revista Brasileira de Ecoturismo</w:t>
      </w:r>
      <w:r>
        <w:rPr>
          <w:sz w:val="24"/>
          <w:szCs w:val="24"/>
        </w:rPr>
        <w:t>, São Paulo, v. 13, n. 5, p. 741-765, nov. 2020 - jan. 2021.</w:t>
      </w:r>
    </w:p>
    <w:p w14:paraId="5880977C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 w:rsidRPr="006F7820">
        <w:rPr>
          <w:sz w:val="24"/>
          <w:szCs w:val="24"/>
          <w:lang w:val="en-US"/>
        </w:rPr>
        <w:t xml:space="preserve">HATFIELD, J. H; ORME, C. D. L; BANKS-LEITE, C. Using functional connectivity to predict potential meta-population sizes in the Brazilian Atlantic Forest. </w:t>
      </w:r>
      <w:r>
        <w:rPr>
          <w:b/>
          <w:bCs/>
          <w:sz w:val="24"/>
          <w:szCs w:val="24"/>
        </w:rPr>
        <w:t>Perspectives in Ecology and Conservation</w:t>
      </w:r>
      <w:r>
        <w:rPr>
          <w:sz w:val="24"/>
          <w:szCs w:val="24"/>
        </w:rPr>
        <w:t>, v. 16, n. 2, p. 215-220, 10 nov. 2018.</w:t>
      </w:r>
    </w:p>
    <w:p w14:paraId="58405F04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LOPES, L. C. M; SELLES, S. L. E. Potencialidades pedagógicas das áreas verdes urbanas: </w:t>
      </w:r>
      <w:r>
        <w:rPr>
          <w:sz w:val="24"/>
          <w:szCs w:val="24"/>
        </w:rPr>
        <w:lastRenderedPageBreak/>
        <w:t xml:space="preserve">como integrar a conservação da biodiversidade à educação ambiental? </w:t>
      </w:r>
      <w:r>
        <w:rPr>
          <w:b/>
          <w:bCs/>
          <w:sz w:val="24"/>
          <w:szCs w:val="24"/>
        </w:rPr>
        <w:t>Ambiente &amp; Educação: Revista de Educação Ambiental</w:t>
      </w:r>
      <w:r>
        <w:rPr>
          <w:sz w:val="24"/>
          <w:szCs w:val="24"/>
        </w:rPr>
        <w:t>, v. 29, n. 1, jan/abr. 2024.</w:t>
      </w:r>
    </w:p>
    <w:p w14:paraId="3889F6AB" w14:textId="77777777" w:rsidR="00405F58" w:rsidRPr="006F7820" w:rsidRDefault="00405F58" w:rsidP="00405F58">
      <w:pPr>
        <w:spacing w:after="240"/>
        <w:jc w:val="both"/>
        <w:rPr>
          <w:sz w:val="24"/>
          <w:szCs w:val="24"/>
          <w:lang w:val="en-US"/>
        </w:rPr>
      </w:pPr>
      <w:r w:rsidRPr="006F7820">
        <w:rPr>
          <w:sz w:val="24"/>
          <w:szCs w:val="24"/>
          <w:lang w:val="en-US"/>
        </w:rPr>
        <w:t xml:space="preserve">MAWASS, W.; MATHESON, J; HERNÁNDEZ, U; BERG, J; MASEL, J.  Extinction vortices are driven more by a shortage of beneficial mutations than by deleterious mutation accumulation. </w:t>
      </w:r>
      <w:r w:rsidRPr="006F7820">
        <w:rPr>
          <w:b/>
          <w:bCs/>
          <w:sz w:val="24"/>
          <w:szCs w:val="24"/>
          <w:lang w:val="en-US"/>
        </w:rPr>
        <w:t>bioRxiv</w:t>
      </w:r>
      <w:r w:rsidRPr="006F7820">
        <w:rPr>
          <w:sz w:val="24"/>
          <w:szCs w:val="24"/>
          <w:lang w:val="en-US"/>
        </w:rPr>
        <w:t>, 2025.</w:t>
      </w:r>
    </w:p>
    <w:p w14:paraId="1FC8CC46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MONTEIRO, W. P.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 </w:t>
      </w:r>
      <w:r w:rsidRPr="006F7820">
        <w:rPr>
          <w:sz w:val="24"/>
          <w:szCs w:val="24"/>
          <w:lang w:val="en-US"/>
        </w:rPr>
        <w:t xml:space="preserve">Genetic diversity and structure of an endangered medicinal plant species (Pilocarpus microphyllus) in eastern Amazon: implications for conservation. </w:t>
      </w:r>
      <w:r>
        <w:rPr>
          <w:b/>
          <w:bCs/>
          <w:sz w:val="24"/>
          <w:szCs w:val="24"/>
        </w:rPr>
        <w:t>Conservation Genetics</w:t>
      </w:r>
      <w:r>
        <w:rPr>
          <w:sz w:val="24"/>
          <w:szCs w:val="24"/>
        </w:rPr>
        <w:t>, v. 23, p. 1-14, 4 jun. 2022.</w:t>
      </w:r>
    </w:p>
    <w:p w14:paraId="75515E36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NUNES, M. M; LEHN, C. R. Educação ambiental e preservação da biodiversidade. </w:t>
      </w:r>
      <w:r>
        <w:rPr>
          <w:b/>
          <w:bCs/>
          <w:sz w:val="24"/>
          <w:szCs w:val="24"/>
        </w:rPr>
        <w:t>Revista Brasileira de Educação Ambiental</w:t>
      </w:r>
      <w:r>
        <w:rPr>
          <w:sz w:val="24"/>
          <w:szCs w:val="24"/>
        </w:rPr>
        <w:t>, v. 17, n. 6, p. 498-511, 2022.</w:t>
      </w:r>
    </w:p>
    <w:p w14:paraId="4D983414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 w:rsidRPr="00405F58">
        <w:rPr>
          <w:sz w:val="24"/>
          <w:szCs w:val="24"/>
        </w:rPr>
        <w:t xml:space="preserve">PARREIRA, B. R. </w:t>
      </w:r>
      <w:r w:rsidRPr="00405F58">
        <w:rPr>
          <w:i/>
          <w:iCs/>
          <w:sz w:val="24"/>
          <w:szCs w:val="24"/>
        </w:rPr>
        <w:t>et al</w:t>
      </w:r>
      <w:r w:rsidRPr="00405F58">
        <w:rPr>
          <w:sz w:val="24"/>
          <w:szCs w:val="24"/>
        </w:rPr>
        <w:t>. </w:t>
      </w:r>
      <w:r w:rsidRPr="006F7820">
        <w:rPr>
          <w:sz w:val="24"/>
          <w:szCs w:val="24"/>
          <w:lang w:val="en-US"/>
        </w:rPr>
        <w:t xml:space="preserve">Q&amp;A: inbreeding and its implications for conservation. </w:t>
      </w:r>
      <w:r>
        <w:rPr>
          <w:b/>
          <w:bCs/>
          <w:sz w:val="24"/>
          <w:szCs w:val="24"/>
        </w:rPr>
        <w:t>BMC Biology</w:t>
      </w:r>
      <w:r>
        <w:rPr>
          <w:sz w:val="24"/>
          <w:szCs w:val="24"/>
        </w:rPr>
        <w:t>, v. 23, n. 1, p. 1-6, 2025.</w:t>
      </w:r>
    </w:p>
    <w:p w14:paraId="6312C3D9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PRIMACK, R. B; RODRIGUES, E. 2001. </w:t>
      </w:r>
      <w:r>
        <w:rPr>
          <w:b/>
          <w:bCs/>
          <w:sz w:val="24"/>
          <w:szCs w:val="24"/>
        </w:rPr>
        <w:t>Biologia da Conservação</w:t>
      </w:r>
      <w:r>
        <w:rPr>
          <w:sz w:val="24"/>
          <w:szCs w:val="24"/>
        </w:rPr>
        <w:t>. Londrina: Editora Planta, 327 p.</w:t>
      </w:r>
    </w:p>
    <w:p w14:paraId="61F03AD7" w14:textId="77777777" w:rsidR="00405F58" w:rsidRPr="004456DC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RABELO, T. O; CARVALHO, U. S de; SOUSA, F. C; CANDIDO, D. S; NASCIMENTO, A. L. B do; ALMEIDA JUNIOR, E. B de. </w:t>
      </w:r>
      <w:r w:rsidRPr="006F7820">
        <w:rPr>
          <w:sz w:val="24"/>
          <w:szCs w:val="24"/>
          <w:lang w:val="en-US"/>
        </w:rPr>
        <w:t xml:space="preserve">Overview of the Amazonian vegetation in Maranhão: floristic richness of Anajatuba. </w:t>
      </w:r>
      <w:r w:rsidRPr="004456DC">
        <w:rPr>
          <w:b/>
          <w:bCs/>
          <w:sz w:val="24"/>
          <w:szCs w:val="24"/>
        </w:rPr>
        <w:t>Rodriguésia</w:t>
      </w:r>
      <w:r w:rsidRPr="004456DC">
        <w:rPr>
          <w:sz w:val="24"/>
          <w:szCs w:val="24"/>
        </w:rPr>
        <w:t>, v. 76, e0312025, 2025.</w:t>
      </w:r>
    </w:p>
    <w:p w14:paraId="580E303B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ROCHA, D. F da; NERVO, M. H; BORGES, R. A .X; CADEMARTORI, C. V; BORDIGNON, S. A. L. Ecologia de epífitos vasculares em fragmento florestal urbano na região sul do Brasil. </w:t>
      </w:r>
      <w:r>
        <w:rPr>
          <w:b/>
          <w:bCs/>
          <w:sz w:val="24"/>
          <w:szCs w:val="24"/>
        </w:rPr>
        <w:t>Iheringia</w:t>
      </w:r>
      <w:r>
        <w:rPr>
          <w:sz w:val="24"/>
          <w:szCs w:val="24"/>
        </w:rPr>
        <w:t>, Série Botânica, v. 79, p. e20241249, 2024.</w:t>
      </w:r>
    </w:p>
    <w:p w14:paraId="335D3761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SÁNCHEZ, F. F. </w:t>
      </w:r>
      <w:r>
        <w:rPr>
          <w:b/>
          <w:bCs/>
          <w:sz w:val="24"/>
          <w:szCs w:val="24"/>
        </w:rPr>
        <w:t>Análises de Viabilidade Populacional no Planejamento para a Conservação do Mico-Leão-Preto</w:t>
      </w:r>
      <w:r>
        <w:rPr>
          <w:sz w:val="24"/>
          <w:szCs w:val="24"/>
        </w:rPr>
        <w:t>. 2020. 124 f. Dissertação (Mestrado em Conservação da Biodiversidade e Desenvolvimento Sustentável) – IPÊ, Nazaré Paulista, SP, 2020.</w:t>
      </w:r>
    </w:p>
    <w:p w14:paraId="1A2245F4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SILVA, A. L da; LONGO, R. M.; BRESSANE, A.; CARVALHO, M. F. H de. Classificação de fragmentos florestais urbanos com base em métricas da paisagem. </w:t>
      </w:r>
      <w:r>
        <w:rPr>
          <w:b/>
          <w:bCs/>
          <w:sz w:val="24"/>
          <w:szCs w:val="24"/>
        </w:rPr>
        <w:t>Ciência Florestal</w:t>
      </w:r>
      <w:r>
        <w:rPr>
          <w:sz w:val="24"/>
          <w:szCs w:val="24"/>
        </w:rPr>
        <w:t>, Santa Maria, v. 29, n. 3, p. 1254-1269, jul./set. 2019.</w:t>
      </w:r>
    </w:p>
    <w:p w14:paraId="2FE26095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SILVA, M. A. P da; EVANGELISTA, L. P.; SILVA, W. H. O.; SANTO, F. S. E. Diagnóstico e estratégias para a conservação ou restauração de nascentes em ambientes com ações antrópicas. </w:t>
      </w:r>
      <w:r>
        <w:rPr>
          <w:b/>
          <w:bCs/>
          <w:sz w:val="24"/>
          <w:szCs w:val="24"/>
        </w:rPr>
        <w:t>Ciência Florestal</w:t>
      </w:r>
      <w:r>
        <w:rPr>
          <w:sz w:val="24"/>
          <w:szCs w:val="24"/>
        </w:rPr>
        <w:t>, v. 34, n. 3, e71553, p. 2, 2024.</w:t>
      </w:r>
    </w:p>
    <w:p w14:paraId="1A9FFDC9" w14:textId="77777777" w:rsidR="00405F58" w:rsidRPr="006F7820" w:rsidRDefault="00405F58" w:rsidP="00405F58">
      <w:pPr>
        <w:spacing w:after="24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SOUZA, T. G.; VANCINE, M. H. Fragmentação de florestas reduz biodiversidade em todas as escalas, mostra estudo global. </w:t>
      </w:r>
      <w:r>
        <w:rPr>
          <w:b/>
          <w:bCs/>
          <w:sz w:val="24"/>
          <w:szCs w:val="24"/>
        </w:rPr>
        <w:t>The Conversation</w:t>
      </w:r>
      <w:r>
        <w:rPr>
          <w:sz w:val="24"/>
          <w:szCs w:val="24"/>
        </w:rPr>
        <w:t xml:space="preserve">, 12 mar. 2025. Disponível em: https://theconversation.com/fragmentacao-de-florestas-reduz-biodiversidade-em-todas-as-escalas-mostra-estudo-global-252096. </w:t>
      </w:r>
      <w:r w:rsidRPr="006F7820">
        <w:rPr>
          <w:sz w:val="24"/>
          <w:szCs w:val="24"/>
          <w:lang w:val="en-US"/>
        </w:rPr>
        <w:t>Acesso em: 17 nov. 2025.</w:t>
      </w:r>
    </w:p>
    <w:p w14:paraId="06D7D0B4" w14:textId="77777777" w:rsidR="00405F58" w:rsidRPr="004456DC" w:rsidRDefault="00405F58" w:rsidP="00405F58">
      <w:pPr>
        <w:spacing w:after="240"/>
        <w:jc w:val="both"/>
        <w:rPr>
          <w:sz w:val="24"/>
          <w:szCs w:val="24"/>
          <w:lang w:val="en-US"/>
        </w:rPr>
      </w:pPr>
      <w:r w:rsidRPr="006F7820">
        <w:rPr>
          <w:sz w:val="24"/>
          <w:szCs w:val="24"/>
          <w:lang w:val="en-US"/>
        </w:rPr>
        <w:t xml:space="preserve">VITORINO, L. C; REIS, M. N; BESSA, L. A; SOUZA, U. J. B de; SILVA, F. G. Landscape </w:t>
      </w:r>
      <w:r w:rsidRPr="006F7820">
        <w:rPr>
          <w:sz w:val="24"/>
          <w:szCs w:val="24"/>
          <w:lang w:val="en-US"/>
        </w:rPr>
        <w:lastRenderedPageBreak/>
        <w:t xml:space="preserve">and Climate Influence the Patterns of Genetic Diversity and Inbreeding in Cerrado Plant Species. </w:t>
      </w:r>
      <w:r w:rsidRPr="004456DC">
        <w:rPr>
          <w:b/>
          <w:bCs/>
          <w:sz w:val="24"/>
          <w:szCs w:val="24"/>
          <w:lang w:val="en-US"/>
        </w:rPr>
        <w:t>Diversity</w:t>
      </w:r>
      <w:r w:rsidRPr="004456DC">
        <w:rPr>
          <w:sz w:val="24"/>
          <w:szCs w:val="24"/>
          <w:lang w:val="en-US"/>
        </w:rPr>
        <w:t>, v. 12, n. 11, p. 421, 6 nov. 2020.</w:t>
      </w:r>
    </w:p>
    <w:p w14:paraId="206E4436" w14:textId="77777777" w:rsidR="00405F58" w:rsidRDefault="00405F58" w:rsidP="00405F58">
      <w:pPr>
        <w:spacing w:after="240"/>
        <w:jc w:val="both"/>
        <w:rPr>
          <w:sz w:val="24"/>
          <w:szCs w:val="24"/>
        </w:rPr>
      </w:pPr>
      <w:r w:rsidRPr="006F7820">
        <w:rPr>
          <w:sz w:val="24"/>
          <w:szCs w:val="24"/>
          <w:lang w:val="en-US"/>
        </w:rPr>
        <w:t xml:space="preserve">WILLIAMS, N. F; MCRAE, L; FREEMAN, R; CAPDEVILA, P; CLEMENTS, C. F. Scaling the extinction vortex: Body size as a predictor of population dynamics close to extinction events. </w:t>
      </w:r>
      <w:r>
        <w:rPr>
          <w:b/>
          <w:bCs/>
          <w:sz w:val="24"/>
          <w:szCs w:val="24"/>
        </w:rPr>
        <w:t>Ecology and Evolution</w:t>
      </w:r>
      <w:r>
        <w:rPr>
          <w:sz w:val="24"/>
          <w:szCs w:val="24"/>
        </w:rPr>
        <w:t>, v. 11, n. 11, p. 7069-7079, 2021.</w:t>
      </w:r>
    </w:p>
    <w:sectPr w:rsidR="00405F58">
      <w:headerReference w:type="default" r:id="rId9"/>
      <w:footerReference w:type="default" r:id="rId10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869D1" w14:textId="77777777" w:rsidR="0018229A" w:rsidRDefault="0018229A">
      <w:r>
        <w:separator/>
      </w:r>
    </w:p>
  </w:endnote>
  <w:endnote w:type="continuationSeparator" w:id="0">
    <w:p w14:paraId="4AC5A661" w14:textId="77777777" w:rsidR="0018229A" w:rsidRDefault="00182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8CB5B12-C6C2-457B-96BE-864FE971294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B881E092-AD25-46A9-AF79-29B6DD06AA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8E68FC-C975-4458-A739-8955483EDC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55983C6-B374-4DDA-BB41-3760702A95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3912" w14:textId="77777777" w:rsidR="00174528" w:rsidRDefault="003872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8BD69D" wp14:editId="4BB54337">
          <wp:simplePos x="0" y="0"/>
          <wp:positionH relativeFrom="column">
            <wp:posOffset>3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3E06A54" wp14:editId="535BC7B8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309C852" wp14:editId="2956A98A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CB2CC01" wp14:editId="72492E08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3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C77E9DB" wp14:editId="1F5367A1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3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DBB42B5" wp14:editId="73FB14EF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1FEEF" w14:textId="77777777" w:rsidR="0018229A" w:rsidRDefault="0018229A">
      <w:r>
        <w:separator/>
      </w:r>
    </w:p>
  </w:footnote>
  <w:footnote w:type="continuationSeparator" w:id="0">
    <w:p w14:paraId="0618731A" w14:textId="77777777" w:rsidR="0018229A" w:rsidRDefault="00182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F944F" w14:textId="77777777" w:rsidR="00174528" w:rsidRDefault="003872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285CCFC" wp14:editId="1215E200">
          <wp:extent cx="3253105" cy="1610360"/>
          <wp:effectExtent l="0" t="0" r="0" b="0"/>
          <wp:docPr id="2023691332" name="image7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64D0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73C444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22786905">
    <w:abstractNumId w:val="1"/>
  </w:num>
  <w:num w:numId="2" w16cid:durableId="160244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528"/>
    <w:rsid w:val="000D2940"/>
    <w:rsid w:val="00174528"/>
    <w:rsid w:val="0018229A"/>
    <w:rsid w:val="00387297"/>
    <w:rsid w:val="003A43A3"/>
    <w:rsid w:val="00405F58"/>
    <w:rsid w:val="004456DC"/>
    <w:rsid w:val="00632964"/>
    <w:rsid w:val="006A0A21"/>
    <w:rsid w:val="006F7820"/>
    <w:rsid w:val="0074569F"/>
    <w:rsid w:val="007F64AC"/>
    <w:rsid w:val="00857D85"/>
    <w:rsid w:val="00872BEC"/>
    <w:rsid w:val="00B7716A"/>
    <w:rsid w:val="00C03E40"/>
    <w:rsid w:val="00C655BF"/>
    <w:rsid w:val="00E80749"/>
    <w:rsid w:val="00F5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435E4"/>
  <w15:docId w15:val="{D8D97305-BFEF-7546-AC8C-56222269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2F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2F0B"/>
    <w:rPr>
      <w:b/>
      <w:bCs/>
      <w:sz w:val="20"/>
      <w:szCs w:val="20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405F58"/>
    <w:tblPr>
      <w:tblBorders>
        <w:top w:val="single" w:sz="4" w:space="0" w:color="auto"/>
        <w:bottom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LyTdKUzYJ026apDRrsT2mHszPQ==">CgMxLjAaFAoBMBIPCg0IB0IJEgdHdW5nc3VoMg5oLjVkc29vZGMwYXJkajIOaC5neGR3ZzI5Z2IwZjcyDmguc2Y5aGVndXZtcXl6Mg5oLmw5Zm9uZXF0Z2lyaDgAciExbE9IVzBocW9ZN0RkN2c0eXc0MmY3WU1hcGx1S0RDSVg=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3023</Words>
  <Characters>16329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Lísias Faria</dc:creator>
  <cp:lastModifiedBy>Marcos Vinicius Afonso Cabral</cp:lastModifiedBy>
  <cp:revision>5</cp:revision>
  <dcterms:created xsi:type="dcterms:W3CDTF">2025-12-03T17:42:00Z</dcterms:created>
  <dcterms:modified xsi:type="dcterms:W3CDTF">2025-12-03T23:39:00Z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