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92E43" w14:textId="77777777" w:rsidR="00965F8A" w:rsidRDefault="00000000" w:rsidP="009C0362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DISTRIBUIÇÃO ESPACIAL DA LEISHIMANIOSE VISCERAL HUMANA NA MICRORREGIÃO DO ARARI, MARAJÓ, NO ESTADO DO PARÁ, BRASIL, AMAZÔNIA ORIENTAL</w:t>
      </w:r>
    </w:p>
    <w:p w14:paraId="1600AEF0" w14:textId="77777777" w:rsidR="00965F8A" w:rsidRDefault="00965F8A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3343E490" w14:textId="035FD6BF" w:rsidR="00965F8A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Antônio Sena Da Costa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Francisco Gabriel Valle Da Costa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Bruno Yudi Shimomaebara Sousa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Marcelle Louise Da Cruz</w:t>
      </w:r>
      <w:r w:rsidR="009C0362">
        <w:rPr>
          <w:sz w:val="24"/>
          <w:szCs w:val="24"/>
          <w:vertAlign w:val="superscript"/>
        </w:rPr>
        <w:t>4</w:t>
      </w:r>
      <w:r w:rsidR="009C0362">
        <w:rPr>
          <w:sz w:val="24"/>
          <w:szCs w:val="24"/>
        </w:rPr>
        <w:t>; Antonio</w:t>
      </w:r>
      <w:r>
        <w:rPr>
          <w:sz w:val="24"/>
          <w:szCs w:val="24"/>
        </w:rPr>
        <w:t xml:space="preserve"> Mateus Feitosa De Souza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Nelson Veiga Gonçalves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Claudia Do Socorro Carvalho Miranda</w:t>
      </w:r>
      <w:r>
        <w:rPr>
          <w:sz w:val="24"/>
          <w:szCs w:val="24"/>
          <w:u w:val="single"/>
          <w:vertAlign w:val="superscript"/>
        </w:rPr>
        <w:t>7</w:t>
      </w:r>
    </w:p>
    <w:p w14:paraId="4EA424B4" w14:textId="77777777" w:rsidR="00965F8A" w:rsidRDefault="00965F8A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0A20F6AB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Graduando em Medicina. Universidade Federal do Pará. antoniostuartaugusto@gmail.com.</w:t>
      </w:r>
    </w:p>
    <w:p w14:paraId="2DA3B977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Graduando em Biomedicina. Universidade do Estado do Pará.</w:t>
      </w:r>
    </w:p>
    <w:p w14:paraId="7D0EDEAC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3</w:t>
      </w:r>
      <w:r>
        <w:rPr>
          <w:rFonts w:ascii="Tahoma" w:eastAsia="Tahoma" w:hAnsi="Tahoma" w:cs="Tahoma"/>
          <w:color w:val="666666"/>
          <w:sz w:val="20"/>
          <w:szCs w:val="20"/>
          <w:highlight w:val="white"/>
          <w:vertAlign w:val="superscript"/>
        </w:rPr>
        <w:t xml:space="preserve"> </w:t>
      </w:r>
      <w:r>
        <w:rPr>
          <w:sz w:val="24"/>
          <w:szCs w:val="24"/>
        </w:rPr>
        <w:t>Graduação em Tecnologia em Análise e Desenvolvimento de Sistemas pela Universidade do Estado do Pará (2017) e especialização em Saúde Coletiva pela Faculdade de Minas (2024).</w:t>
      </w:r>
    </w:p>
    <w:p w14:paraId="3E816186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Graduanda em Saúde Coletiva. Universidade do Estado do Pará.</w:t>
      </w:r>
    </w:p>
    <w:p w14:paraId="04872108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bookmarkStart w:id="0" w:name="_g8r0wknboef5" w:colFirst="0" w:colLast="0"/>
      <w:bookmarkEnd w:id="0"/>
      <w:r>
        <w:rPr>
          <w:b/>
          <w:bCs/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Graduando em Saúde Coletiva. Universidade do Estado do Pará.</w:t>
      </w:r>
    </w:p>
    <w:p w14:paraId="4F0AF118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bookmarkStart w:id="1" w:name="_44ruh3ww2jul" w:colFirst="0" w:colLast="0"/>
      <w:bookmarkEnd w:id="1"/>
      <w:r>
        <w:rPr>
          <w:b/>
          <w:bCs/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Epidemiologista com Pós-Doutorado em Doenças Tropicais pelo Núcleo de Medicina Tropical da Universidade Federal do Pará (2018), Doutorado em Ciência da Informação pela Universidade de Brasília (2001). Universidade do Estado do Pará.</w:t>
      </w:r>
    </w:p>
    <w:p w14:paraId="71D0009B" w14:textId="77777777" w:rsidR="00965F8A" w:rsidRDefault="00000000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7</w:t>
      </w:r>
      <w:r>
        <w:rPr>
          <w:sz w:val="24"/>
          <w:szCs w:val="24"/>
        </w:rPr>
        <w:t xml:space="preserve"> Pós-Doutorada e Doutora em Biologia Parasitária na Amazônia. Universidade do Estado do Pará.</w:t>
      </w:r>
    </w:p>
    <w:p w14:paraId="53B420CF" w14:textId="77777777" w:rsidR="00965F8A" w:rsidRDefault="00965F8A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405B919F" w14:textId="77777777" w:rsidR="00965F8A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13EE543C" w14:textId="77777777" w:rsidR="00965F8A" w:rsidRDefault="00000000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Introdução</w:t>
      </w:r>
      <w:r>
        <w:rPr>
          <w:sz w:val="24"/>
          <w:szCs w:val="24"/>
        </w:rPr>
        <w:t xml:space="preserve">:  A Leishmaniose Visceral Humana (LVH), conhecida popularmente como o calazar, é uma doença infeciosa causada por protozoários do gênero </w:t>
      </w:r>
      <w:r>
        <w:rPr>
          <w:i/>
          <w:iCs/>
          <w:sz w:val="24"/>
          <w:szCs w:val="24"/>
        </w:rPr>
        <w:t>Leishmania</w:t>
      </w:r>
      <w:r>
        <w:rPr>
          <w:sz w:val="24"/>
          <w:szCs w:val="24"/>
        </w:rPr>
        <w:t xml:space="preserve">, da qual é transmitida através da picada das fêmeas de flebotomíneos da espécie </w:t>
      </w:r>
      <w:r>
        <w:rPr>
          <w:i/>
          <w:iCs/>
          <w:sz w:val="24"/>
          <w:szCs w:val="24"/>
        </w:rPr>
        <w:t>Lutzomya longipalpis</w:t>
      </w:r>
      <w:r>
        <w:rPr>
          <w:sz w:val="24"/>
          <w:szCs w:val="24"/>
        </w:rPr>
        <w:t xml:space="preserve">. Trata-se de uma doença tropical negligenciada, amplamente distribuídas por todo o mundo. </w:t>
      </w:r>
      <w:r>
        <w:rPr>
          <w:b/>
          <w:bCs/>
          <w:sz w:val="24"/>
          <w:szCs w:val="24"/>
        </w:rPr>
        <w:t>Objetivo</w:t>
      </w:r>
      <w:r>
        <w:rPr>
          <w:sz w:val="24"/>
          <w:szCs w:val="24"/>
        </w:rPr>
        <w:t xml:space="preserve">: Analisar a distribuição espacial da leishmaniose visceral humana e sua relação com variáveis epidemiológicas e ambientais nos municípios da Microrregião do Arari, do estado do Pará, no período de 2010 a 2023. </w:t>
      </w:r>
      <w:r>
        <w:rPr>
          <w:b/>
          <w:bCs/>
          <w:sz w:val="24"/>
          <w:szCs w:val="24"/>
        </w:rPr>
        <w:t>Metodologia</w:t>
      </w:r>
      <w:r>
        <w:rPr>
          <w:sz w:val="24"/>
          <w:szCs w:val="24"/>
        </w:rPr>
        <w:t xml:space="preserve">: Trata-se de um estudo ecológico realizado com todos os casos confirmados com LVH na Microrregião do Arari, do estado do Pará, inseridos no Sistema de Informação de Agravos de Notificação-SINAN, disponibilizados pelo Departamento de Vigilância Epidemiológica na Secretaria de Estado de Saúde do Estado do Pará (SESPA), no período de 2010 a 2023. Os dados ambientais foram obtidos no projeto de mapeamento do Uso e Cobertura da Terra na Amazônia Legal, do Instituto Nacional de Pesquisas Espaciais (INPE). Foram realizadas análises descritivas e espaciais dos dados, com a aplicação do teste estatístico não paramétrico qui-quadrado de proporções esperadas iguais, com significância de 0,05% e mapas temáticos de uso e cobertura da terra, por meio do software </w:t>
      </w:r>
      <w:proofErr w:type="spellStart"/>
      <w:r>
        <w:rPr>
          <w:sz w:val="24"/>
          <w:szCs w:val="24"/>
        </w:rPr>
        <w:t>ArcGis</w:t>
      </w:r>
      <w:proofErr w:type="spellEnd"/>
      <w:r>
        <w:rPr>
          <w:sz w:val="24"/>
          <w:szCs w:val="24"/>
        </w:rPr>
        <w:t xml:space="preserve"> 10.5.1. </w:t>
      </w:r>
      <w:r>
        <w:rPr>
          <w:b/>
          <w:bCs/>
          <w:sz w:val="24"/>
          <w:szCs w:val="24"/>
        </w:rPr>
        <w:t>Resultados</w:t>
      </w:r>
      <w:r>
        <w:rPr>
          <w:sz w:val="24"/>
          <w:szCs w:val="24"/>
        </w:rPr>
        <w:t xml:space="preserve">: Foram confirmados 53 casos da doença nos municípios de estudo, com maior quantitativo de casos em Salvaterra. O perfil epidemiológico seguiu o padrão nacional de ocorrência da doença, homens (53%), crianças (64%), pardos (72%), abaixo da idade escolar (57%), do meio rural (71%). A análise espacial mostrou percentuais significativos de áreas com desmatamento e florestas secundárias, relacionadas a diferentes tipos de usos e ocupação da terra na região de estudo. </w:t>
      </w:r>
      <w:r>
        <w:rPr>
          <w:b/>
          <w:bCs/>
          <w:sz w:val="24"/>
          <w:szCs w:val="24"/>
        </w:rPr>
        <w:t>Conclusão</w:t>
      </w:r>
      <w:r>
        <w:rPr>
          <w:sz w:val="24"/>
          <w:szCs w:val="24"/>
        </w:rPr>
        <w:t xml:space="preserve">: O padrão de distribuição dos casos da doença não é homogêneo, ocorre uma relação direta entre os territórios com casos e as pressões antrópicas sobre o meio ambiente. marcadas pelo desmatamento. A presença da doença nas áreas desmatadas incide sobre a ampliação de possíveis áreas de risco de transmissão da doença. Ressaltamos a necessidade de políticas públicas para controle da doença e intensificação da </w:t>
      </w:r>
      <w:r>
        <w:rPr>
          <w:sz w:val="24"/>
          <w:szCs w:val="24"/>
        </w:rPr>
        <w:lastRenderedPageBreak/>
        <w:t>vigilância ambiental em saúde, sobretudo nas áreas socioambientais mais vulneráveis da região estudada.</w:t>
      </w:r>
    </w:p>
    <w:p w14:paraId="3922429C" w14:textId="77777777" w:rsidR="00965F8A" w:rsidRDefault="00965F8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</w:p>
    <w:p w14:paraId="72623914" w14:textId="052B02C5" w:rsidR="00965F8A" w:rsidRDefault="00000000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Leishmaniose visceral; Epidemiologia; </w:t>
      </w:r>
      <w:r w:rsidR="00BC775B">
        <w:rPr>
          <w:sz w:val="24"/>
          <w:szCs w:val="24"/>
        </w:rPr>
        <w:t>Vigilância</w:t>
      </w:r>
      <w:r>
        <w:rPr>
          <w:sz w:val="24"/>
          <w:szCs w:val="24"/>
        </w:rPr>
        <w:t xml:space="preserve"> em Saúde.</w:t>
      </w:r>
    </w:p>
    <w:p w14:paraId="3D34AF60" w14:textId="77777777" w:rsidR="00965F8A" w:rsidRDefault="00965F8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938BA23" w14:textId="77777777" w:rsidR="00965F8A" w:rsidRDefault="00000000">
      <w:pPr>
        <w:shd w:val="clear" w:color="auto" w:fill="FFFFFF"/>
        <w:tabs>
          <w:tab w:val="left" w:pos="2500"/>
        </w:tabs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Ciências da saúde. </w:t>
      </w:r>
    </w:p>
    <w:p w14:paraId="00499667" w14:textId="77777777" w:rsidR="00965F8A" w:rsidRDefault="00965F8A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bCs/>
          <w:color w:val="FF0000"/>
          <w:sz w:val="28"/>
          <w:szCs w:val="28"/>
          <w:u w:val="single"/>
        </w:rPr>
      </w:pPr>
    </w:p>
    <w:p w14:paraId="2D09478D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1. INTRODUÇÃO </w:t>
      </w:r>
    </w:p>
    <w:p w14:paraId="13DD9529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A leishmaniose visceral humana (LVH) é uma parasitose causada por protozoários intracelulares que pertencem ao gênero </w:t>
      </w:r>
      <w:r>
        <w:rPr>
          <w:i/>
          <w:iCs/>
          <w:sz w:val="24"/>
          <w:szCs w:val="24"/>
        </w:rPr>
        <w:t xml:space="preserve">Leishmania </w:t>
      </w:r>
      <w:r>
        <w:rPr>
          <w:sz w:val="24"/>
          <w:szCs w:val="24"/>
        </w:rPr>
        <w:t xml:space="preserve">e transmitida por dípteros da subfamília Phlebotominae (flebótomos), conhecidos popularmente como mosquito palha, birigui, tatuquira, asa branca e Caravela (Biancalana </w:t>
      </w:r>
      <w:r w:rsidRPr="009C0362"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, 2023). Os cães domésticos (</w:t>
      </w:r>
      <w:r>
        <w:rPr>
          <w:i/>
          <w:iCs/>
          <w:sz w:val="24"/>
          <w:szCs w:val="24"/>
        </w:rPr>
        <w:t>Canis familiaris</w:t>
      </w:r>
      <w:r>
        <w:rPr>
          <w:sz w:val="24"/>
          <w:szCs w:val="24"/>
        </w:rPr>
        <w:t xml:space="preserve">) são considerados um dos principais reservatórios dessa patologia, servindo como fonte de infecção aos vetores e como fator de risco para a ocorrência de casos em humano. No entanto, animais como gatos, gambas e raposas também podem fazer parte do ciclo de transmissão da doença (Ovallos </w:t>
      </w:r>
      <w:r w:rsidRPr="009C0362"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2020). </w:t>
      </w:r>
    </w:p>
    <w:p w14:paraId="72FAA956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LVH está amplamente distribuída por todo o mundo, encontrada aproximadamente em 98 países principalmente nas regiões tropicais e subtropicais (Ovallos </w:t>
      </w:r>
      <w:r w:rsidRPr="009C0362"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2020). De acordo com a Organização Mundial da Saúde (OMS), estima-se que ocorram mundialmente cerca de 500.000 novos casos e 59.000 óbitos por LVH anualmente. A OMS de forma global, tem intensificado ações para controlar e eliminar essa patologia. As estratégias têm se concentrado no fortalecimento de sistemas de vigilância, expansão do acesso ao diagnóstico precoce e ao tratamento eficaz, e no apoio à pesquisa de terapias mais acessíveis (OMS, 2023).</w:t>
      </w:r>
    </w:p>
    <w:p w14:paraId="7E857BFC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No Brasil, a LVH é de grande importância para saúde pública em decorrência do número de casos que são registrados anualmente, a sua ampla distribuição geográfica em suas regiões. É no território brasileiro que se concentra a maior parte dos casos nas Américas, cerca de 93%. Em 2023, o território brasileiro registrou uma média de 2 mil casos notificados anualmente, com uma tendência de estabilização, mas com surtos localizados, especialmente no Norte e Nordeste.</w:t>
      </w:r>
    </w:p>
    <w:p w14:paraId="1E203BA7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estado do Pará, localizado na região norte do Brasil, apresentou uma taxa de incidência de LVH de 50 casos/100.000 habitantes em 2022 (Ministério da Saúde, 2023). Nesse contexto, a Microrregião do Arari   que passa nas últimas décadas por um intenso processo de desmatamento devido a diferentes ações antrópicas, entre as quais a exploração madeireira, </w:t>
      </w:r>
      <w:r>
        <w:rPr>
          <w:sz w:val="24"/>
          <w:szCs w:val="24"/>
        </w:rPr>
        <w:lastRenderedPageBreak/>
        <w:t>agricultura e pecuária, urbanização desordenada e turismo registrou nos últimos anos um aumento no número de casos de LVH (Ministério da Saúde, 2020; Souza et al, 2008; Miranda, Silva e Viana, 2019).</w:t>
      </w:r>
    </w:p>
    <w:p w14:paraId="39C8AF75" w14:textId="77554AB7" w:rsidR="00965F8A" w:rsidRPr="009C0362" w:rsidRDefault="00000000" w:rsidP="00E67341">
      <w:pPr>
        <w:pBdr>
          <w:bottom w:val="none" w:sz="0" w:space="18" w:color="000000"/>
        </w:pBdr>
        <w:shd w:val="clear" w:color="auto" w:fill="FFFFFF"/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Nesse processo, as geotecnologias têm sido utilizadas nas últimas décadas como ferramentas fundamentais para produzir um cenário epidemiológico que considere as possíveis correlações entre a ocorrência de doenças infecciosas e as condições socioambientais e as políticas públicas dos territórios brasileiros. Essas ferramentas permitem descrever a distribuição geográfica das doenças e seus fatores de riscos. Assim, este estudo objetivou analisar a distribuição espacial da leishmaniose visceral humana e sua relação com variáveis sociodemográficas e ambientais na Microrregião do Arari, estado do Pará, Brasil.</w:t>
      </w:r>
    </w:p>
    <w:p w14:paraId="23456B1F" w14:textId="77777777" w:rsidR="009C0362" w:rsidRDefault="00000000" w:rsidP="009C03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2. METODOLOGIA</w:t>
      </w:r>
    </w:p>
    <w:p w14:paraId="2CABD4D9" w14:textId="77777777" w:rsidR="009C0362" w:rsidRDefault="009C0362" w:rsidP="009C0362">
      <w:pPr>
        <w:pBdr>
          <w:bottom w:val="none" w:sz="0" w:space="18" w:color="000000"/>
        </w:pBdr>
        <w:shd w:val="clear" w:color="auto" w:fill="FFFFFF"/>
        <w:spacing w:line="310" w:lineRule="auto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000000">
        <w:rPr>
          <w:sz w:val="24"/>
          <w:szCs w:val="24"/>
        </w:rPr>
        <w:t>A população deste estudo ecológico foi composta por 53 casos notificados e confirmados de LVH nos municípios da Microrregião do Arari, Estado do Pará, no período de 2010 a 2023. A microrregião possui uma área de 27.615,91 km² que está dividida em sete municípios (Cachoeira do Arari, Santa Cruz do Arari, Ponta de Pedras, Muaná, Chaves, Salvaterra e Soure), com uma população estimada de 170.871 habitantes (Instituto Brasileiro de Geografia e Estatística (IBGE), 2022).</w:t>
      </w:r>
    </w:p>
    <w:p w14:paraId="1629C627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spacing w:line="31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dados epidemiológicos (sexo, idade, etnia, escolaridade e região de moradia) foram obtidos do Sistema de Informação de Agravos de Notificação da Secretaria Municipal de Saúde dos municípios e da Secretaria Estadual de Saúde do Pará. Os dados cartográficos dos limites municipais, da projeção SIRGAS 2000, e os dados demográficos (população), foram obtidos do banco de dados do Censo 2022, disponibilizado pelo Instituto Brasileiro de Geografia e Estatística. Os bancos de dados ambientais referentes ao uso e cobertura da terra (pastagem, agricultura, área urbana, floresta, mineração, vegetação secundária, desmatamento e outras classes) foram obtidos do Projeto Uso e Cobertura da Terra da Amazônia (TerraClass2019), do Instituto Nacional de Pesquisas Espaciais.</w:t>
      </w:r>
    </w:p>
    <w:p w14:paraId="72A9AD2A" w14:textId="77777777" w:rsidR="00E67341" w:rsidRDefault="00000000" w:rsidP="00E67341">
      <w:pPr>
        <w:pBdr>
          <w:bottom w:val="none" w:sz="0" w:space="18" w:color="000000"/>
        </w:pBdr>
        <w:shd w:val="clear" w:color="auto" w:fill="FFFFFF"/>
        <w:spacing w:line="31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Foi realizada a depuração dos bancos de dados, com a retirada de registros com incompletudes e inconsistências, utilizando o software TabWin 36b. Na análise descritiva foram utilizados cálculos percentuais e o teste estatístico não paramétrico qui-quadrado de proporções esperadas iguais com significância de 0,05%, utilizando o programa </w:t>
      </w:r>
      <w:proofErr w:type="spellStart"/>
      <w:r>
        <w:rPr>
          <w:sz w:val="24"/>
          <w:szCs w:val="24"/>
        </w:rPr>
        <w:t>Bioestat</w:t>
      </w:r>
      <w:proofErr w:type="spellEnd"/>
      <w:r>
        <w:rPr>
          <w:sz w:val="24"/>
          <w:szCs w:val="24"/>
        </w:rPr>
        <w:t xml:space="preserve"> 5.0. Na análise da distribuição espacial da doença para identificar a relação espacial entre o quantitativo de casos e o uso e cobertura da terra, foram evidenciadas através de mapas temáticos. Nessas análises foram utilizadas o software </w:t>
      </w:r>
      <w:proofErr w:type="spellStart"/>
      <w:r>
        <w:rPr>
          <w:sz w:val="24"/>
          <w:szCs w:val="24"/>
        </w:rPr>
        <w:t>Arcgis</w:t>
      </w:r>
      <w:proofErr w:type="spellEnd"/>
      <w:r>
        <w:rPr>
          <w:sz w:val="24"/>
          <w:szCs w:val="24"/>
        </w:rPr>
        <w:t xml:space="preserve"> 10.5.1.</w:t>
      </w:r>
    </w:p>
    <w:p w14:paraId="44B0201B" w14:textId="4D7A94C2" w:rsidR="00965F8A" w:rsidRPr="00E67341" w:rsidRDefault="00000000" w:rsidP="00E67341">
      <w:pPr>
        <w:pBdr>
          <w:bottom w:val="none" w:sz="0" w:space="18" w:color="000000"/>
        </w:pBdr>
        <w:shd w:val="clear" w:color="auto" w:fill="FFFFFF"/>
        <w:spacing w:line="31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O estudo seguiu as exigências éticas, obedecendo à Declaração de Helsinque, ao Código de Nuremberg e às normas da Resolução nº 466/12 do Conselho Nacional de Saúde, tendo sido </w:t>
      </w:r>
      <w:r>
        <w:rPr>
          <w:sz w:val="24"/>
          <w:szCs w:val="24"/>
        </w:rPr>
        <w:lastRenderedPageBreak/>
        <w:t>recebido o parecer favorável n.º 3.292.673 do Comitê de Ética em Pesquisa da Universidade Estadual do Pará.</w:t>
      </w:r>
    </w:p>
    <w:p w14:paraId="33CC838D" w14:textId="77777777" w:rsidR="00965F8A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  <w:r>
        <w:rPr>
          <w:b/>
          <w:bCs/>
          <w:sz w:val="28"/>
          <w:szCs w:val="28"/>
        </w:rPr>
        <w:t xml:space="preserve"> </w:t>
      </w:r>
    </w:p>
    <w:p w14:paraId="47DF8699" w14:textId="6939C9E0" w:rsidR="00965F8A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Cinquenta e três casos confirmados de LVH foram analisados na área e no período de estudo. Observou-se uma oscilação no número de casos durante o recorte temporal, com uma tendência decrescente no número de casos da doença a partir de 2019 e com quatro picos em 2010, 2011, 2013 e 2017 (</w:t>
      </w:r>
      <w:r w:rsidR="009C0362">
        <w:rPr>
          <w:sz w:val="24"/>
          <w:szCs w:val="24"/>
        </w:rPr>
        <w:t>Figura</w:t>
      </w:r>
      <w:r>
        <w:rPr>
          <w:sz w:val="24"/>
          <w:szCs w:val="24"/>
        </w:rPr>
        <w:t xml:space="preserve"> 1). A distribuição dos casos de LVH para todos os meses do período estudado ocorreu com valores próximos à média (4,75 casos/mês), exceto no mês de julho, que apresentou ligeiro aumento de casos. </w:t>
      </w:r>
    </w:p>
    <w:p w14:paraId="653B7545" w14:textId="392D2B68" w:rsidR="00965F8A" w:rsidRDefault="009C0362">
      <w:pPr>
        <w:widowControl/>
        <w:tabs>
          <w:tab w:val="left" w:pos="1290"/>
        </w:tabs>
        <w:spacing w:after="160" w:line="360" w:lineRule="auto"/>
        <w:jc w:val="both"/>
      </w:pPr>
      <w:r>
        <w:t xml:space="preserve">Figura </w:t>
      </w:r>
      <w:r w:rsidR="00000000">
        <w:t>1: Números de casos por ano e linha de tendência linear. </w:t>
      </w:r>
    </w:p>
    <w:p w14:paraId="350EC22A" w14:textId="77777777" w:rsidR="00965F8A" w:rsidRDefault="00000000">
      <w:pPr>
        <w:widowControl/>
        <w:tabs>
          <w:tab w:val="left" w:pos="1290"/>
        </w:tabs>
        <w:spacing w:after="16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301C73" wp14:editId="1A7542A8">
            <wp:extent cx="3543300" cy="1543050"/>
            <wp:effectExtent l="0" t="0" r="0" b="0"/>
            <wp:docPr id="4" name="image2.png" descr="Gráfico 1, Elemento de 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 1, Elemento de gráfic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713" cy="154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BA6E4" w14:textId="77777777" w:rsidR="00965F8A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</w:pPr>
      <w:r>
        <w:t>Fonte: Ministério da Saúde/SVSA - Sistema de Informação de Agravos de Notificação - Sinan Net. </w:t>
      </w:r>
    </w:p>
    <w:p w14:paraId="157E464F" w14:textId="76A824F4" w:rsidR="00965F8A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 do perfil epidemiológico mostrou que a variável gênero não teve significância estatística. O maior percentual de casos de infecção ocorreu na etnia parda (71,70%); na faixa etária criança (64,15%); sem aplicação de escolaridade (56,60%); entre os residentes da zona rural (71,70%</w:t>
      </w:r>
      <w:r w:rsidR="009C0362">
        <w:rPr>
          <w:sz w:val="24"/>
          <w:szCs w:val="24"/>
        </w:rPr>
        <w:t>). Foi</w:t>
      </w:r>
      <w:r>
        <w:rPr>
          <w:sz w:val="24"/>
          <w:szCs w:val="24"/>
        </w:rPr>
        <w:t> observado que todas as variáveis epidemiológicas e demográficas foram significantes, com valor p &lt; 0,05, exceto o gênero, que apresentou o valor p igual a 0,6803 (Tabela 1).  </w:t>
      </w:r>
    </w:p>
    <w:p w14:paraId="285BF122" w14:textId="77777777" w:rsidR="00965F8A" w:rsidRDefault="00000000">
      <w:r>
        <w:t>Tabela 1: Perfil epidemiológico de LVH na microrregião do Arari, Pará, Brasil, no período de 2010 a 2023. </w:t>
      </w:r>
    </w:p>
    <w:p w14:paraId="6A3E742D" w14:textId="77777777" w:rsidR="00965F8A" w:rsidRDefault="00965F8A"/>
    <w:tbl>
      <w:tblPr>
        <w:tblStyle w:val="a"/>
        <w:tblpPr w:leftFromText="141" w:rightFromText="141" w:bottomFromText="160" w:vertAnchor="text" w:tblpY="19"/>
        <w:tblW w:w="86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7"/>
        <w:gridCol w:w="2020"/>
        <w:gridCol w:w="2841"/>
        <w:gridCol w:w="1151"/>
        <w:gridCol w:w="704"/>
        <w:gridCol w:w="987"/>
      </w:tblGrid>
      <w:tr w:rsidR="00965F8A" w14:paraId="30A4D890" w14:textId="77777777">
        <w:tc>
          <w:tcPr>
            <w:tcW w:w="987" w:type="dxa"/>
            <w:vAlign w:val="center"/>
          </w:tcPr>
          <w:p w14:paraId="78FBBF7B" w14:textId="77777777" w:rsidR="00965F8A" w:rsidRDefault="00965F8A"/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EDC96B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Variável</w:t>
            </w:r>
          </w:p>
        </w:tc>
        <w:tc>
          <w:tcPr>
            <w:tcW w:w="2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54F1E6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Categoria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D0F146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 = 53 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C4F9D9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B1D77E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P-valor</w:t>
            </w:r>
          </w:p>
        </w:tc>
      </w:tr>
      <w:tr w:rsidR="00965F8A" w14:paraId="48C7CB49" w14:textId="77777777">
        <w:tc>
          <w:tcPr>
            <w:tcW w:w="987" w:type="dxa"/>
            <w:vAlign w:val="center"/>
          </w:tcPr>
          <w:p w14:paraId="3F14D358" w14:textId="77777777" w:rsidR="00965F8A" w:rsidRDefault="00965F8A">
            <w:pPr>
              <w:rPr>
                <w:b/>
                <w:bCs/>
                <w:color w:val="00000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FCB84E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Sexo</w:t>
            </w:r>
          </w:p>
        </w:tc>
        <w:tc>
          <w:tcPr>
            <w:tcW w:w="2841" w:type="dxa"/>
            <w:vAlign w:val="center"/>
          </w:tcPr>
          <w:p w14:paraId="263739F1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Feminino</w:t>
            </w:r>
          </w:p>
        </w:tc>
        <w:tc>
          <w:tcPr>
            <w:tcW w:w="1151" w:type="dxa"/>
            <w:vAlign w:val="center"/>
          </w:tcPr>
          <w:p w14:paraId="2FB68F78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4" w:type="dxa"/>
            <w:vAlign w:val="center"/>
          </w:tcPr>
          <w:p w14:paraId="09AABBEC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47,17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F81197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0,6803</w:t>
            </w:r>
          </w:p>
        </w:tc>
      </w:tr>
      <w:tr w:rsidR="00965F8A" w14:paraId="065037F2" w14:textId="77777777">
        <w:tc>
          <w:tcPr>
            <w:tcW w:w="987" w:type="dxa"/>
            <w:vAlign w:val="center"/>
          </w:tcPr>
          <w:p w14:paraId="33CE8C0F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5DFDB71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F2362C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Masculino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21511B3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54C017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52,83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5A17CE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965F8A" w14:paraId="09B71C62" w14:textId="77777777">
        <w:tc>
          <w:tcPr>
            <w:tcW w:w="987" w:type="dxa"/>
            <w:vAlign w:val="center"/>
          </w:tcPr>
          <w:p w14:paraId="4E7EE6ED" w14:textId="77777777" w:rsidR="00965F8A" w:rsidRDefault="00965F8A">
            <w:pPr>
              <w:rPr>
                <w:b/>
                <w:bCs/>
                <w:color w:val="00000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6DEBC9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Etnia</w:t>
            </w:r>
          </w:p>
        </w:tc>
        <w:tc>
          <w:tcPr>
            <w:tcW w:w="2841" w:type="dxa"/>
            <w:vAlign w:val="center"/>
          </w:tcPr>
          <w:p w14:paraId="14FB681F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Amarela</w:t>
            </w:r>
          </w:p>
        </w:tc>
        <w:tc>
          <w:tcPr>
            <w:tcW w:w="1151" w:type="dxa"/>
            <w:vAlign w:val="center"/>
          </w:tcPr>
          <w:p w14:paraId="0BD62889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4" w:type="dxa"/>
            <w:vAlign w:val="center"/>
          </w:tcPr>
          <w:p w14:paraId="31DDB6E2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5,66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BDCEE6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&lt; 0,0001</w:t>
            </w:r>
          </w:p>
        </w:tc>
      </w:tr>
      <w:tr w:rsidR="00965F8A" w14:paraId="709E47FE" w14:textId="77777777">
        <w:tc>
          <w:tcPr>
            <w:tcW w:w="987" w:type="dxa"/>
            <w:vAlign w:val="center"/>
          </w:tcPr>
          <w:p w14:paraId="50C89260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A43E3F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6CF4DAC4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Branca</w:t>
            </w:r>
          </w:p>
        </w:tc>
        <w:tc>
          <w:tcPr>
            <w:tcW w:w="1151" w:type="dxa"/>
            <w:vAlign w:val="center"/>
          </w:tcPr>
          <w:p w14:paraId="08796FEB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4" w:type="dxa"/>
            <w:vAlign w:val="center"/>
          </w:tcPr>
          <w:p w14:paraId="35C72E43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5469A68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6B216B25" w14:textId="77777777">
        <w:tc>
          <w:tcPr>
            <w:tcW w:w="987" w:type="dxa"/>
            <w:vAlign w:val="center"/>
          </w:tcPr>
          <w:p w14:paraId="033CCEAB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ED11F1B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47A3365D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Parda</w:t>
            </w:r>
          </w:p>
        </w:tc>
        <w:tc>
          <w:tcPr>
            <w:tcW w:w="1151" w:type="dxa"/>
            <w:vAlign w:val="center"/>
          </w:tcPr>
          <w:p w14:paraId="5B695950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704" w:type="dxa"/>
            <w:vAlign w:val="center"/>
          </w:tcPr>
          <w:p w14:paraId="73942F7F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71,70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6EF0863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965F8A" w14:paraId="3D78FA51" w14:textId="77777777">
        <w:tc>
          <w:tcPr>
            <w:tcW w:w="987" w:type="dxa"/>
            <w:vAlign w:val="center"/>
          </w:tcPr>
          <w:p w14:paraId="7C185895" w14:textId="77777777" w:rsidR="00965F8A" w:rsidRDefault="00965F8A">
            <w:pPr>
              <w:rPr>
                <w:b/>
                <w:bCs/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D0B4CEE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5932997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Preta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AF6B9C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9C00CC7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18,87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B6DE3E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611088F9" w14:textId="77777777">
        <w:tc>
          <w:tcPr>
            <w:tcW w:w="987" w:type="dxa"/>
            <w:vAlign w:val="center"/>
          </w:tcPr>
          <w:p w14:paraId="6527D0C3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380B2CA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Faixa etária</w:t>
            </w:r>
          </w:p>
        </w:tc>
        <w:tc>
          <w:tcPr>
            <w:tcW w:w="2841" w:type="dxa"/>
            <w:vAlign w:val="center"/>
          </w:tcPr>
          <w:p w14:paraId="3B57C314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Criança (0 a 12 anos)</w:t>
            </w:r>
          </w:p>
        </w:tc>
        <w:tc>
          <w:tcPr>
            <w:tcW w:w="1151" w:type="dxa"/>
            <w:vAlign w:val="center"/>
          </w:tcPr>
          <w:p w14:paraId="30E3ABFC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704" w:type="dxa"/>
            <w:vAlign w:val="center"/>
          </w:tcPr>
          <w:p w14:paraId="2949B498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64,15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BA20117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&lt; 0,0001</w:t>
            </w:r>
          </w:p>
        </w:tc>
      </w:tr>
      <w:tr w:rsidR="00965F8A" w14:paraId="7EA27FDE" w14:textId="77777777">
        <w:tc>
          <w:tcPr>
            <w:tcW w:w="987" w:type="dxa"/>
            <w:vAlign w:val="center"/>
          </w:tcPr>
          <w:p w14:paraId="5263AC72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4DB7225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01B6E264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Adolescente (13 a 18 anos)</w:t>
            </w:r>
          </w:p>
        </w:tc>
        <w:tc>
          <w:tcPr>
            <w:tcW w:w="1151" w:type="dxa"/>
            <w:vAlign w:val="center"/>
          </w:tcPr>
          <w:p w14:paraId="6017CDD9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4" w:type="dxa"/>
            <w:vAlign w:val="center"/>
          </w:tcPr>
          <w:p w14:paraId="0C40EE88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20B82B7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721894FF" w14:textId="77777777">
        <w:tc>
          <w:tcPr>
            <w:tcW w:w="987" w:type="dxa"/>
            <w:vAlign w:val="center"/>
          </w:tcPr>
          <w:p w14:paraId="3B105C3D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AF5BE9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4B65EBFC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Adultos (19 a 59 anos)</w:t>
            </w:r>
          </w:p>
        </w:tc>
        <w:tc>
          <w:tcPr>
            <w:tcW w:w="1151" w:type="dxa"/>
            <w:vAlign w:val="center"/>
          </w:tcPr>
          <w:p w14:paraId="201B0395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4" w:type="dxa"/>
            <w:vAlign w:val="center"/>
          </w:tcPr>
          <w:p w14:paraId="47652739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28,30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9E831C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40B66BF0" w14:textId="77777777">
        <w:tc>
          <w:tcPr>
            <w:tcW w:w="987" w:type="dxa"/>
            <w:vAlign w:val="center"/>
          </w:tcPr>
          <w:p w14:paraId="3418F3F2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5367C0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C00C9C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Idosos (&gt; 60 anos)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B0B108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584837B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B4DE07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48454786" w14:textId="77777777">
        <w:tc>
          <w:tcPr>
            <w:tcW w:w="987" w:type="dxa"/>
            <w:vAlign w:val="center"/>
          </w:tcPr>
          <w:p w14:paraId="3157B546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D2052A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Escolaridade</w:t>
            </w:r>
          </w:p>
        </w:tc>
        <w:tc>
          <w:tcPr>
            <w:tcW w:w="2841" w:type="dxa"/>
            <w:vAlign w:val="center"/>
          </w:tcPr>
          <w:p w14:paraId="701CE1B7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Ensino Fundamental</w:t>
            </w:r>
          </w:p>
        </w:tc>
        <w:tc>
          <w:tcPr>
            <w:tcW w:w="1151" w:type="dxa"/>
            <w:vAlign w:val="center"/>
          </w:tcPr>
          <w:p w14:paraId="1F0C11EF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4" w:type="dxa"/>
            <w:vAlign w:val="center"/>
          </w:tcPr>
          <w:p w14:paraId="2D18B965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11,32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88D1AAE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&lt; 0,0001</w:t>
            </w:r>
          </w:p>
        </w:tc>
      </w:tr>
      <w:tr w:rsidR="00965F8A" w14:paraId="3A3BE29E" w14:textId="77777777">
        <w:tc>
          <w:tcPr>
            <w:tcW w:w="987" w:type="dxa"/>
            <w:vAlign w:val="center"/>
          </w:tcPr>
          <w:p w14:paraId="24D5B001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4CDE56A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59E6DF2F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Ensino Médio</w:t>
            </w:r>
          </w:p>
        </w:tc>
        <w:tc>
          <w:tcPr>
            <w:tcW w:w="1151" w:type="dxa"/>
            <w:vAlign w:val="center"/>
          </w:tcPr>
          <w:p w14:paraId="090CF973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4" w:type="dxa"/>
            <w:vAlign w:val="center"/>
          </w:tcPr>
          <w:p w14:paraId="51CA6F6B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11,32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213004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26485BEB" w14:textId="77777777">
        <w:tc>
          <w:tcPr>
            <w:tcW w:w="987" w:type="dxa"/>
            <w:vAlign w:val="center"/>
          </w:tcPr>
          <w:p w14:paraId="2671A715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123A8BE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000D723F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Ignorado</w:t>
            </w:r>
          </w:p>
        </w:tc>
        <w:tc>
          <w:tcPr>
            <w:tcW w:w="1151" w:type="dxa"/>
            <w:vAlign w:val="center"/>
          </w:tcPr>
          <w:p w14:paraId="1EE479AF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4" w:type="dxa"/>
            <w:vAlign w:val="center"/>
          </w:tcPr>
          <w:p w14:paraId="3E1CFB27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20,75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DBE0B4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05E13002" w14:textId="77777777">
        <w:tc>
          <w:tcPr>
            <w:tcW w:w="987" w:type="dxa"/>
            <w:vAlign w:val="center"/>
          </w:tcPr>
          <w:p w14:paraId="40FB0A08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9BCAF91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6A845A3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Não se aplica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8450B7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F192F6F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56,60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43D7C95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965F8A" w14:paraId="0B289FFB" w14:textId="77777777">
        <w:tc>
          <w:tcPr>
            <w:tcW w:w="987" w:type="dxa"/>
            <w:vAlign w:val="center"/>
          </w:tcPr>
          <w:p w14:paraId="2AFB61F8" w14:textId="77777777" w:rsidR="00965F8A" w:rsidRDefault="00965F8A">
            <w:pPr>
              <w:rPr>
                <w:b/>
                <w:bCs/>
                <w:color w:val="00000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8EA2523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Zona de residência</w:t>
            </w:r>
          </w:p>
        </w:tc>
        <w:tc>
          <w:tcPr>
            <w:tcW w:w="2841" w:type="dxa"/>
            <w:vAlign w:val="center"/>
          </w:tcPr>
          <w:p w14:paraId="199F727B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Urbana</w:t>
            </w:r>
          </w:p>
        </w:tc>
        <w:tc>
          <w:tcPr>
            <w:tcW w:w="1151" w:type="dxa"/>
            <w:vAlign w:val="center"/>
          </w:tcPr>
          <w:p w14:paraId="14F78618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04" w:type="dxa"/>
            <w:vAlign w:val="center"/>
          </w:tcPr>
          <w:p w14:paraId="76DFFD0A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24,53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9FB5CED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&lt; 0,0001</w:t>
            </w:r>
          </w:p>
        </w:tc>
      </w:tr>
      <w:tr w:rsidR="00965F8A" w14:paraId="104F893C" w14:textId="77777777">
        <w:tc>
          <w:tcPr>
            <w:tcW w:w="987" w:type="dxa"/>
            <w:vAlign w:val="center"/>
          </w:tcPr>
          <w:p w14:paraId="308E1648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F9A78A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vAlign w:val="center"/>
          </w:tcPr>
          <w:p w14:paraId="659D3BBD" w14:textId="77777777" w:rsidR="00965F8A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Periurbana</w:t>
            </w:r>
          </w:p>
        </w:tc>
        <w:tc>
          <w:tcPr>
            <w:tcW w:w="1151" w:type="dxa"/>
            <w:vAlign w:val="center"/>
          </w:tcPr>
          <w:p w14:paraId="5C099CFF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4" w:type="dxa"/>
            <w:vAlign w:val="center"/>
          </w:tcPr>
          <w:p w14:paraId="77D8CC95" w14:textId="77777777" w:rsidR="00965F8A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2D6A30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65F8A" w14:paraId="6A413EE2" w14:textId="77777777">
        <w:tc>
          <w:tcPr>
            <w:tcW w:w="987" w:type="dxa"/>
            <w:vAlign w:val="center"/>
          </w:tcPr>
          <w:p w14:paraId="56507573" w14:textId="77777777" w:rsidR="00965F8A" w:rsidRDefault="00965F8A">
            <w:pPr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B68E86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868B09" w14:textId="77777777" w:rsidR="00965F8A" w:rsidRDefault="0000000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Rural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190C8BE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A71C6CA" w14:textId="77777777" w:rsidR="00965F8A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71,70</w:t>
            </w:r>
          </w:p>
        </w:tc>
        <w:tc>
          <w:tcPr>
            <w:tcW w:w="9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E3FBD6" w14:textId="77777777" w:rsidR="00965F8A" w:rsidRDefault="0096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</w:tbl>
    <w:p w14:paraId="6416491A" w14:textId="77777777" w:rsidR="00965F8A" w:rsidRDefault="00965F8A"/>
    <w:p w14:paraId="45FF64F4" w14:textId="2B9E8C1E" w:rsidR="00965F8A" w:rsidRDefault="009C0362" w:rsidP="009C0362">
      <w:pPr>
        <w:widowControl/>
        <w:spacing w:after="160" w:line="360" w:lineRule="auto"/>
        <w:jc w:val="both"/>
      </w:pPr>
      <w:r>
        <w:tab/>
      </w:r>
      <w:r w:rsidR="00000000">
        <w:t>Elaboração: EPIGEO/CCBS/UEPA. </w:t>
      </w:r>
    </w:p>
    <w:p w14:paraId="71D0BDCD" w14:textId="63DF7496" w:rsidR="00965F8A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espacial do uso e cobertura do solo revelou níveis de alterações ambientais diferenciados na microrregião de estudo. A doença apresentou distribuição não homogênea com aglomerados de casos associados a diferentes atividades antrópicas, entre as quais pecuária. Foi identificado a ocorrência de LVH, especialmente ao longo dos rios Arari, Paracauari, Camará, Marajó-Açu e Furo das Laranjeiras e ao longo da rodovia 1544 indicando um processo de vetorização ambiental (Figura </w:t>
      </w:r>
      <w:r w:rsidR="009C0362">
        <w:rPr>
          <w:sz w:val="24"/>
          <w:szCs w:val="24"/>
        </w:rPr>
        <w:t>2</w:t>
      </w:r>
      <w:r>
        <w:rPr>
          <w:sz w:val="24"/>
          <w:szCs w:val="24"/>
        </w:rPr>
        <w:t>). </w:t>
      </w:r>
    </w:p>
    <w:p w14:paraId="700E6784" w14:textId="48BE1913" w:rsidR="00965F8A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</w:pPr>
      <w:r>
        <w:t xml:space="preserve">Figura </w:t>
      </w:r>
      <w:r w:rsidR="009C0362">
        <w:t>2</w:t>
      </w:r>
      <w:r>
        <w:t>: Distribuição espacial dos casos de LVH e uso e ocupação da terra na Microrregião do Arari, Pará, Brasil, no período de 2010 a 2023. </w:t>
      </w:r>
    </w:p>
    <w:p w14:paraId="73A63181" w14:textId="77777777" w:rsidR="00965F8A" w:rsidRDefault="00000000">
      <w:pPr>
        <w:widowControl/>
        <w:tabs>
          <w:tab w:val="left" w:pos="1290"/>
        </w:tabs>
        <w:spacing w:after="160" w:line="360" w:lineRule="auto"/>
        <w:jc w:val="center"/>
      </w:pPr>
      <w:r>
        <w:rPr>
          <w:noProof/>
        </w:rPr>
        <w:drawing>
          <wp:inline distT="0" distB="0" distL="0" distR="0" wp14:anchorId="59E10247" wp14:editId="0D1B151B">
            <wp:extent cx="3810000" cy="2657475"/>
            <wp:effectExtent l="0" t="0" r="0" b="9525"/>
            <wp:docPr id="6" name="image4.png" descr="Map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pa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526" cy="2657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61A1F" w14:textId="77777777" w:rsidR="00965F8A" w:rsidRDefault="00000000" w:rsidP="009C0362">
      <w:pPr>
        <w:widowControl/>
        <w:spacing w:after="160" w:line="360" w:lineRule="auto"/>
        <w:ind w:firstLine="709"/>
        <w:jc w:val="both"/>
      </w:pPr>
      <w:r>
        <w:t> Elaboração: EPIGEO/ CCBS/UEPA. </w:t>
      </w:r>
    </w:p>
    <w:p w14:paraId="0D625DC7" w14:textId="77777777" w:rsidR="009C0362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Leishmaniose Visceral Humana constitui um problema de saúde pública na microrregião do Arari, visto que a doença está presente na maioria de seus municípios. Esse fato pode estar associado às características ambientais e sociodemográficas da região que favorecem o estabelecimento desta doença, tais como a presença de vetores, hospedeiros, moradias próximas das florestas e baixo nível socioeconômico da população (Souza et al, 2008; Miranda, Silva e Viana, 2019). </w:t>
      </w:r>
    </w:p>
    <w:p w14:paraId="2015E0AF" w14:textId="4350A88F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distribuição irregular dos casos ao longo dos anos indica que as campanhas realizadas, enquanto ações de vigilância em saúde nesse território, estão distantes das metas preconizadas pelo Programa de Vigilância e Controle da Leishmaniose Visceral (PVCLV) do Ministério da Saúde, tornando-se um necessário avaliar suas estratégias em todos os municípios da região de estudo, no intuito de reduzir a transmissão da doença.  Nessa </w:t>
      </w:r>
      <w:r w:rsidR="009C0362">
        <w:rPr>
          <w:sz w:val="24"/>
          <w:szCs w:val="24"/>
        </w:rPr>
        <w:t>ótica,</w:t>
      </w:r>
      <w:r>
        <w:rPr>
          <w:sz w:val="24"/>
          <w:szCs w:val="24"/>
        </w:rPr>
        <w:t xml:space="preserve"> o Ministério da Saúde do Brasil, tem incentivado pesquisa voltadas ao aprimoramento do diagnóstico laboratorial da infecção em humanos e cães, bem como ao tratamento de pacientes, à análise da eficácia das estratégias de controle existentes e ao desenvolvimento de novas tecnologias que auxiliem nas ações de vigilância e combate à LVH no território nacional.   </w:t>
      </w:r>
    </w:p>
    <w:p w14:paraId="02596255" w14:textId="77777777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Foi observado maior expressividade de registros de casos no mês de julho, apontando para a uma sazonalidade da doença, cuja transmissão está relacionada às características ambientais que fornecem as condições adequadas para o aumento da densidade de flebotomíneos. Assim, no final da estação chuvosa amazônica, ocorre a maior reprodução desses vetores, que implica em maior probabilidade de transmissão da doença, devido às condições de temperatura, pluviosidade e umidade do período, que podem ser alteradas por relações antrópicas (Barata et al., 2004; Chagas et al., 2016). </w:t>
      </w:r>
    </w:p>
    <w:p w14:paraId="3A1E18AB" w14:textId="77777777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presente estudo foi observado que o número de casos de LVH em relação ao gênero não apresentou diferença estatisticamente significante, não havendo risco de infecção relacionada a essa variável. A maior ocorrência da doença em pessoas pardas pode estar relacionada à característica da formação étnica no Brasil. Assim sendo, nos municípios do Pará, este fato está relacionado ao processo histórico de miscigenação de indígenas, europeus e africanos, motivo pelo qual 73% da população desse estado se autodeclara parda. A maior ocorrência da doença em menores de 12 anos de idade pode estar relacionada a diferentes fatores, tais como, a imaturidade imunológica de crianças que favorece a severidade da doença, com o aparecimento de sinais e sintomas recorrentes em outras parasitoses, bem como a </w:t>
      </w:r>
      <w:r>
        <w:rPr>
          <w:sz w:val="24"/>
          <w:szCs w:val="24"/>
        </w:rPr>
        <w:lastRenderedPageBreak/>
        <w:t>presença de flebotomíneos e animais domésticos contaminados, em ambiente domiciliar e peridomiciliar.  </w:t>
      </w:r>
    </w:p>
    <w:p w14:paraId="2FA51E08" w14:textId="77777777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O percentual de casos com não aplicabilidade da escolaridade pode estar relacionado ao maior número de notificações de crianças menores de quatro anos que ainda não estão em idade escolar e que estão restritos ao contexto familiar, não frequentando a escola, apontando para uma possível transmissão da doença do ambiente intra e peridomicílio. Cabe ressaltar que o município de Muaná localizado na microrregião de estudo ocupa um dos últimos lugares no ranking de índice de desenvolvimento humano brasileiro (Xavier </w:t>
      </w:r>
      <w:r w:rsidRPr="009C0362"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2023). Desta forma, deve-se levar em consideração de que os dados não reflitam a real situação enfrentado no território marajoara, já que a LVH é muito associada à contextos de baixas condições sanitárias. </w:t>
      </w:r>
    </w:p>
    <w:p w14:paraId="6C7DF571" w14:textId="77777777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maior expressividade de casos na área rural sugere que nas habitações construídas sem proteção e em áreas com alta suscetibilidade, os indivíduos apresentam uma maior exposição aos vetores da LVH, sendo que a proximidade dessas moradias às áreas de risco de transmissão favorece uma interação entre ciclos silvestre e peridomiciliares. A ausência de notificação de casos em alguns municípios pode estar relacionada a um silêncio epidemiológico associado a diferentes fatores, entre os quais a inespecificidade clínica da LVH, o diagnóstico diferencial com outras infecções frequentes na região e a dificuldade de acesso aos serviços de saúde em função da localização geográfica e à fragilidade no processo diagnóstico. </w:t>
      </w:r>
    </w:p>
    <w:p w14:paraId="373DD667" w14:textId="77777777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 De acordo com o Ministério da Saúde (2014), o diagnóstico da LVH deve considerar a associação entre sinais e sintomas clínicos (como febre prolongada, hepatoesplenomegalia e perda de peso), critérios epidemiológicos (residência em área endêmica ou contato com vetores) e a confirmação laboratorial por meio de exames sorológicos, testes rápidos ou parasitológicos. No entanto, em contextos de escassez de recursos e infraestrutura inadequada, é comum que os diagnósticos sejam imprecisos ou mesmo inexistentes, o que contribui para que muitos casos não sejam identificados, tratados ou notificados. </w:t>
      </w:r>
    </w:p>
    <w:p w14:paraId="5A570C0D" w14:textId="77777777" w:rsidR="00965F8A" w:rsidRDefault="00000000" w:rsidP="009C0362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espacial dos tipos de uso e cobertura do solo mostrou áreas desmatadas devido às atividades antrópicas na microrregião, incluindo áreas de pastagem (Souza et al, 2008; Miranda, Silva e Viana, 2019). Além disso, a expansão urbana desordenada estabeleceu novas configurações socioespaciais, com assentamentos humanos localizados ao longo dos Arari, Paracauari, Camará, Marajó-Açu e Furo das Laranjeiras e ao longo da PA-1544 que nas últimas décadas sofreram degradação socioambiental. A grande concentração de casos </w:t>
      </w:r>
      <w:r>
        <w:rPr>
          <w:sz w:val="24"/>
          <w:szCs w:val="24"/>
        </w:rPr>
        <w:lastRenderedPageBreak/>
        <w:t>nessas vias sugere que estas sejam um meio de vetorização espacial da LVH, com disseminação por uma cadeia de transmissão.  </w:t>
      </w:r>
    </w:p>
    <w:p w14:paraId="4A5D72B2" w14:textId="7C8A6ECF" w:rsidR="00965F8A" w:rsidRPr="009C0362" w:rsidRDefault="00000000" w:rsidP="009C0362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Outra característica relevante da região do Marajó diz respeito à presença de comunidades quilombolas e ribeirinhas, frequentemente marginalizadas e historicamente inseridas em contextos de vulnerabilidade que favorecem a incidência de doenças negligenciadas, como a LVH. A ausência de unidades de saúde em grande parte desses territórios, aliada ao isolamento geográfico, contribui significativamente para o agravamento do quadro epidemiológico nessas populações sendo necessário o deslocamento dos moradores para outras localidades, os quais podem ser até outros estados, como é o caso no município de Afuá, o qual em diversas situações busca por ajuda em Macapá. </w:t>
      </w:r>
    </w:p>
    <w:p w14:paraId="7E05FCDD" w14:textId="77777777" w:rsidR="00965F8A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4. CONCLUSÃO</w:t>
      </w:r>
    </w:p>
    <w:p w14:paraId="46C2A132" w14:textId="77777777" w:rsidR="00965F8A" w:rsidRDefault="00000000" w:rsidP="009C0362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Os resultados deste estudo evidenciam que a LVH se configura como um importante problema de saúde pública na microrregião do Arari, no estado do Pará, cuja dinâmica de ocorrência está diretamente associada a fatores socioambientais, demográficos e à fragilidade das políticas públicas locais. O perfil epidemiológico predominante envolvendo crianças, indivíduos pardos e residentes em zonas rurais aponta para um circuito de transmissão sustentado por condições precárias de habitação, saneamento básico e exclusão social. Esses fragmentos populacionais são vulneráveis ao desenvolvimento de doenças negligenciadas, tal como a LVH, uma vez que muitas não possuem posto de saúde em seu território e somado ao isolamento geográfico, na maioria das vezes, há a potencialização da doença.   </w:t>
      </w:r>
    </w:p>
    <w:p w14:paraId="56B54772" w14:textId="65E4A5BA" w:rsidR="00965F8A" w:rsidRPr="009C0362" w:rsidRDefault="00000000" w:rsidP="009C0362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Portanto, considerando o exposto, recomendamos a ampliação das medidas de controle e acompanhamento da LVH, especialmente a busca ativa de casos e a realização de exames laboratoriais. Essas medidas devem ser acompanhadas de educação, trabalho, moradia e condições de saneamento básico, visando à promoção da equidade social e do respeito ao meio ambiente. Diante desse cenário, torna-se evidente a relação entre os processos socioambientais e a emergência de doenças infecciosas, como a LVH, que persiste como um grave problema de saúde pública, especialmente em regiões marcadas por desigualdade social, fragilidade nos serviços de saúde e intensa modificação ambiental. </w:t>
      </w:r>
    </w:p>
    <w:p w14:paraId="0382C8CB" w14:textId="77777777" w:rsidR="00965F8A" w:rsidRDefault="00000000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bookmarkStart w:id="2" w:name="_fnoaxje8izde" w:colFirst="0" w:colLast="0"/>
      <w:bookmarkEnd w:id="2"/>
      <w:r>
        <w:rPr>
          <w:b/>
          <w:bCs/>
          <w:sz w:val="24"/>
          <w:szCs w:val="24"/>
        </w:rPr>
        <w:t xml:space="preserve">REFERÊNCIAS </w:t>
      </w:r>
    </w:p>
    <w:p w14:paraId="0127FDD7" w14:textId="77777777" w:rsidR="009C0362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BARBOSA, Isabelle Ribeiro; COSTA, Íris do Céu Clara. </w:t>
      </w:r>
      <w:r w:rsidRPr="009C0362">
        <w:rPr>
          <w:b/>
          <w:bCs/>
          <w:sz w:val="24"/>
          <w:szCs w:val="24"/>
        </w:rPr>
        <w:t>Aspectos clínicos e epidemiológicos da leishmaniose visceral em crianças de até 15 anos de idade no estado do Rio Grande do Norte, Brasil</w:t>
      </w:r>
      <w:r w:rsidRPr="009C0362">
        <w:rPr>
          <w:sz w:val="24"/>
          <w:szCs w:val="24"/>
        </w:rPr>
        <w:t>. </w:t>
      </w:r>
      <w:proofErr w:type="spellStart"/>
      <w:r w:rsidRPr="009C0362">
        <w:rPr>
          <w:sz w:val="24"/>
          <w:szCs w:val="24"/>
        </w:rPr>
        <w:t>Sciencia</w:t>
      </w:r>
      <w:proofErr w:type="spellEnd"/>
      <w:r w:rsidRPr="009C0362">
        <w:rPr>
          <w:sz w:val="24"/>
          <w:szCs w:val="24"/>
        </w:rPr>
        <w:t xml:space="preserve"> médica. v.23, n.1, p. 5-11, 2013. Disponível </w:t>
      </w:r>
      <w:r w:rsidRPr="009C0362">
        <w:rPr>
          <w:sz w:val="24"/>
          <w:szCs w:val="24"/>
        </w:rPr>
        <w:lastRenderedPageBreak/>
        <w:t>em: https:// revistaseletronicas.pucrs.br/ojs/index.php/scientiamedica/article/ view/12970/9035. Acesso em: 12 ago 2025.</w:t>
      </w:r>
    </w:p>
    <w:p w14:paraId="4B5DC832" w14:textId="1ED8E077" w:rsidR="00965F8A" w:rsidRPr="009C0362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 </w:t>
      </w:r>
    </w:p>
    <w:p w14:paraId="67D605B2" w14:textId="56938927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BIANCALANA, Fernanda Simas Corrêa; et al. </w:t>
      </w:r>
      <w:r w:rsidRPr="009C0362">
        <w:rPr>
          <w:b/>
          <w:bCs/>
          <w:sz w:val="24"/>
          <w:szCs w:val="24"/>
        </w:rPr>
        <w:t xml:space="preserve">Avaliação epidemiológica dos casos de leishmaniose em municípios da costa leste da ilha do Marajó-PA: Epidemiological </w:t>
      </w:r>
      <w:proofErr w:type="spellStart"/>
      <w:r w:rsidRPr="009C0362">
        <w:rPr>
          <w:b/>
          <w:bCs/>
          <w:sz w:val="24"/>
          <w:szCs w:val="24"/>
        </w:rPr>
        <w:t>evaluation</w:t>
      </w:r>
      <w:proofErr w:type="spellEnd"/>
      <w:r w:rsidRPr="009C0362">
        <w:rPr>
          <w:b/>
          <w:bCs/>
          <w:sz w:val="24"/>
          <w:szCs w:val="24"/>
        </w:rPr>
        <w:t xml:space="preserve"> of </w:t>
      </w:r>
      <w:proofErr w:type="spellStart"/>
      <w:r w:rsidRPr="009C0362">
        <w:rPr>
          <w:b/>
          <w:bCs/>
          <w:sz w:val="24"/>
          <w:szCs w:val="24"/>
        </w:rPr>
        <w:t>leishmaniosis</w:t>
      </w:r>
      <w:proofErr w:type="spellEnd"/>
      <w:r w:rsidRPr="009C0362">
        <w:rPr>
          <w:b/>
          <w:bCs/>
          <w:sz w:val="24"/>
          <w:szCs w:val="24"/>
        </w:rPr>
        <w:t xml:space="preserve"> cases in </w:t>
      </w:r>
      <w:proofErr w:type="spellStart"/>
      <w:r w:rsidRPr="009C0362">
        <w:rPr>
          <w:b/>
          <w:bCs/>
          <w:sz w:val="24"/>
          <w:szCs w:val="24"/>
        </w:rPr>
        <w:t>municipalities</w:t>
      </w:r>
      <w:proofErr w:type="spellEnd"/>
      <w:r w:rsidRPr="009C0362">
        <w:rPr>
          <w:b/>
          <w:bCs/>
          <w:sz w:val="24"/>
          <w:szCs w:val="24"/>
        </w:rPr>
        <w:t xml:space="preserve"> of the </w:t>
      </w:r>
      <w:proofErr w:type="spellStart"/>
      <w:r w:rsidRPr="009C0362">
        <w:rPr>
          <w:b/>
          <w:bCs/>
          <w:sz w:val="24"/>
          <w:szCs w:val="24"/>
        </w:rPr>
        <w:t>east</w:t>
      </w:r>
      <w:proofErr w:type="spellEnd"/>
      <w:r w:rsidRPr="009C0362">
        <w:rPr>
          <w:b/>
          <w:bCs/>
          <w:sz w:val="24"/>
          <w:szCs w:val="24"/>
        </w:rPr>
        <w:t xml:space="preserve"> </w:t>
      </w:r>
      <w:proofErr w:type="spellStart"/>
      <w:r w:rsidRPr="009C0362">
        <w:rPr>
          <w:b/>
          <w:bCs/>
          <w:sz w:val="24"/>
          <w:szCs w:val="24"/>
        </w:rPr>
        <w:t>coast</w:t>
      </w:r>
      <w:proofErr w:type="spellEnd"/>
      <w:r w:rsidRPr="009C0362">
        <w:rPr>
          <w:b/>
          <w:bCs/>
          <w:sz w:val="24"/>
          <w:szCs w:val="24"/>
        </w:rPr>
        <w:t xml:space="preserve"> of </w:t>
      </w:r>
      <w:proofErr w:type="spellStart"/>
      <w:r w:rsidRPr="009C0362">
        <w:rPr>
          <w:b/>
          <w:bCs/>
          <w:sz w:val="24"/>
          <w:szCs w:val="24"/>
        </w:rPr>
        <w:t>Marajo</w:t>
      </w:r>
      <w:proofErr w:type="spellEnd"/>
      <w:r w:rsidRPr="009C0362">
        <w:rPr>
          <w:b/>
          <w:bCs/>
          <w:sz w:val="24"/>
          <w:szCs w:val="24"/>
        </w:rPr>
        <w:t xml:space="preserve"> </w:t>
      </w:r>
      <w:proofErr w:type="spellStart"/>
      <w:r w:rsidRPr="009C0362">
        <w:rPr>
          <w:b/>
          <w:bCs/>
          <w:sz w:val="24"/>
          <w:szCs w:val="24"/>
        </w:rPr>
        <w:t>island</w:t>
      </w:r>
      <w:proofErr w:type="spellEnd"/>
      <w:r w:rsidRPr="009C0362">
        <w:rPr>
          <w:b/>
          <w:bCs/>
          <w:sz w:val="24"/>
          <w:szCs w:val="24"/>
        </w:rPr>
        <w:t xml:space="preserve"> (PA </w:t>
      </w:r>
      <w:proofErr w:type="spellStart"/>
      <w:r w:rsidRPr="009C0362">
        <w:rPr>
          <w:b/>
          <w:bCs/>
          <w:sz w:val="24"/>
          <w:szCs w:val="24"/>
        </w:rPr>
        <w:t>state</w:t>
      </w:r>
      <w:proofErr w:type="spellEnd"/>
      <w:r w:rsidRPr="009C0362">
        <w:rPr>
          <w:b/>
          <w:bCs/>
          <w:sz w:val="24"/>
          <w:szCs w:val="24"/>
        </w:rPr>
        <w:t>).</w:t>
      </w:r>
      <w:r w:rsidRPr="009C0362">
        <w:rPr>
          <w:sz w:val="24"/>
          <w:szCs w:val="24"/>
        </w:rPr>
        <w:t xml:space="preserve"> Brazilian Journal of Animal and Environmental Research, [S. l.], v. 6, n. 4, p. 3610–3626, 2023. DOI: 10.34188/bjaerv6n4-042.</w:t>
      </w:r>
    </w:p>
    <w:p w14:paraId="5894E77A" w14:textId="77777777" w:rsidR="009C0362" w:rsidRPr="009C0362" w:rsidRDefault="009C0362" w:rsidP="009C0362">
      <w:pPr>
        <w:rPr>
          <w:sz w:val="24"/>
          <w:szCs w:val="24"/>
        </w:rPr>
      </w:pPr>
    </w:p>
    <w:p w14:paraId="18A56E36" w14:textId="5817E09D" w:rsidR="00965F8A" w:rsidRDefault="009C0362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BRASIL</w:t>
      </w:r>
      <w:r w:rsidR="00000000" w:rsidRPr="009C0362">
        <w:rPr>
          <w:sz w:val="24"/>
          <w:szCs w:val="24"/>
        </w:rPr>
        <w:t xml:space="preserve">. Ministério da Saúde. Guia de Vigilância em Saúde. 3.ª ed. Brasília-DF: Ministério da Saúde, 2019. Disponível em: </w:t>
      </w:r>
      <w:hyperlink r:id="rId8">
        <w:r w:rsidR="00000000" w:rsidRPr="009C0362">
          <w:rPr>
            <w:sz w:val="24"/>
            <w:szCs w:val="24"/>
          </w:rPr>
          <w:t>https://portaldeboaspraticas</w:t>
        </w:r>
      </w:hyperlink>
      <w:r w:rsidR="00000000" w:rsidRPr="009C0362">
        <w:rPr>
          <w:sz w:val="24"/>
          <w:szCs w:val="24"/>
        </w:rPr>
        <w:t>. iff.fiocruz.br/biblioteca/guia-de-</w:t>
      </w:r>
      <w:r w:rsidRPr="009C0362">
        <w:rPr>
          <w:sz w:val="24"/>
          <w:szCs w:val="24"/>
        </w:rPr>
        <w:t>vigilância</w:t>
      </w:r>
      <w:r w:rsidR="00000000" w:rsidRPr="009C0362">
        <w:rPr>
          <w:sz w:val="24"/>
          <w:szCs w:val="24"/>
        </w:rPr>
        <w:t>-em-</w:t>
      </w:r>
      <w:r w:rsidRPr="009C0362">
        <w:rPr>
          <w:sz w:val="24"/>
          <w:szCs w:val="24"/>
        </w:rPr>
        <w:t>saúde/ Acesso</w:t>
      </w:r>
      <w:r w:rsidR="00000000" w:rsidRPr="009C0362">
        <w:rPr>
          <w:sz w:val="24"/>
          <w:szCs w:val="24"/>
        </w:rPr>
        <w:t xml:space="preserve"> em: 10 ago. 2025.</w:t>
      </w:r>
    </w:p>
    <w:p w14:paraId="6BE50CE8" w14:textId="77777777" w:rsidR="009C0362" w:rsidRPr="009C0362" w:rsidRDefault="009C0362" w:rsidP="009C0362">
      <w:pPr>
        <w:rPr>
          <w:sz w:val="24"/>
          <w:szCs w:val="24"/>
        </w:rPr>
      </w:pPr>
    </w:p>
    <w:p w14:paraId="1D81BA5A" w14:textId="20387639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BRASIL. Ministério da Saúde</w:t>
      </w:r>
      <w:r w:rsidRPr="009C0362">
        <w:rPr>
          <w:b/>
          <w:bCs/>
          <w:sz w:val="24"/>
          <w:szCs w:val="24"/>
        </w:rPr>
        <w:t>. Leishmaniose visceral - casos confirmados notificados no sistema de informação de agravos de notificação - Paraná, 2020</w:t>
      </w:r>
      <w:r w:rsidRPr="009C0362">
        <w:rPr>
          <w:sz w:val="24"/>
          <w:szCs w:val="24"/>
        </w:rPr>
        <w:t>.</w:t>
      </w:r>
    </w:p>
    <w:p w14:paraId="23405166" w14:textId="77777777" w:rsidR="009C0362" w:rsidRPr="009C0362" w:rsidRDefault="009C0362" w:rsidP="009C0362">
      <w:pPr>
        <w:rPr>
          <w:sz w:val="24"/>
          <w:szCs w:val="24"/>
        </w:rPr>
      </w:pPr>
    </w:p>
    <w:p w14:paraId="14D6D308" w14:textId="3411974E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BRASIL. Ministério da Saúde. Secretaria de Vigilância em Saúde. </w:t>
      </w:r>
      <w:r w:rsidRPr="009C0362">
        <w:rPr>
          <w:b/>
          <w:bCs/>
          <w:sz w:val="24"/>
          <w:szCs w:val="24"/>
        </w:rPr>
        <w:t>Manual de vigilância da leishmaniose visceral: recomendações para diagnóstico, tratamento e acompanhamento de casos humanos</w:t>
      </w:r>
      <w:r w:rsidRPr="009C0362">
        <w:rPr>
          <w:sz w:val="24"/>
          <w:szCs w:val="24"/>
        </w:rPr>
        <w:t>. Brasília: Ministério da Saúde, 2014. 120 p.</w:t>
      </w:r>
    </w:p>
    <w:p w14:paraId="1AFE6C7A" w14:textId="77777777" w:rsidR="009C0362" w:rsidRPr="009C0362" w:rsidRDefault="009C0362" w:rsidP="009C0362">
      <w:pPr>
        <w:rPr>
          <w:sz w:val="24"/>
          <w:szCs w:val="24"/>
        </w:rPr>
      </w:pPr>
    </w:p>
    <w:p w14:paraId="106AA690" w14:textId="00E4B78E" w:rsidR="00965F8A" w:rsidRDefault="009C0362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BRASIL</w:t>
      </w:r>
      <w:r w:rsidR="00000000" w:rsidRPr="009C0362">
        <w:rPr>
          <w:sz w:val="24"/>
          <w:szCs w:val="24"/>
        </w:rPr>
        <w:t xml:space="preserve">. Ministério da Saúde. </w:t>
      </w:r>
      <w:r w:rsidR="00000000" w:rsidRPr="009C0362">
        <w:rPr>
          <w:b/>
          <w:bCs/>
          <w:sz w:val="24"/>
          <w:szCs w:val="24"/>
        </w:rPr>
        <w:t>Guia de Vigilância em Saúde</w:t>
      </w:r>
      <w:r w:rsidR="00000000" w:rsidRPr="009C0362">
        <w:rPr>
          <w:sz w:val="24"/>
          <w:szCs w:val="24"/>
        </w:rPr>
        <w:t>. 3.ª ed. Brasília-DF: Ministério da Saúde, 2019. Disponível em: </w:t>
      </w:r>
      <w:hyperlink r:id="rId9">
        <w:r w:rsidR="00000000" w:rsidRPr="009C0362">
          <w:rPr>
            <w:sz w:val="24"/>
            <w:szCs w:val="24"/>
          </w:rPr>
          <w:t>https://portaldeboaspraticas</w:t>
        </w:r>
      </w:hyperlink>
      <w:r w:rsidR="00000000" w:rsidRPr="009C0362">
        <w:rPr>
          <w:sz w:val="24"/>
          <w:szCs w:val="24"/>
        </w:rPr>
        <w:t>. iff.fiocruz.br/biblioteca/guia-de-</w:t>
      </w:r>
      <w:r w:rsidRPr="009C0362">
        <w:rPr>
          <w:sz w:val="24"/>
          <w:szCs w:val="24"/>
        </w:rPr>
        <w:t>vigilância</w:t>
      </w:r>
      <w:r w:rsidR="00000000" w:rsidRPr="009C0362">
        <w:rPr>
          <w:sz w:val="24"/>
          <w:szCs w:val="24"/>
        </w:rPr>
        <w:t>-em-</w:t>
      </w:r>
      <w:r w:rsidRPr="009C0362">
        <w:rPr>
          <w:sz w:val="24"/>
          <w:szCs w:val="24"/>
        </w:rPr>
        <w:t>saúde/ Acesso</w:t>
      </w:r>
      <w:r w:rsidR="00000000" w:rsidRPr="009C0362">
        <w:rPr>
          <w:sz w:val="24"/>
          <w:szCs w:val="24"/>
        </w:rPr>
        <w:t> em: 10 ago. 2025. </w:t>
      </w:r>
    </w:p>
    <w:p w14:paraId="2AA6195A" w14:textId="77777777" w:rsidR="009C0362" w:rsidRPr="009C0362" w:rsidRDefault="009C0362" w:rsidP="009C0362">
      <w:pPr>
        <w:rPr>
          <w:sz w:val="24"/>
          <w:szCs w:val="24"/>
        </w:rPr>
      </w:pPr>
    </w:p>
    <w:p w14:paraId="66848ED1" w14:textId="52830FC5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CAVALCANTE, Ítalo José Mesquita; VALE, Marcus Raimundo. </w:t>
      </w:r>
      <w:r w:rsidRPr="009C0362">
        <w:rPr>
          <w:b/>
          <w:bCs/>
          <w:sz w:val="24"/>
          <w:szCs w:val="24"/>
        </w:rPr>
        <w:t>Aspectos epidemiológicos da leishmaniose visceral (calazar) no Ceará no período de 2007 a 2011</w:t>
      </w:r>
      <w:r w:rsidRPr="009C0362">
        <w:rPr>
          <w:sz w:val="24"/>
          <w:szCs w:val="24"/>
        </w:rPr>
        <w:t>. Rev </w:t>
      </w:r>
      <w:proofErr w:type="spellStart"/>
      <w:r w:rsidRPr="009C0362">
        <w:rPr>
          <w:sz w:val="24"/>
          <w:szCs w:val="24"/>
        </w:rPr>
        <w:t>Bras</w:t>
      </w:r>
      <w:proofErr w:type="spellEnd"/>
      <w:r w:rsidRPr="009C0362">
        <w:rPr>
          <w:sz w:val="24"/>
          <w:szCs w:val="24"/>
        </w:rPr>
        <w:t> </w:t>
      </w:r>
      <w:proofErr w:type="spellStart"/>
      <w:r w:rsidRPr="009C0362">
        <w:rPr>
          <w:sz w:val="24"/>
          <w:szCs w:val="24"/>
        </w:rPr>
        <w:t>Epid</w:t>
      </w:r>
      <w:proofErr w:type="spellEnd"/>
      <w:r w:rsidRPr="009C0362">
        <w:rPr>
          <w:sz w:val="24"/>
          <w:szCs w:val="24"/>
        </w:rPr>
        <w:t>. </w:t>
      </w:r>
      <w:r w:rsidR="009C0362" w:rsidRPr="009C0362">
        <w:rPr>
          <w:sz w:val="24"/>
          <w:szCs w:val="24"/>
        </w:rPr>
        <w:t>2014; v.</w:t>
      </w:r>
      <w:r w:rsidRPr="009C0362">
        <w:rPr>
          <w:sz w:val="24"/>
          <w:szCs w:val="24"/>
        </w:rPr>
        <w:t>17, n.4, p. 911-24. DOI: 10.1590/1809-4503201400040010. Acesso em: 12 ago 2025.</w:t>
      </w:r>
    </w:p>
    <w:p w14:paraId="48CF6AB1" w14:textId="77777777" w:rsidR="009C0362" w:rsidRPr="009C0362" w:rsidRDefault="009C0362" w:rsidP="009C0362">
      <w:pPr>
        <w:rPr>
          <w:sz w:val="24"/>
          <w:szCs w:val="24"/>
        </w:rPr>
      </w:pPr>
    </w:p>
    <w:p w14:paraId="037744B6" w14:textId="57AE37A6" w:rsidR="009C0362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CHAGAS, </w:t>
      </w:r>
      <w:proofErr w:type="spellStart"/>
      <w:r w:rsidRPr="009C0362">
        <w:rPr>
          <w:sz w:val="24"/>
          <w:szCs w:val="24"/>
        </w:rPr>
        <w:t>Anadeiva</w:t>
      </w:r>
      <w:proofErr w:type="spellEnd"/>
      <w:r w:rsidRPr="009C0362">
        <w:rPr>
          <w:sz w:val="24"/>
          <w:szCs w:val="24"/>
        </w:rPr>
        <w:t xml:space="preserve"> Portela; et al. </w:t>
      </w:r>
      <w:r w:rsidRPr="009C0362">
        <w:rPr>
          <w:b/>
          <w:bCs/>
          <w:sz w:val="24"/>
          <w:szCs w:val="24"/>
        </w:rPr>
        <w:t>Aspectos ecológicos de flebotomíneos em focos de leishmaniose na Amazônia Oriental, Estado do Pará, Brasil</w:t>
      </w:r>
      <w:r w:rsidRPr="009C0362">
        <w:rPr>
          <w:sz w:val="24"/>
          <w:szCs w:val="24"/>
        </w:rPr>
        <w:t>. Revista Pan-Amazônica de Saúde. v. 7, p. 123-32, 2016. Disponível em: https:/</w:t>
      </w:r>
      <w:r w:rsidR="009C0362" w:rsidRPr="009C0362">
        <w:rPr>
          <w:sz w:val="24"/>
          <w:szCs w:val="24"/>
        </w:rPr>
        <w:t>/. pesquisa.bvsalud.org</w:t>
      </w:r>
      <w:r w:rsidRPr="009C0362">
        <w:rPr>
          <w:sz w:val="24"/>
          <w:szCs w:val="24"/>
        </w:rPr>
        <w:t>/portal/</w:t>
      </w:r>
      <w:proofErr w:type="spellStart"/>
      <w:r w:rsidRPr="009C0362">
        <w:rPr>
          <w:sz w:val="24"/>
          <w:szCs w:val="24"/>
        </w:rPr>
        <w:t>resource</w:t>
      </w:r>
      <w:proofErr w:type="spellEnd"/>
      <w:r w:rsidRPr="009C0362">
        <w:rPr>
          <w:sz w:val="24"/>
          <w:szCs w:val="24"/>
        </w:rPr>
        <w:t>/</w:t>
      </w:r>
      <w:proofErr w:type="spellStart"/>
      <w:r w:rsidRPr="009C0362">
        <w:rPr>
          <w:sz w:val="24"/>
          <w:szCs w:val="24"/>
        </w:rPr>
        <w:t>pt</w:t>
      </w:r>
      <w:proofErr w:type="spellEnd"/>
      <w:r w:rsidRPr="009C0362">
        <w:rPr>
          <w:sz w:val="24"/>
          <w:szCs w:val="24"/>
        </w:rPr>
        <w:t>/</w:t>
      </w:r>
      <w:proofErr w:type="spellStart"/>
      <w:r w:rsidRPr="009C0362">
        <w:rPr>
          <w:sz w:val="24"/>
          <w:szCs w:val="24"/>
        </w:rPr>
        <w:t>iec</w:t>
      </w:r>
      <w:proofErr w:type="spellEnd"/>
      <w:r w:rsidRPr="009C0362">
        <w:rPr>
          <w:sz w:val="24"/>
          <w:szCs w:val="24"/>
        </w:rPr>
        <w:t>- 15855. Acesso em: 19 ago 2025.</w:t>
      </w:r>
    </w:p>
    <w:p w14:paraId="0667E416" w14:textId="0900EC56" w:rsidR="00965F8A" w:rsidRPr="009C0362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 </w:t>
      </w:r>
    </w:p>
    <w:p w14:paraId="5AA5D2A4" w14:textId="686EFDC9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ELLWANGER, Joel Henrique; et al. </w:t>
      </w:r>
      <w:r w:rsidRPr="009C0362">
        <w:rPr>
          <w:b/>
          <w:bCs/>
          <w:sz w:val="24"/>
          <w:szCs w:val="24"/>
        </w:rPr>
        <w:t>Além da perda de diversidade e das mudanças climáticas: Impactos do desmatamento da Amazônia em doenças infecciosas e saúde pública</w:t>
      </w:r>
      <w:r w:rsidRPr="009C0362">
        <w:rPr>
          <w:sz w:val="24"/>
          <w:szCs w:val="24"/>
        </w:rPr>
        <w:t>. An Acad </w:t>
      </w:r>
      <w:proofErr w:type="spellStart"/>
      <w:r w:rsidRPr="009C0362">
        <w:rPr>
          <w:sz w:val="24"/>
          <w:szCs w:val="24"/>
        </w:rPr>
        <w:t>Bras</w:t>
      </w:r>
      <w:proofErr w:type="spellEnd"/>
      <w:r w:rsidRPr="009C0362">
        <w:rPr>
          <w:sz w:val="24"/>
          <w:szCs w:val="24"/>
        </w:rPr>
        <w:t> Cienc. 2020; 92:e20191375.</w:t>
      </w:r>
    </w:p>
    <w:p w14:paraId="12898CEB" w14:textId="77777777" w:rsidR="009C0362" w:rsidRPr="009C0362" w:rsidRDefault="009C0362" w:rsidP="009C0362">
      <w:pPr>
        <w:rPr>
          <w:sz w:val="24"/>
          <w:szCs w:val="24"/>
        </w:rPr>
      </w:pPr>
    </w:p>
    <w:p w14:paraId="268ED5B1" w14:textId="07FD2DF4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  <w:lang w:val="de-DE"/>
        </w:rPr>
        <w:t>FEARNSIDE, Philip Martin; LAURANCE, William Frederick. </w:t>
      </w:r>
      <w:r w:rsidRPr="009C0362">
        <w:rPr>
          <w:b/>
          <w:bCs/>
          <w:sz w:val="24"/>
          <w:szCs w:val="24"/>
        </w:rPr>
        <w:t>Infraestrutura na Amazônia: as lições dos planos plurianuais</w:t>
      </w:r>
      <w:r w:rsidRPr="009C0362">
        <w:rPr>
          <w:sz w:val="24"/>
          <w:szCs w:val="24"/>
        </w:rPr>
        <w:t>. Caderno CRH. 2012;25(64):87-98. Available from: </w:t>
      </w:r>
      <w:hyperlink r:id="rId10">
        <w:r w:rsidRPr="009C0362">
          <w:rPr>
            <w:sz w:val="24"/>
            <w:szCs w:val="24"/>
          </w:rPr>
          <w:t>https://www.scielo.br/j/ccrh/a/G8xqjZFxwjgwjRd9PSx3jKs/?format=pdf</w:t>
        </w:r>
      </w:hyperlink>
      <w:hyperlink r:id="rId11">
        <w:r w:rsidRPr="009C0362">
          <w:rPr>
            <w:rFonts w:ascii="Cambria Math" w:eastAsia="Cambria Math" w:hAnsi="Cambria Math" w:cs="Cambria Math"/>
            <w:sz w:val="24"/>
            <w:szCs w:val="24"/>
          </w:rPr>
          <w:t>⟨</w:t>
        </w:r>
      </w:hyperlink>
      <w:hyperlink r:id="rId12">
        <w:r w:rsidRPr="009C0362">
          <w:rPr>
            <w:sz w:val="24"/>
            <w:szCs w:val="24"/>
          </w:rPr>
          <w:t>=pt</w:t>
        </w:r>
      </w:hyperlink>
      <w:r w:rsidRPr="009C0362">
        <w:rPr>
          <w:sz w:val="24"/>
          <w:szCs w:val="24"/>
        </w:rPr>
        <w:t> » </w:t>
      </w:r>
      <w:hyperlink r:id="rId13">
        <w:r w:rsidRPr="009C0362">
          <w:rPr>
            <w:sz w:val="24"/>
            <w:szCs w:val="24"/>
          </w:rPr>
          <w:t>https://www.scielo.br/j/ccrh/a/G8xqjZFxwjgwjRd9PSx3jKs/?format=pdf</w:t>
        </w:r>
      </w:hyperlink>
      <w:hyperlink r:id="rId14">
        <w:r w:rsidRPr="009C0362">
          <w:rPr>
            <w:rFonts w:ascii="Cambria Math" w:eastAsia="Cambria Math" w:hAnsi="Cambria Math" w:cs="Cambria Math"/>
            <w:sz w:val="24"/>
            <w:szCs w:val="24"/>
          </w:rPr>
          <w:t>⟨</w:t>
        </w:r>
      </w:hyperlink>
      <w:hyperlink r:id="rId15">
        <w:r w:rsidRPr="009C0362">
          <w:rPr>
            <w:sz w:val="24"/>
            <w:szCs w:val="24"/>
          </w:rPr>
          <w:t>=pt</w:t>
        </w:r>
      </w:hyperlink>
    </w:p>
    <w:p w14:paraId="0ED6DC29" w14:textId="77777777" w:rsidR="009C0362" w:rsidRPr="009C0362" w:rsidRDefault="009C0362" w:rsidP="009C0362">
      <w:pPr>
        <w:rPr>
          <w:sz w:val="24"/>
          <w:szCs w:val="24"/>
        </w:rPr>
      </w:pPr>
    </w:p>
    <w:p w14:paraId="50A8A14B" w14:textId="5199BD3C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INSTITUTO BRASILEIRO DE GEOGRAFIA E ESTATÍSTICA (IBGE). </w:t>
      </w:r>
      <w:r w:rsidRPr="009C0362">
        <w:rPr>
          <w:b/>
          <w:bCs/>
          <w:sz w:val="24"/>
          <w:szCs w:val="24"/>
        </w:rPr>
        <w:t>Cametá</w:t>
      </w:r>
      <w:r w:rsidRPr="009C0362">
        <w:rPr>
          <w:sz w:val="24"/>
          <w:szCs w:val="24"/>
        </w:rPr>
        <w:t>. Código 1502103. Available from: </w:t>
      </w:r>
      <w:hyperlink r:id="rId16">
        <w:r w:rsidRPr="009C0362">
          <w:rPr>
            <w:sz w:val="24"/>
            <w:szCs w:val="24"/>
          </w:rPr>
          <w:t>https://www.ibge.gov.br/cidades-e-estados/pa/cameta.html</w:t>
        </w:r>
      </w:hyperlink>
      <w:r w:rsidRPr="009C0362">
        <w:rPr>
          <w:sz w:val="24"/>
          <w:szCs w:val="24"/>
        </w:rPr>
        <w:t> » </w:t>
      </w:r>
      <w:hyperlink r:id="rId17">
        <w:r w:rsidRPr="009C0362">
          <w:rPr>
            <w:sz w:val="24"/>
            <w:szCs w:val="24"/>
          </w:rPr>
          <w:t>https://www.ibge.gov.br/cidades-e-estados/pa/cameta.html</w:t>
        </w:r>
      </w:hyperlink>
    </w:p>
    <w:p w14:paraId="478FC41E" w14:textId="77777777" w:rsidR="009C0362" w:rsidRPr="009C0362" w:rsidRDefault="009C0362" w:rsidP="009C0362">
      <w:pPr>
        <w:rPr>
          <w:sz w:val="24"/>
          <w:szCs w:val="24"/>
        </w:rPr>
      </w:pPr>
    </w:p>
    <w:p w14:paraId="7040AAB6" w14:textId="48DF16D9" w:rsidR="009C0362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lastRenderedPageBreak/>
        <w:t xml:space="preserve">MIRANDA, Beatriz Oliveira; SILVA, Lucas Henrique da Silva E; VIANA, Jéssica Herzog. </w:t>
      </w:r>
      <w:r w:rsidRPr="009C0362">
        <w:rPr>
          <w:b/>
          <w:bCs/>
          <w:sz w:val="24"/>
          <w:szCs w:val="24"/>
        </w:rPr>
        <w:t>Estudo epidemiológico de casos de leishmaniose visceral no município de </w:t>
      </w:r>
      <w:r w:rsidR="009C0362" w:rsidRPr="009C0362">
        <w:rPr>
          <w:b/>
          <w:bCs/>
          <w:sz w:val="24"/>
          <w:szCs w:val="24"/>
        </w:rPr>
        <w:t>Cametá Pará</w:t>
      </w:r>
      <w:r w:rsidRPr="009C0362">
        <w:rPr>
          <w:b/>
          <w:bCs/>
          <w:sz w:val="24"/>
          <w:szCs w:val="24"/>
        </w:rPr>
        <w:t>. in: simpósio de doenças infecto-parasitárias na </w:t>
      </w:r>
      <w:r w:rsidR="009C0362" w:rsidRPr="009C0362">
        <w:rPr>
          <w:b/>
          <w:bCs/>
          <w:sz w:val="24"/>
          <w:szCs w:val="24"/>
        </w:rPr>
        <w:t>Amazônia</w:t>
      </w:r>
      <w:r w:rsidRPr="009C0362">
        <w:rPr>
          <w:b/>
          <w:bCs/>
          <w:sz w:val="24"/>
          <w:szCs w:val="24"/>
        </w:rPr>
        <w:t> - </w:t>
      </w:r>
      <w:r w:rsidR="009C0362" w:rsidRPr="009C0362">
        <w:rPr>
          <w:b/>
          <w:bCs/>
          <w:sz w:val="24"/>
          <w:szCs w:val="24"/>
        </w:rPr>
        <w:t>Belém</w:t>
      </w:r>
      <w:r w:rsidRPr="009C0362">
        <w:rPr>
          <w:b/>
          <w:bCs/>
          <w:sz w:val="24"/>
          <w:szCs w:val="24"/>
        </w:rPr>
        <w:t>/pa, 2019.</w:t>
      </w:r>
    </w:p>
    <w:p w14:paraId="2FE72B10" w14:textId="77777777" w:rsidR="009C0362" w:rsidRPr="009C0362" w:rsidRDefault="009C0362" w:rsidP="009C0362">
      <w:pPr>
        <w:rPr>
          <w:sz w:val="24"/>
          <w:szCs w:val="24"/>
        </w:rPr>
      </w:pPr>
    </w:p>
    <w:p w14:paraId="7BE1FA9B" w14:textId="0D91266A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PONTES, Altem Nascimento. </w:t>
      </w:r>
      <w:r w:rsidRPr="009C0362">
        <w:rPr>
          <w:b/>
          <w:bCs/>
          <w:sz w:val="24"/>
          <w:szCs w:val="24"/>
        </w:rPr>
        <w:t>Doenças tropicais negligenciadas e vulnerabilidades socioambientais em capitais amazônicas. </w:t>
      </w:r>
      <w:r w:rsidRPr="009C0362">
        <w:rPr>
          <w:sz w:val="24"/>
          <w:szCs w:val="24"/>
        </w:rPr>
        <w:t>Pesquisa, Sociedade e Desenvolvimento. 2020;9: e502997502-e502997502.</w:t>
      </w:r>
    </w:p>
    <w:p w14:paraId="5E557998" w14:textId="77777777" w:rsidR="009C0362" w:rsidRPr="009C0362" w:rsidRDefault="009C0362" w:rsidP="009C0362">
      <w:pPr>
        <w:rPr>
          <w:sz w:val="24"/>
          <w:szCs w:val="24"/>
        </w:rPr>
      </w:pPr>
    </w:p>
    <w:p w14:paraId="2757FB21" w14:textId="1026A9FE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ORGANIZAÇÃO MUNDIAL DA SAÚDE. OMS e Gilead Sciences. </w:t>
      </w:r>
      <w:r w:rsidRPr="009C0362">
        <w:rPr>
          <w:b/>
          <w:bCs/>
          <w:sz w:val="24"/>
          <w:szCs w:val="24"/>
        </w:rPr>
        <w:t>Estendem acordo de colaboração para ampliar o acesso ao tratamento da leishmaniose visceral.</w:t>
      </w:r>
      <w:r w:rsidRPr="009C0362">
        <w:rPr>
          <w:sz w:val="24"/>
          <w:szCs w:val="24"/>
        </w:rPr>
        <w:t xml:space="preserve"> Geneva, 26 jan. 2023. </w:t>
      </w:r>
    </w:p>
    <w:p w14:paraId="56447891" w14:textId="77777777" w:rsidR="009C0362" w:rsidRPr="009C0362" w:rsidRDefault="009C0362" w:rsidP="009C0362">
      <w:pPr>
        <w:rPr>
          <w:sz w:val="24"/>
          <w:szCs w:val="24"/>
        </w:rPr>
      </w:pPr>
    </w:p>
    <w:p w14:paraId="7549ED56" w14:textId="6AB4A218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ORGANIZAÇÃO MUNDIAL DA SAÚDE</w:t>
      </w:r>
      <w:r w:rsidRPr="009C0362">
        <w:rPr>
          <w:b/>
          <w:bCs/>
          <w:sz w:val="24"/>
          <w:szCs w:val="24"/>
        </w:rPr>
        <w:t>. Situação de endemicidade da leishmaniose visceral em todo o mundo, 2018</w:t>
      </w:r>
      <w:r w:rsidRPr="009C0362">
        <w:rPr>
          <w:sz w:val="24"/>
          <w:szCs w:val="24"/>
        </w:rPr>
        <w:t>.</w:t>
      </w:r>
    </w:p>
    <w:p w14:paraId="66DE88CB" w14:textId="77777777" w:rsidR="009C0362" w:rsidRPr="009C0362" w:rsidRDefault="009C0362" w:rsidP="009C0362">
      <w:pPr>
        <w:rPr>
          <w:sz w:val="24"/>
          <w:szCs w:val="24"/>
        </w:rPr>
      </w:pPr>
    </w:p>
    <w:p w14:paraId="3022FFF8" w14:textId="0232CB30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OVALLOS, Fredy </w:t>
      </w:r>
      <w:proofErr w:type="spellStart"/>
      <w:r w:rsidRPr="009C0362">
        <w:rPr>
          <w:sz w:val="24"/>
          <w:szCs w:val="24"/>
        </w:rPr>
        <w:t>Galvis</w:t>
      </w:r>
      <w:proofErr w:type="spellEnd"/>
      <w:r w:rsidRPr="009C0362">
        <w:rPr>
          <w:sz w:val="24"/>
          <w:szCs w:val="24"/>
        </w:rPr>
        <w:t>; et al. </w:t>
      </w:r>
      <w:r w:rsidRPr="009C0362">
        <w:rPr>
          <w:b/>
          <w:bCs/>
          <w:sz w:val="24"/>
          <w:szCs w:val="24"/>
        </w:rPr>
        <w:t>Leishmanioses no brasil: aspectos epidemiológicos, desafios e perspectivas.</w:t>
      </w:r>
      <w:r w:rsidRPr="009C0362">
        <w:rPr>
          <w:sz w:val="24"/>
          <w:szCs w:val="24"/>
        </w:rPr>
        <w:t> Stricto sensu editora, São Paulo 15 julho 2020, DOI: 10.35170/ss.ed.9786586283136.13.</w:t>
      </w:r>
    </w:p>
    <w:p w14:paraId="1155F877" w14:textId="77777777" w:rsidR="009C0362" w:rsidRPr="009C0362" w:rsidRDefault="009C0362" w:rsidP="009C0362">
      <w:pPr>
        <w:rPr>
          <w:sz w:val="24"/>
          <w:szCs w:val="24"/>
        </w:rPr>
      </w:pPr>
    </w:p>
    <w:p w14:paraId="49C28D28" w14:textId="1AED0715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REIS, Lisiane </w:t>
      </w:r>
      <w:proofErr w:type="spellStart"/>
      <w:r w:rsidRPr="009C0362">
        <w:rPr>
          <w:sz w:val="24"/>
          <w:szCs w:val="24"/>
        </w:rPr>
        <w:t>Lappe</w:t>
      </w:r>
      <w:proofErr w:type="spellEnd"/>
      <w:r w:rsidRPr="009C0362">
        <w:rPr>
          <w:sz w:val="24"/>
          <w:szCs w:val="24"/>
        </w:rPr>
        <w:t> dos; et al</w:t>
      </w:r>
      <w:r w:rsidRPr="009C0362">
        <w:rPr>
          <w:b/>
          <w:bCs/>
          <w:sz w:val="24"/>
          <w:szCs w:val="24"/>
        </w:rPr>
        <w:t>. Leishmaniose visceral e sua relação com fatores climáticos e ambientais no Estado do Tocantins, Brasil, de 2007 a 2014</w:t>
      </w:r>
      <w:r w:rsidRPr="009C0362">
        <w:rPr>
          <w:sz w:val="24"/>
          <w:szCs w:val="24"/>
        </w:rPr>
        <w:t>. Cadernos de Saúde Pública. 2019;35(1):e00047018.</w:t>
      </w:r>
    </w:p>
    <w:p w14:paraId="2792D75C" w14:textId="77777777" w:rsidR="009C0362" w:rsidRPr="009C0362" w:rsidRDefault="009C0362" w:rsidP="009C0362">
      <w:pPr>
        <w:rPr>
          <w:sz w:val="24"/>
          <w:szCs w:val="24"/>
        </w:rPr>
      </w:pPr>
    </w:p>
    <w:p w14:paraId="47AE1CFC" w14:textId="77777777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RUTLEDGE, L.C.; ELLENWOOD, D.A</w:t>
      </w:r>
      <w:r w:rsidRPr="009C0362">
        <w:rPr>
          <w:b/>
          <w:bCs/>
          <w:sz w:val="24"/>
          <w:szCs w:val="24"/>
        </w:rPr>
        <w:t>. Produção de flebotomíneos no solo de floresta aberta no Panamá: o complemento de espécies.</w:t>
      </w:r>
      <w:r w:rsidRPr="009C0362">
        <w:rPr>
          <w:sz w:val="24"/>
          <w:szCs w:val="24"/>
        </w:rPr>
        <w:t xml:space="preserve"> Entomologia Ambiental. 1975;4(1):71-7. Disponível em: </w:t>
      </w:r>
      <w:hyperlink r:id="rId18">
        <w:r w:rsidRPr="009C0362">
          <w:rPr>
            <w:sz w:val="24"/>
            <w:szCs w:val="24"/>
          </w:rPr>
          <w:t>https://agris.fao.org/agris-search/search.do?recordID=US201302725482</w:t>
        </w:r>
      </w:hyperlink>
      <w:r w:rsidRPr="009C0362">
        <w:rPr>
          <w:sz w:val="24"/>
          <w:szCs w:val="24"/>
        </w:rPr>
        <w:t xml:space="preserve"> » </w:t>
      </w:r>
    </w:p>
    <w:p w14:paraId="47E59116" w14:textId="77777777" w:rsidR="009C0362" w:rsidRPr="009C0362" w:rsidRDefault="009C0362" w:rsidP="009C0362">
      <w:pPr>
        <w:rPr>
          <w:sz w:val="24"/>
          <w:szCs w:val="24"/>
        </w:rPr>
      </w:pPr>
    </w:p>
    <w:p w14:paraId="7D9AC722" w14:textId="4CFBD647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 xml:space="preserve">SILVA, R.A.; ALVES, R.V.; JÚNIOR, F.E.F.L.; COSTA, J.N.G.; DONATO, L.E.; GOMES, M.L.S. Leishmaniose visceral. </w:t>
      </w:r>
      <w:r w:rsidRPr="009C0362">
        <w:rPr>
          <w:b/>
          <w:bCs/>
          <w:sz w:val="24"/>
          <w:szCs w:val="24"/>
        </w:rPr>
        <w:t>Boletim Epidemiológico. Vigilância em saúde no Brasil 2003-2019.</w:t>
      </w:r>
      <w:r w:rsidRPr="009C0362">
        <w:rPr>
          <w:sz w:val="24"/>
          <w:szCs w:val="24"/>
        </w:rPr>
        <w:t xml:space="preserve"> 2019;50(n. </w:t>
      </w:r>
      <w:proofErr w:type="spellStart"/>
      <w:r w:rsidRPr="009C0362">
        <w:rPr>
          <w:sz w:val="24"/>
          <w:szCs w:val="24"/>
        </w:rPr>
        <w:t>esp</w:t>
      </w:r>
      <w:proofErr w:type="spellEnd"/>
      <w:r w:rsidRPr="009C0362">
        <w:rPr>
          <w:sz w:val="24"/>
          <w:szCs w:val="24"/>
        </w:rPr>
        <w:t>):42-3.</w:t>
      </w:r>
    </w:p>
    <w:p w14:paraId="78C65E14" w14:textId="77777777" w:rsidR="009C0362" w:rsidRPr="009C0362" w:rsidRDefault="009C0362" w:rsidP="009C0362">
      <w:pPr>
        <w:rPr>
          <w:sz w:val="24"/>
          <w:szCs w:val="24"/>
        </w:rPr>
      </w:pPr>
    </w:p>
    <w:p w14:paraId="35D67084" w14:textId="21C456FB" w:rsidR="00965F8A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SOUZA, Adelson Alcimar Almeida de; et al.</w:t>
      </w:r>
      <w:r w:rsidR="009C0362">
        <w:rPr>
          <w:sz w:val="24"/>
          <w:szCs w:val="24"/>
        </w:rPr>
        <w:t xml:space="preserve"> </w:t>
      </w:r>
      <w:r w:rsidRPr="009C0362">
        <w:rPr>
          <w:b/>
          <w:bCs/>
          <w:sz w:val="24"/>
          <w:szCs w:val="24"/>
        </w:rPr>
        <w:t xml:space="preserve">Flebotomíneos de área endêmica de Leishmaniose visceral de Cametá - Pará, Mesorregião do Nordeste Paraense. </w:t>
      </w:r>
      <w:r w:rsidRPr="009C0362">
        <w:rPr>
          <w:sz w:val="24"/>
          <w:szCs w:val="24"/>
        </w:rPr>
        <w:t>Revista da Sociedade Brasileira de Medicina Tropical, v. 41, supl. I, p. 200, 2008. Disponível em: </w:t>
      </w:r>
      <w:hyperlink r:id="rId19">
        <w:r w:rsidRPr="009C0362">
          <w:rPr>
            <w:sz w:val="24"/>
            <w:szCs w:val="24"/>
          </w:rPr>
          <w:t>https://patua.iec.gov.br/</w:t>
        </w:r>
      </w:hyperlink>
      <w:r w:rsidRPr="009C0362">
        <w:rPr>
          <w:sz w:val="24"/>
          <w:szCs w:val="24"/>
        </w:rPr>
        <w:t> </w:t>
      </w:r>
      <w:proofErr w:type="spellStart"/>
      <w:r w:rsidRPr="009C0362">
        <w:rPr>
          <w:sz w:val="24"/>
          <w:szCs w:val="24"/>
        </w:rPr>
        <w:t>handle</w:t>
      </w:r>
      <w:proofErr w:type="spellEnd"/>
      <w:r w:rsidRPr="009C0362">
        <w:rPr>
          <w:sz w:val="24"/>
          <w:szCs w:val="24"/>
        </w:rPr>
        <w:t>/</w:t>
      </w:r>
      <w:proofErr w:type="spellStart"/>
      <w:r w:rsidRPr="009C0362">
        <w:rPr>
          <w:sz w:val="24"/>
          <w:szCs w:val="24"/>
        </w:rPr>
        <w:t>iec</w:t>
      </w:r>
      <w:proofErr w:type="spellEnd"/>
      <w:r w:rsidRPr="009C0362">
        <w:rPr>
          <w:sz w:val="24"/>
          <w:szCs w:val="24"/>
        </w:rPr>
        <w:t>/1646. Acesso: 15 ago 2025.</w:t>
      </w:r>
    </w:p>
    <w:p w14:paraId="63C1DFBA" w14:textId="77777777" w:rsidR="009C0362" w:rsidRPr="009C0362" w:rsidRDefault="009C0362" w:rsidP="009C0362">
      <w:pPr>
        <w:rPr>
          <w:sz w:val="24"/>
          <w:szCs w:val="24"/>
        </w:rPr>
      </w:pPr>
    </w:p>
    <w:p w14:paraId="7EA759E2" w14:textId="1C5FC990" w:rsidR="00965F8A" w:rsidRPr="009C0362" w:rsidRDefault="00000000" w:rsidP="009C0362">
      <w:pPr>
        <w:rPr>
          <w:sz w:val="24"/>
          <w:szCs w:val="24"/>
        </w:rPr>
      </w:pPr>
      <w:r w:rsidRPr="009C0362">
        <w:rPr>
          <w:sz w:val="24"/>
          <w:szCs w:val="24"/>
        </w:rPr>
        <w:t>XAVIER, Helton Viana; et al. </w:t>
      </w:r>
      <w:r w:rsidRPr="009C0362">
        <w:rPr>
          <w:b/>
          <w:bCs/>
          <w:sz w:val="24"/>
          <w:szCs w:val="24"/>
        </w:rPr>
        <w:t>Desenvolvimento territorial e humano: análise do índice de desenvolvimento humano municipal dos territórios rurais paraense</w:t>
      </w:r>
      <w:r w:rsidRPr="009C0362">
        <w:rPr>
          <w:sz w:val="24"/>
          <w:szCs w:val="24"/>
        </w:rPr>
        <w:t>. Revista Gestão e Secretariado (GeSec), São Paulo, v. 14, n. 8, p. 13236–13256, 2023. DOI: 10.7769/</w:t>
      </w:r>
      <w:r w:rsidR="009C0362" w:rsidRPr="009C0362">
        <w:rPr>
          <w:sz w:val="24"/>
          <w:szCs w:val="24"/>
        </w:rPr>
        <w:t>gesec. v</w:t>
      </w:r>
      <w:r w:rsidRPr="009C0362">
        <w:rPr>
          <w:sz w:val="24"/>
          <w:szCs w:val="24"/>
        </w:rPr>
        <w:t>14i8.2598. </w:t>
      </w:r>
    </w:p>
    <w:sectPr w:rsidR="00965F8A" w:rsidRPr="009C0362">
      <w:headerReference w:type="default" r:id="rId20"/>
      <w:footerReference w:type="default" r:id="rId2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1B038" w14:textId="77777777" w:rsidR="00FD114C" w:rsidRDefault="00FD114C">
      <w:r>
        <w:separator/>
      </w:r>
    </w:p>
  </w:endnote>
  <w:endnote w:type="continuationSeparator" w:id="0">
    <w:p w14:paraId="45148ED0" w14:textId="77777777" w:rsidR="00FD114C" w:rsidRDefault="00FD1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FC532AB-DABB-462B-9B4E-91962948C9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A0D553A-DE49-4A9C-B3A2-844B966D771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75C3C4-C6B9-4C9F-9A09-4F1B112B86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146BF6-EDD6-4806-83FA-9D727A742D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B9868E-58BD-45B3-BEA4-7EE2CC006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768C2" w14:textId="77777777" w:rsidR="00965F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552292" wp14:editId="611C1E05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EB8891A" wp14:editId="58705168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7EFEE00" wp14:editId="7A8A736D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C7B1F59" wp14:editId="0A6E71D3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A1172FC" wp14:editId="1A750464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63637D0" wp14:editId="3907E4FB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4C109" w14:textId="77777777" w:rsidR="00FD114C" w:rsidRDefault="00FD114C">
      <w:r>
        <w:separator/>
      </w:r>
    </w:p>
  </w:footnote>
  <w:footnote w:type="continuationSeparator" w:id="0">
    <w:p w14:paraId="4D50A70A" w14:textId="77777777" w:rsidR="00FD114C" w:rsidRDefault="00FD1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8EB6F" w14:textId="77777777" w:rsidR="00965F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A92EA11" wp14:editId="6A571E58">
          <wp:extent cx="2066925" cy="1104900"/>
          <wp:effectExtent l="0" t="0" r="0" b="0"/>
          <wp:docPr id="5" name="image7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206692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F8A"/>
    <w:rsid w:val="000C7E06"/>
    <w:rsid w:val="00965F8A"/>
    <w:rsid w:val="009C0362"/>
    <w:rsid w:val="00BC775B"/>
    <w:rsid w:val="00E67341"/>
    <w:rsid w:val="00FD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C9684C4"/>
  <w15:docId w15:val="{F2EA4322-5858-4ACD-9572-2F185499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C03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0362"/>
  </w:style>
  <w:style w:type="paragraph" w:styleId="Rodap">
    <w:name w:val="footer"/>
    <w:basedOn w:val="Normal"/>
    <w:link w:val="RodapChar"/>
    <w:uiPriority w:val="99"/>
    <w:unhideWhenUsed/>
    <w:rsid w:val="009C03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0362"/>
  </w:style>
  <w:style w:type="paragraph" w:styleId="PargrafodaLista">
    <w:name w:val="List Paragraph"/>
    <w:basedOn w:val="Normal"/>
    <w:uiPriority w:val="34"/>
    <w:qFormat/>
    <w:rsid w:val="00E67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deboaspraticas/" TargetMode="External"/><Relationship Id="rId13" Type="http://schemas.openxmlformats.org/officeDocument/2006/relationships/hyperlink" Target="https://www.scielo.br/j/ccrh/a/G8xqjZFxwjgwjRd9PSx3jKs/?format=pdf%E2%9F%A8=pt" TargetMode="External"/><Relationship Id="rId18" Type="http://schemas.openxmlformats.org/officeDocument/2006/relationships/hyperlink" Target="https://agris.fao.org/agris-search/search.do?recordID=US201302725482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s://www.scielo.br/j/ccrh/a/G8xqjZFxwjgwjRd9PSx3jKs/?format=pdf%E2%9F%A8=pt" TargetMode="External"/><Relationship Id="rId17" Type="http://schemas.openxmlformats.org/officeDocument/2006/relationships/hyperlink" Target="https://www.ibge.gov.br/cidades-e-estados/pa/cameta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bge.gov.br/cidades-e-estados/pa/cameta.html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scielo.br/j/ccrh/a/G8xqjZFxwjgwjRd9PSx3jKs/?format=pdf%E2%9F%A8=pt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scielo.br/j/ccrh/a/G8xqjZFxwjgwjRd9PSx3jKs/?format=pdf%E2%9F%A8=p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cielo.br/j/ccrh/a/G8xqjZFxwjgwjRd9PSx3jKs/?format=pdf%E2%9F%A8=pt" TargetMode="External"/><Relationship Id="rId19" Type="http://schemas.openxmlformats.org/officeDocument/2006/relationships/hyperlink" Target="https://patua.iec.gov.b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ortaldeboaspraticas/" TargetMode="External"/><Relationship Id="rId14" Type="http://schemas.openxmlformats.org/officeDocument/2006/relationships/hyperlink" Target="https://www.scielo.br/j/ccrh/a/G8xqjZFxwjgwjRd9PSx3jKs/?format=pdf%E2%9F%A8=p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3872</Words>
  <Characters>20915</Characters>
  <Application>Microsoft Office Word</Application>
  <DocSecurity>0</DocSecurity>
  <Lines>174</Lines>
  <Paragraphs>49</Paragraphs>
  <ScaleCrop>false</ScaleCrop>
  <Company/>
  <LinksUpToDate>false</LinksUpToDate>
  <CharactersWithSpaces>24738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8</cp:revision>
  <dcterms:created xsi:type="dcterms:W3CDTF">2025-12-02T13:55:00Z</dcterms:created>
  <dcterms:modified xsi:type="dcterms:W3CDTF">2025-12-02T14:09:00Z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