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96029B" w14:textId="77777777" w:rsidR="001D7B10" w:rsidRDefault="001D7B10" w:rsidP="002B432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ANÁLISE DO ÍNDICE DE COBERTURA ARBÓREA URBANA EM TRÊS DISTRITOS DE BELÉM: UM GRADIENTE CENTRO-PERIFERIA DO ACESSO A SERVIÇOS ECOSSISTÊMICOS</w:t>
      </w:r>
    </w:p>
    <w:p w14:paraId="07C7E2C0" w14:textId="77777777" w:rsidR="001D7B10" w:rsidRDefault="001D7B10" w:rsidP="002B432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D75A996" w14:textId="6CC154E0" w:rsidR="00FD46AA" w:rsidRDefault="001D7B10" w:rsidP="002B432F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Joathan Cipriano Castro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Hiago Felipe Cardoso Pacheco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Carlos Otávio Gurjão Filho³; Cintia da Silva Guedes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Marcos Alexandre Vieira Nascimento Filho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; </w:t>
      </w:r>
      <w:r w:rsidRPr="001D7B10">
        <w:rPr>
          <w:sz w:val="24"/>
          <w:szCs w:val="24"/>
          <w:u w:val="single"/>
        </w:rPr>
        <w:t>Walmer Bruno Rocha Martins</w:t>
      </w:r>
      <w:r w:rsidRPr="001D7B10">
        <w:rPr>
          <w:sz w:val="24"/>
          <w:szCs w:val="24"/>
          <w:vertAlign w:val="superscript"/>
        </w:rPr>
        <w:t>6</w:t>
      </w:r>
      <w:r w:rsidRPr="001D7B10">
        <w:rPr>
          <w:sz w:val="24"/>
          <w:szCs w:val="24"/>
        </w:rPr>
        <w:t>; Francisco de Assis Oliveria</w:t>
      </w:r>
      <w:r>
        <w:rPr>
          <w:sz w:val="24"/>
          <w:szCs w:val="24"/>
          <w:vertAlign w:val="superscript"/>
        </w:rPr>
        <w:t>7</w:t>
      </w:r>
    </w:p>
    <w:p w14:paraId="3EBD39E6" w14:textId="77777777" w:rsidR="00135244" w:rsidRPr="001D7B10" w:rsidRDefault="00135244" w:rsidP="002B432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9104FC1" w14:textId="7D9F023C" w:rsidR="001D7B10" w:rsidRPr="005515AD" w:rsidRDefault="001D7B10" w:rsidP="002B432F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Graduando em Engenharia Florestal. Universidade Federal Rural da Amazônia. joathancastroufra@gmail.com.</w:t>
      </w:r>
    </w:p>
    <w:p w14:paraId="6A681483" w14:textId="315007FA" w:rsidR="001D7B10" w:rsidRDefault="001D7B10" w:rsidP="002B432F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1D7B10"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Doutorando em Ciência Florestal. Universidade Federal de Viçosa. </w:t>
      </w:r>
    </w:p>
    <w:p w14:paraId="61D082D7" w14:textId="664EBDFC" w:rsidR="001D7B10" w:rsidRDefault="001D7B10" w:rsidP="002B432F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Graduando em Engenharia Florestal. Universidade Federal Rural da Amazônia.</w:t>
      </w:r>
      <w:r w:rsidR="00135244">
        <w:rPr>
          <w:sz w:val="24"/>
          <w:szCs w:val="24"/>
        </w:rPr>
        <w:t xml:space="preserve"> </w:t>
      </w:r>
    </w:p>
    <w:p w14:paraId="669F4002" w14:textId="430E240B" w:rsidR="001D7B10" w:rsidRDefault="001D7B10" w:rsidP="002B432F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Graduanda em Engenharia Florestal. Universidade Federal Rural da Amazônia. </w:t>
      </w:r>
    </w:p>
    <w:p w14:paraId="6A2A4204" w14:textId="1089A4FF" w:rsidR="001D7B10" w:rsidRPr="000C3028" w:rsidRDefault="001D7B10" w:rsidP="002B432F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 xml:space="preserve">Graduando em Agronomia. Universidade Federal Rural da Amazônia. </w:t>
      </w:r>
    </w:p>
    <w:p w14:paraId="3FA0469C" w14:textId="0B8B8CCD" w:rsidR="001D7B10" w:rsidRPr="000C3028" w:rsidRDefault="001D7B10" w:rsidP="002B432F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 xml:space="preserve">Doutor em Ciências Florestais. Universidade Federal Rural da Amazônia. </w:t>
      </w:r>
    </w:p>
    <w:p w14:paraId="02C19EA0" w14:textId="03A556DD" w:rsidR="001D7B10" w:rsidRPr="000C3028" w:rsidRDefault="001D7B10" w:rsidP="002B432F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 xml:space="preserve">Doutor em Geologia e Geoquímica. Universidade Federal Rural da Amazônia. </w:t>
      </w:r>
    </w:p>
    <w:p w14:paraId="539310FC" w14:textId="77777777" w:rsidR="007830E4" w:rsidRDefault="009C13EE" w:rsidP="002B432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5EC1C1E8" w14:textId="77777777" w:rsidR="002B432F" w:rsidRDefault="002B432F" w:rsidP="002B432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1BB00EF6" w14:textId="011E3B85" w:rsidR="001D7B10" w:rsidRDefault="001D7B10" w:rsidP="002B432F">
      <w:pPr>
        <w:shd w:val="clear" w:color="auto" w:fill="FFFFFF"/>
        <w:tabs>
          <w:tab w:val="left" w:pos="2500"/>
        </w:tabs>
        <w:jc w:val="both"/>
        <w:rPr>
          <w:color w:val="000000"/>
          <w:sz w:val="24"/>
          <w:szCs w:val="24"/>
        </w:rPr>
      </w:pPr>
      <w:r w:rsidRPr="000F1656">
        <w:rPr>
          <w:sz w:val="24"/>
          <w:szCs w:val="24"/>
        </w:rPr>
        <w:t xml:space="preserve">A cobertura arbórea urbana promove serviços ecossistêmicos essenciais a qualidade de vida das populações, tais como controle de escoamento superficial, regulação climática e efeitos psicológicos benéficos. No entanto, a urbanização acelerada dos centros urbanos tem provocado uma diminuição dessa cobertura e consequente redução da provisão dos serviços ecossistêmicos, principalmente no que tange a áreas verdes urbanas, tais como as praças, locais de lazer, contemplação e contato com a natureza. Nesse contexto, a disparidade no acesso a praças planejadas e bem arborizadas nas cidades ainda persiste, mesmo essas áreas possuindo ligação direta com a expectativa de vida da população, principalmente em regiões de vulnerabilidade socioeconômica. Por conta disso, o presente estudo tem como objetivo avaliar a cobertura arbórea de praças de 3 distritos da cidade de Belém, Pará. Foram avaliadas 26 praças nos distritos administrativos de Belém (DABEL), Benguí (DABEN) e Icoaraci (DAICO), tendo sido realizado um inventário florístico das espécies arbóreas com DAP≥5,09 e o cálculo do Índice de Cobertura Arbórea (ICA) para cada praça, sendo </w:t>
      </w:r>
      <w:r w:rsidR="002B432F" w:rsidRPr="000F1656">
        <w:rPr>
          <w:sz w:val="24"/>
          <w:szCs w:val="24"/>
        </w:rPr>
        <w:t>esta</w:t>
      </w:r>
      <w:r w:rsidRPr="000F1656">
        <w:rPr>
          <w:sz w:val="24"/>
          <w:szCs w:val="24"/>
        </w:rPr>
        <w:t xml:space="preserve"> a razão entre o somatório do diâmetro de copa das árvores da praça e a área da praça em m². A diferença entre os índices de cobertura arbórea das praças dos três distritos avaliados foi testada por meio de análise de variância, havendo a necessidade de transformação logarítmica para garantia da normalidade e homoscedasticidade dos dados, aferidas por meio dos testes de Shapiro-</w:t>
      </w:r>
      <w:proofErr w:type="spellStart"/>
      <w:r w:rsidRPr="000F1656">
        <w:rPr>
          <w:sz w:val="24"/>
          <w:szCs w:val="24"/>
        </w:rPr>
        <w:t>wilk</w:t>
      </w:r>
      <w:proofErr w:type="spellEnd"/>
      <w:r w:rsidRPr="000F1656">
        <w:rPr>
          <w:sz w:val="24"/>
          <w:szCs w:val="24"/>
        </w:rPr>
        <w:t xml:space="preserve"> e </w:t>
      </w:r>
      <w:proofErr w:type="spellStart"/>
      <w:r w:rsidRPr="000F1656">
        <w:rPr>
          <w:sz w:val="24"/>
          <w:szCs w:val="24"/>
        </w:rPr>
        <w:t>Bartlet</w:t>
      </w:r>
      <w:proofErr w:type="spellEnd"/>
      <w:r w:rsidRPr="000F1656">
        <w:rPr>
          <w:sz w:val="24"/>
          <w:szCs w:val="24"/>
        </w:rPr>
        <w:t xml:space="preserve">, respectivamente, todos realizados no software </w:t>
      </w:r>
      <w:proofErr w:type="spellStart"/>
      <w:r w:rsidRPr="000F1656">
        <w:rPr>
          <w:sz w:val="24"/>
          <w:szCs w:val="24"/>
        </w:rPr>
        <w:t>Rstudio</w:t>
      </w:r>
      <w:proofErr w:type="spellEnd"/>
      <w:r w:rsidRPr="000F1656">
        <w:rPr>
          <w:sz w:val="24"/>
          <w:szCs w:val="24"/>
        </w:rPr>
        <w:t xml:space="preserve"> versão 4.2.2. </w:t>
      </w:r>
      <w:r w:rsidRPr="000F1656">
        <w:rPr>
          <w:sz w:val="24"/>
          <w:szCs w:val="24"/>
          <w:highlight w:val="white"/>
        </w:rPr>
        <w:t>Os índices de cobertura arbórea médios das praças dos distritos avaliados foram 2,79%, 2,71% e 3,16% em DABEL, DABEN e DAICO, respectivamente, não havendo diferença estatística entre os resultados a um nível de 5% de probabilidade (p-valor = 0,962). Além disso, os diâmetros de copa médios dos distritos foram de 5,87 m em DABEL, 4,23 m em DABEN e 5,60 m em DAICO. Esses resultados demostram que apesar de as espécies das praças dos distritos possuírem, um diâmetro de copa adequado, a cobertura arbórea não é suficiente, uma vez que, para proporcionar sombreamento e regulação climática significativa, um diâmetro de copa de 3 a 7 metros e um ICA de no mínimo 20-40% são necessários</w:t>
      </w:r>
      <w:r w:rsidRPr="000F1656">
        <w:rPr>
          <w:sz w:val="24"/>
          <w:szCs w:val="24"/>
        </w:rPr>
        <w:t xml:space="preserve">. </w:t>
      </w:r>
      <w:r w:rsidRPr="000F1656">
        <w:rPr>
          <w:color w:val="000000"/>
          <w:sz w:val="24"/>
          <w:szCs w:val="24"/>
          <w:highlight w:val="white"/>
        </w:rPr>
        <w:t xml:space="preserve">As espécies de maior cobertura arbórea foram </w:t>
      </w:r>
      <w:proofErr w:type="spellStart"/>
      <w:r w:rsidRPr="000F1656">
        <w:rPr>
          <w:i/>
          <w:iCs/>
          <w:color w:val="000000"/>
          <w:sz w:val="24"/>
          <w:szCs w:val="24"/>
          <w:highlight w:val="white"/>
        </w:rPr>
        <w:t>Mangifera</w:t>
      </w:r>
      <w:proofErr w:type="spellEnd"/>
      <w:r w:rsidRPr="000F1656">
        <w:rPr>
          <w:i/>
          <w:iCs/>
          <w:color w:val="000000"/>
          <w:sz w:val="24"/>
          <w:szCs w:val="24"/>
          <w:highlight w:val="white"/>
        </w:rPr>
        <w:t xml:space="preserve"> indica </w:t>
      </w:r>
      <w:r w:rsidRPr="000F1656">
        <w:rPr>
          <w:color w:val="000000"/>
          <w:sz w:val="24"/>
          <w:szCs w:val="24"/>
          <w:highlight w:val="white"/>
        </w:rPr>
        <w:t xml:space="preserve">L. (2569,65 m), </w:t>
      </w:r>
      <w:proofErr w:type="spellStart"/>
      <w:r w:rsidRPr="000F1656">
        <w:rPr>
          <w:i/>
          <w:iCs/>
          <w:color w:val="000000"/>
          <w:sz w:val="24"/>
          <w:szCs w:val="24"/>
          <w:highlight w:val="white"/>
        </w:rPr>
        <w:t>Terminalia</w:t>
      </w:r>
      <w:proofErr w:type="spellEnd"/>
      <w:r w:rsidRPr="000F1656">
        <w:rPr>
          <w:i/>
          <w:iCs/>
          <w:color w:val="000000"/>
          <w:sz w:val="24"/>
          <w:szCs w:val="24"/>
          <w:highlight w:val="white"/>
        </w:rPr>
        <w:t xml:space="preserve"> </w:t>
      </w:r>
      <w:proofErr w:type="spellStart"/>
      <w:r w:rsidRPr="000F1656">
        <w:rPr>
          <w:i/>
          <w:iCs/>
          <w:color w:val="000000"/>
          <w:sz w:val="24"/>
          <w:szCs w:val="24"/>
          <w:highlight w:val="white"/>
        </w:rPr>
        <w:t>catappa</w:t>
      </w:r>
      <w:proofErr w:type="spellEnd"/>
      <w:r w:rsidRPr="000F1656">
        <w:rPr>
          <w:i/>
          <w:iCs/>
          <w:color w:val="000000"/>
          <w:sz w:val="24"/>
          <w:szCs w:val="24"/>
          <w:highlight w:val="white"/>
        </w:rPr>
        <w:t xml:space="preserve"> </w:t>
      </w:r>
      <w:r w:rsidRPr="000F1656">
        <w:rPr>
          <w:color w:val="000000"/>
          <w:sz w:val="24"/>
          <w:szCs w:val="24"/>
          <w:highlight w:val="white"/>
        </w:rPr>
        <w:t xml:space="preserve">L. (46,9 m) e </w:t>
      </w:r>
      <w:proofErr w:type="spellStart"/>
      <w:r w:rsidRPr="000F1656">
        <w:rPr>
          <w:i/>
          <w:iCs/>
          <w:color w:val="000000"/>
          <w:sz w:val="24"/>
          <w:szCs w:val="24"/>
          <w:highlight w:val="white"/>
        </w:rPr>
        <w:t>Moquilea</w:t>
      </w:r>
      <w:proofErr w:type="spellEnd"/>
      <w:r w:rsidRPr="000F1656">
        <w:rPr>
          <w:i/>
          <w:iCs/>
          <w:color w:val="000000"/>
          <w:sz w:val="24"/>
          <w:szCs w:val="24"/>
          <w:highlight w:val="white"/>
        </w:rPr>
        <w:t xml:space="preserve"> tomentosa </w:t>
      </w:r>
      <w:r w:rsidRPr="000F1656">
        <w:rPr>
          <w:color w:val="000000"/>
          <w:sz w:val="24"/>
          <w:szCs w:val="24"/>
          <w:highlight w:val="white"/>
        </w:rPr>
        <w:t xml:space="preserve">Benth. </w:t>
      </w:r>
      <w:r w:rsidRPr="000F1656">
        <w:rPr>
          <w:color w:val="000000"/>
          <w:sz w:val="24"/>
          <w:szCs w:val="24"/>
          <w:highlight w:val="white"/>
        </w:rPr>
        <w:lastRenderedPageBreak/>
        <w:t xml:space="preserve">(101,72 m) nos distritos DABEL, DABEN e DAICO, respectivamente. Além destas, destacam-se também como maiores contribuidoras para a cobertura arbórea das praças dos distritos avaliados </w:t>
      </w:r>
      <w:r w:rsidRPr="000F1656">
        <w:rPr>
          <w:color w:val="000000"/>
          <w:sz w:val="24"/>
          <w:szCs w:val="24"/>
        </w:rPr>
        <w:t xml:space="preserve">as espécies </w:t>
      </w:r>
      <w:r w:rsidRPr="000F1656">
        <w:rPr>
          <w:i/>
          <w:iCs/>
          <w:color w:val="000000"/>
          <w:sz w:val="24"/>
          <w:szCs w:val="24"/>
        </w:rPr>
        <w:t xml:space="preserve">Handroanthus </w:t>
      </w:r>
      <w:proofErr w:type="spellStart"/>
      <w:r w:rsidRPr="000F1656">
        <w:rPr>
          <w:i/>
          <w:iCs/>
          <w:color w:val="000000"/>
          <w:sz w:val="24"/>
          <w:szCs w:val="24"/>
        </w:rPr>
        <w:t>heptaphyllus</w:t>
      </w:r>
      <w:proofErr w:type="spellEnd"/>
      <w:r w:rsidRPr="000F1656">
        <w:rPr>
          <w:color w:val="000000"/>
          <w:sz w:val="24"/>
          <w:szCs w:val="24"/>
        </w:rPr>
        <w:t xml:space="preserve"> (Vell.) Mattos, </w:t>
      </w:r>
      <w:r w:rsidRPr="000F1656">
        <w:rPr>
          <w:i/>
          <w:iCs/>
          <w:color w:val="000000"/>
          <w:sz w:val="24"/>
          <w:szCs w:val="24"/>
        </w:rPr>
        <w:t xml:space="preserve">Handroanthus </w:t>
      </w:r>
      <w:proofErr w:type="spellStart"/>
      <w:r w:rsidRPr="000F1656">
        <w:rPr>
          <w:i/>
          <w:iCs/>
          <w:color w:val="000000"/>
          <w:sz w:val="24"/>
          <w:szCs w:val="24"/>
        </w:rPr>
        <w:t>serratifolius</w:t>
      </w:r>
      <w:proofErr w:type="spellEnd"/>
      <w:r w:rsidRPr="000F1656">
        <w:rPr>
          <w:color w:val="000000"/>
          <w:sz w:val="24"/>
          <w:szCs w:val="24"/>
        </w:rPr>
        <w:t xml:space="preserve"> (</w:t>
      </w:r>
      <w:proofErr w:type="spellStart"/>
      <w:r w:rsidRPr="000F1656">
        <w:rPr>
          <w:color w:val="000000"/>
          <w:sz w:val="24"/>
          <w:szCs w:val="24"/>
        </w:rPr>
        <w:t>Vahl</w:t>
      </w:r>
      <w:proofErr w:type="spellEnd"/>
      <w:r w:rsidRPr="000F1656">
        <w:rPr>
          <w:color w:val="000000"/>
          <w:sz w:val="24"/>
          <w:szCs w:val="24"/>
        </w:rPr>
        <w:t xml:space="preserve">) </w:t>
      </w:r>
      <w:proofErr w:type="spellStart"/>
      <w:proofErr w:type="gramStart"/>
      <w:r w:rsidRPr="000F1656">
        <w:rPr>
          <w:color w:val="000000"/>
          <w:sz w:val="24"/>
          <w:szCs w:val="24"/>
        </w:rPr>
        <w:t>S.Grose</w:t>
      </w:r>
      <w:proofErr w:type="spellEnd"/>
      <w:proofErr w:type="gramEnd"/>
      <w:r w:rsidRPr="000F1656">
        <w:rPr>
          <w:color w:val="000000"/>
          <w:sz w:val="24"/>
          <w:szCs w:val="24"/>
        </w:rPr>
        <w:t xml:space="preserve">, </w:t>
      </w:r>
      <w:r w:rsidRPr="000F1656">
        <w:rPr>
          <w:i/>
          <w:iCs/>
          <w:color w:val="000000"/>
          <w:sz w:val="24"/>
          <w:szCs w:val="24"/>
        </w:rPr>
        <w:t xml:space="preserve">Ceiba </w:t>
      </w:r>
      <w:proofErr w:type="spellStart"/>
      <w:r w:rsidRPr="000F1656">
        <w:rPr>
          <w:i/>
          <w:iCs/>
          <w:color w:val="000000"/>
          <w:sz w:val="24"/>
          <w:szCs w:val="24"/>
        </w:rPr>
        <w:t>pentandra</w:t>
      </w:r>
      <w:proofErr w:type="spellEnd"/>
      <w:r w:rsidRPr="000F1656">
        <w:rPr>
          <w:color w:val="000000"/>
          <w:sz w:val="24"/>
          <w:szCs w:val="24"/>
        </w:rPr>
        <w:t xml:space="preserve"> (L.) </w:t>
      </w:r>
      <w:proofErr w:type="spellStart"/>
      <w:r w:rsidRPr="000F1656">
        <w:rPr>
          <w:color w:val="000000"/>
          <w:sz w:val="24"/>
          <w:szCs w:val="24"/>
        </w:rPr>
        <w:t>Gaertn</w:t>
      </w:r>
      <w:proofErr w:type="spellEnd"/>
      <w:r w:rsidRPr="000F1656">
        <w:rPr>
          <w:color w:val="000000"/>
          <w:sz w:val="24"/>
          <w:szCs w:val="24"/>
        </w:rPr>
        <w:t xml:space="preserve">., </w:t>
      </w:r>
      <w:proofErr w:type="spellStart"/>
      <w:r w:rsidRPr="000F1656">
        <w:rPr>
          <w:i/>
          <w:iCs/>
          <w:color w:val="000000"/>
          <w:sz w:val="24"/>
          <w:szCs w:val="24"/>
        </w:rPr>
        <w:t>Syzygium</w:t>
      </w:r>
      <w:proofErr w:type="spellEnd"/>
      <w:r w:rsidRPr="000F165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0F1656">
        <w:rPr>
          <w:i/>
          <w:iCs/>
          <w:color w:val="000000"/>
          <w:sz w:val="24"/>
          <w:szCs w:val="24"/>
        </w:rPr>
        <w:t>malaccense</w:t>
      </w:r>
      <w:proofErr w:type="spellEnd"/>
      <w:r w:rsidRPr="000F1656">
        <w:rPr>
          <w:color w:val="000000"/>
          <w:sz w:val="24"/>
          <w:szCs w:val="24"/>
        </w:rPr>
        <w:t xml:space="preserve"> (L.) </w:t>
      </w:r>
      <w:proofErr w:type="spellStart"/>
      <w:r w:rsidRPr="000F1656">
        <w:rPr>
          <w:color w:val="000000"/>
          <w:sz w:val="24"/>
          <w:szCs w:val="24"/>
        </w:rPr>
        <w:t>Merr</w:t>
      </w:r>
      <w:proofErr w:type="spellEnd"/>
      <w:r w:rsidRPr="000F1656">
        <w:rPr>
          <w:color w:val="000000"/>
          <w:sz w:val="24"/>
          <w:szCs w:val="24"/>
        </w:rPr>
        <w:t xml:space="preserve">. &amp; </w:t>
      </w:r>
      <w:proofErr w:type="spellStart"/>
      <w:r w:rsidRPr="000F1656">
        <w:rPr>
          <w:color w:val="000000"/>
          <w:sz w:val="24"/>
          <w:szCs w:val="24"/>
        </w:rPr>
        <w:t>L.</w:t>
      </w:r>
      <w:proofErr w:type="gramStart"/>
      <w:r w:rsidRPr="000F1656">
        <w:rPr>
          <w:color w:val="000000"/>
          <w:sz w:val="24"/>
          <w:szCs w:val="24"/>
        </w:rPr>
        <w:t>M.Perry</w:t>
      </w:r>
      <w:proofErr w:type="spellEnd"/>
      <w:proofErr w:type="gramEnd"/>
      <w:r w:rsidRPr="000F1656">
        <w:rPr>
          <w:color w:val="000000"/>
          <w:sz w:val="24"/>
          <w:szCs w:val="24"/>
        </w:rPr>
        <w:t xml:space="preserve"> e </w:t>
      </w:r>
      <w:r w:rsidRPr="000F1656">
        <w:rPr>
          <w:i/>
          <w:iCs/>
          <w:color w:val="000000"/>
          <w:sz w:val="24"/>
          <w:szCs w:val="24"/>
        </w:rPr>
        <w:t>Clitoria fairchildiana</w:t>
      </w:r>
      <w:r w:rsidRPr="000F1656">
        <w:rPr>
          <w:color w:val="000000"/>
          <w:sz w:val="24"/>
          <w:szCs w:val="24"/>
        </w:rPr>
        <w:t xml:space="preserve"> </w:t>
      </w:r>
      <w:proofErr w:type="spellStart"/>
      <w:r w:rsidRPr="000F1656">
        <w:rPr>
          <w:color w:val="000000"/>
          <w:sz w:val="24"/>
          <w:szCs w:val="24"/>
        </w:rPr>
        <w:t>R.A.Howard</w:t>
      </w:r>
      <w:proofErr w:type="spellEnd"/>
      <w:r w:rsidRPr="000F1656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Pr="000F1656">
        <w:rPr>
          <w:color w:val="000000"/>
          <w:sz w:val="24"/>
          <w:szCs w:val="24"/>
        </w:rPr>
        <w:t>Conclui-se que existe um importante déficit de planejamento da composição florística das praças da cidade de Belém tanto no centro (DABEL) quanto na periferia (DABEN E DAICO), apontando a necessidade de incluir parâmetros de tamanho, comprimento e formato de copa na escolha das espécies que compõem a arborização das praças da cidade.</w:t>
      </w:r>
    </w:p>
    <w:p w14:paraId="03CCDDB8" w14:textId="77777777" w:rsidR="002B432F" w:rsidRDefault="002B432F" w:rsidP="002B432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4F28B7B5" w14:textId="443D36FD" w:rsidR="003B2E5B" w:rsidRDefault="009C13EE" w:rsidP="002B432F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1D7B10">
        <w:rPr>
          <w:sz w:val="24"/>
          <w:szCs w:val="24"/>
        </w:rPr>
        <w:t xml:space="preserve">Justiça ambiental. Mudança do clima. </w:t>
      </w:r>
      <w:r w:rsidR="00135244">
        <w:rPr>
          <w:sz w:val="24"/>
          <w:szCs w:val="24"/>
        </w:rPr>
        <w:t>Serviços ecossistêmicos.</w:t>
      </w:r>
    </w:p>
    <w:p w14:paraId="12AEFB45" w14:textId="77777777" w:rsidR="003B2E5B" w:rsidRPr="00FD46AA" w:rsidRDefault="003B2E5B" w:rsidP="002B432F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5396C020" w:rsidR="007830E4" w:rsidRPr="003B2E5B" w:rsidRDefault="009C13EE" w:rsidP="002B432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 w:rsidR="00135244">
        <w:rPr>
          <w:sz w:val="24"/>
          <w:szCs w:val="24"/>
        </w:rPr>
        <w:t>Modelagem ambiental e ecologia, estatística aplicada às ciências ambientais, aquecimento global, efeito estufa, mudanças climáticas e cidades resilientes.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A619A" w14:textId="77777777" w:rsidR="00B012CD" w:rsidRDefault="00B012CD">
      <w:r>
        <w:separator/>
      </w:r>
    </w:p>
  </w:endnote>
  <w:endnote w:type="continuationSeparator" w:id="0">
    <w:p w14:paraId="34CD5C31" w14:textId="77777777" w:rsidR="00B012CD" w:rsidRDefault="00B01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D2A1DF" w14:textId="77777777" w:rsidR="00B012CD" w:rsidRDefault="00B012CD">
      <w:r>
        <w:separator/>
      </w:r>
    </w:p>
  </w:footnote>
  <w:footnote w:type="continuationSeparator" w:id="0">
    <w:p w14:paraId="60418B37" w14:textId="77777777" w:rsidR="00B012CD" w:rsidRDefault="00B01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35244"/>
    <w:rsid w:val="001D7B10"/>
    <w:rsid w:val="002143C3"/>
    <w:rsid w:val="00242095"/>
    <w:rsid w:val="002B432F"/>
    <w:rsid w:val="0035191E"/>
    <w:rsid w:val="00362A1E"/>
    <w:rsid w:val="003A6125"/>
    <w:rsid w:val="003B2E5B"/>
    <w:rsid w:val="0048607D"/>
    <w:rsid w:val="00626BB8"/>
    <w:rsid w:val="007830E4"/>
    <w:rsid w:val="007C737B"/>
    <w:rsid w:val="00922504"/>
    <w:rsid w:val="009423CF"/>
    <w:rsid w:val="00957BE7"/>
    <w:rsid w:val="009C13EE"/>
    <w:rsid w:val="00A164B7"/>
    <w:rsid w:val="00A86693"/>
    <w:rsid w:val="00B012CD"/>
    <w:rsid w:val="00B26E21"/>
    <w:rsid w:val="00B626A1"/>
    <w:rsid w:val="00B826D9"/>
    <w:rsid w:val="00C64DF0"/>
    <w:rsid w:val="00C822CA"/>
    <w:rsid w:val="00E078C0"/>
    <w:rsid w:val="00E161EB"/>
    <w:rsid w:val="00E16A8E"/>
    <w:rsid w:val="00EA154B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352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677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dcterms:created xsi:type="dcterms:W3CDTF">2024-11-29T20:52:00Z</dcterms:created>
  <dcterms:modified xsi:type="dcterms:W3CDTF">2024-11-30T01:29:00Z</dcterms:modified>
</cp:coreProperties>
</file>