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EF86" w14:textId="2A787102" w:rsidR="00E563D9" w:rsidRDefault="00E563D9" w:rsidP="004549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GRUPO DE TRABALHO 3: CONTROLE DE CONVENCIONALIDADE</w:t>
      </w:r>
    </w:p>
    <w:p w14:paraId="69941C30" w14:textId="77777777" w:rsidR="00E563D9" w:rsidRDefault="00E563D9" w:rsidP="004549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3D5F6" w14:textId="05B59821" w:rsidR="00454967" w:rsidRPr="00866DE4" w:rsidRDefault="00454967" w:rsidP="004549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F3B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DE4">
        <w:rPr>
          <w:rFonts w:ascii="Times New Roman" w:hAnsi="Times New Roman" w:cs="Times New Roman"/>
          <w:b/>
          <w:bCs/>
          <w:sz w:val="24"/>
          <w:szCs w:val="24"/>
        </w:rPr>
        <w:t xml:space="preserve">CONTROLE DE CONVENCIONALIDADE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DAS LEIS INTERNAS COMO </w:t>
      </w:r>
      <w:r w:rsidRPr="00866DE4">
        <w:rPr>
          <w:rFonts w:ascii="Times New Roman" w:hAnsi="Times New Roman" w:cs="Times New Roman"/>
          <w:b/>
          <w:bCs/>
          <w:sz w:val="24"/>
          <w:szCs w:val="24"/>
        </w:rPr>
        <w:t xml:space="preserve">DEVER </w:t>
      </w:r>
      <w:r>
        <w:rPr>
          <w:rFonts w:ascii="Times New Roman" w:hAnsi="Times New Roman" w:cs="Times New Roman"/>
          <w:b/>
          <w:bCs/>
          <w:sz w:val="24"/>
          <w:szCs w:val="24"/>
        </w:rPr>
        <w:t>DOS JUÍZES E TRIBUNAIS BRASILEIROS</w:t>
      </w:r>
    </w:p>
    <w:p w14:paraId="5803F896" w14:textId="77777777" w:rsidR="00454967" w:rsidRPr="004E7A33" w:rsidRDefault="00454967" w:rsidP="0045496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1C5DBD" w14:textId="5BA4E99F" w:rsidR="00454967" w:rsidRPr="00285E22" w:rsidRDefault="00454967" w:rsidP="006301E0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44F559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val="pt-PT"/>
        </w:rPr>
      </w:pPr>
    </w:p>
    <w:p w14:paraId="5085416E" w14:textId="4C083EA9" w:rsidR="00454967" w:rsidRPr="00586E45" w:rsidRDefault="00454967" w:rsidP="00454967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 w:rsidRPr="00193397">
        <w:rPr>
          <w:rFonts w:ascii="Times New Roman" w:hAnsi="Times New Roman" w:cs="Times New Roman"/>
          <w:b/>
          <w:bCs/>
          <w:color w:val="222222"/>
          <w:sz w:val="24"/>
          <w:szCs w:val="24"/>
          <w:lang w:val="pt-PT"/>
        </w:rPr>
        <w:t>Pal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pt-PT"/>
        </w:rPr>
        <w:t>a</w:t>
      </w:r>
      <w:r w:rsidRPr="00193397">
        <w:rPr>
          <w:rFonts w:ascii="Times New Roman" w:hAnsi="Times New Roman" w:cs="Times New Roman"/>
          <w:b/>
          <w:bCs/>
          <w:color w:val="222222"/>
          <w:sz w:val="24"/>
          <w:szCs w:val="24"/>
          <w:lang w:val="pt-PT"/>
        </w:rPr>
        <w:t>vras-chave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: </w:t>
      </w:r>
      <w:r w:rsidR="00E563D9">
        <w:rPr>
          <w:rFonts w:ascii="Times New Roman" w:hAnsi="Times New Roman" w:cs="Times New Roman"/>
          <w:color w:val="222222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>ireitos humanos, controle de convencionalidade, dever judicial.</w:t>
      </w:r>
    </w:p>
    <w:p w14:paraId="232BFA98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66B1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DF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. O presente resumo, no qual adota como metodologia a revisão bibliográfica e documental, parte da constatação de que a legislação brasileira por vezes faz com que o relógio da história gire em sentido anti-horário.</w:t>
      </w:r>
    </w:p>
    <w:p w14:paraId="5A258D75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efeito, apesar da evolução do tempo dos códigos no sentido do tempo das constituições e deste para o do Direito Internacional dos Direitos Humanos, ou dito de outra forma, a substituição do paradigma do Estado Legislativo de Direito pelo do Estado Constitucional de Direito e deste paradigma para o do Estado Convencional de Direito, o legislador brasileiro caminha no sentido inverso. Cite-se, por exemplo, uma norma que compõe a denominada reforma trabalhista, qual seja, a Lei n. 13.467/2017. Esta Lei incluiu na Consolidação das Leis do Trabalho (CLT) previsão segundo a qual aplicam-se à reparação de danos de natureza extrapatrimonial decorrente da relação de trabalho “apenas” os dispositivos constantes da CLT, solução que foi adotada para impor a tarifação do valor da reparação de tais danos, que foi também estabelecida pela citada Lei, agora por meio do art. 223-G, §1º, que também foi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CLT. O</w:t>
      </w:r>
      <w:r w:rsidRPr="00BD5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corre que a Constituição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República de 1988 </w:t>
      </w:r>
      <w:r w:rsidRPr="00BD520C">
        <w:rPr>
          <w:rFonts w:ascii="Times New Roman" w:eastAsia="Times New Roman" w:hAnsi="Times New Roman" w:cs="Times New Roman"/>
          <w:color w:val="000000"/>
          <w:sz w:val="24"/>
          <w:szCs w:val="24"/>
        </w:rPr>
        <w:t>reconhece, no art. 5º, V, X e XXV, o direito à reparação integral dos danos extrapatrimoniais,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do que a</w:t>
      </w:r>
      <w:r w:rsidRPr="00BD520C">
        <w:rPr>
          <w:rFonts w:ascii="Times New Roman" w:hAnsi="Times New Roman" w:cs="Times New Roman"/>
          <w:sz w:val="24"/>
          <w:szCs w:val="24"/>
        </w:rPr>
        <w:t xml:space="preserve"> reparação integral dos danos extrapatrimoniais é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Pr="00BD520C">
        <w:rPr>
          <w:rFonts w:ascii="Times New Roman" w:hAnsi="Times New Roman" w:cs="Times New Roman"/>
          <w:sz w:val="24"/>
          <w:szCs w:val="24"/>
        </w:rPr>
        <w:t xml:space="preserve">assegurada pelo art. 1º da Convenção n. 19 da Organização Internacional do Trabalho, pelos </w:t>
      </w:r>
      <w:proofErr w:type="spellStart"/>
      <w:r w:rsidRPr="00BD520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BD520C">
        <w:rPr>
          <w:rFonts w:ascii="Times New Roman" w:hAnsi="Times New Roman" w:cs="Times New Roman"/>
          <w:sz w:val="24"/>
          <w:szCs w:val="24"/>
        </w:rPr>
        <w:t>. 15, n.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520C">
        <w:rPr>
          <w:rFonts w:ascii="Times New Roman" w:hAnsi="Times New Roman" w:cs="Times New Roman"/>
          <w:sz w:val="24"/>
          <w:szCs w:val="24"/>
        </w:rPr>
        <w:t xml:space="preserve">e 16, n. 5, da Convenção n. 169 da Organização Internacional do Trabalho e pelos </w:t>
      </w:r>
      <w:proofErr w:type="spellStart"/>
      <w:r w:rsidRPr="00BD520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BD520C">
        <w:rPr>
          <w:rFonts w:ascii="Times New Roman" w:hAnsi="Times New Roman" w:cs="Times New Roman"/>
          <w:sz w:val="24"/>
          <w:szCs w:val="24"/>
        </w:rPr>
        <w:t>. 9º, n. 5, e 14, n. 6, do Pacto Internacional sobre Direitos Civis e Políticos</w:t>
      </w:r>
      <w:r>
        <w:rPr>
          <w:rFonts w:ascii="Times New Roman" w:hAnsi="Times New Roman" w:cs="Times New Roman"/>
          <w:sz w:val="24"/>
          <w:szCs w:val="24"/>
        </w:rPr>
        <w:t xml:space="preserve">, assim como pelo art. 63, n. 1, da Convenção Americana sobre Direitos Humanos. </w:t>
      </w:r>
    </w:p>
    <w:p w14:paraId="6DB0B6B0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Lei n. 13.467/2017 promoveu, portanto, um redimensionamento do poder do Legislativo, em prejuízo da aplicação de normas que asseguram direitos fundamentais e humanos.</w:t>
      </w:r>
    </w:p>
    <w:p w14:paraId="2F5D8170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520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pretende demonstrar é que os juízes e Tribunais brasileiros têm o dever de realizar, de ofício ou</w:t>
      </w:r>
      <w:r>
        <w:rPr>
          <w:rFonts w:ascii="Times New Roman" w:hAnsi="Times New Roman" w:cs="Times New Roman"/>
          <w:sz w:val="24"/>
          <w:szCs w:val="24"/>
        </w:rPr>
        <w:t xml:space="preserve"> a requerimento, o controle de convencionalidade das leis internas, ou seja, verificar a sua compatibilidade com as normas que compõem o Direito Internacional dos Direitos Humanos. </w:t>
      </w:r>
    </w:p>
    <w:p w14:paraId="313B7723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restam dúvidas de que os tratados de direitos humanos ratificados pelo Brasil possuem força normativa. No entanto, a sua aplicação somente pode ser invocada perante o Sistema Interamericano de Direitos Humanos? A resposta negativa se impõe. </w:t>
      </w:r>
    </w:p>
    <w:p w14:paraId="51563E33" w14:textId="77777777" w:rsidR="00454967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que o art. 5º, § 2º, da Constituição impõe o respeito aos direitos humanos, o que alcança o Poder Judiciário. Ademais, o Código de Processo Civil (CPC), além de atribuir ao juiz o dever de promover e proteger a dignidade humana,</w:t>
      </w:r>
      <w:r w:rsidRPr="00DD6F3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o que implica dever de atuar no sentido de garantir a máxima efetividade possível dos direitos a ela inerentes, dentre os quais os direitos humanos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(art. 8º), deixa claro que as normas de Direito Internacional dos Direitos Humanos prevalecem sobre as normas internas, o que é também reconhecido pelo </w:t>
      </w:r>
      <w:r w:rsidRPr="00DD6F3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artigo 27 da Convenção de Viena sobre o Direito dos Tratados, segundo o qual o Estado não pode invocar as disposições do seu direito interno para justificar o inadimplemento de um tratado, prevendo esta Convenção, ainda, que os tratados obrigam as partes (artigo 2º) e que o Estado é obrigado a abster-se da prática de atos que frustrem o objeto e a finalidade de um tratado (artigo 18), Declaração Universal dos Direitos Humanos (artigo 30), o Pacto Internacional dos Direitos Econômicos, Sociais e Culturais (artigo 2º), Convenção Americana sobre Direitos Humanos (artigos 1º, n. 1, e 2º, n. 1), Protocolo Adicional à Convenção Americana sobre Direitos Humanos em Matéria de Direitos Econômicos, Sociais e Culturais (artigos 1º e 2º) e Declaração sobre o Direito ao Desenvolvimento (artigo 5º).</w:t>
      </w:r>
    </w:p>
    <w:p w14:paraId="749D051D" w14:textId="77777777" w:rsidR="00454967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ab/>
        <w:t>Note-se que não há como respeitar esta prevalência sem realizar o confronto entre o Direito Interno e o Direito Internacional dos Direitos Humanos e, portanto, o controle de convencionalidade das normas que compõem o Direito Interno. A existência do dever de controle de convencionalidade</w:t>
      </w:r>
      <w:r w:rsidRPr="005C118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é reconhecido, inclusive, na decisão proferida pela Corte Interamericana de Direitos Humanos no 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5C118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aso</w:t>
      </w:r>
      <w:r w:rsidRPr="000F2198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98">
        <w:rPr>
          <w:rStyle w:val="nfase"/>
          <w:rFonts w:ascii="Times New Roman" w:hAnsi="Times New Roman" w:cs="Times New Roman"/>
          <w:sz w:val="24"/>
          <w:szCs w:val="24"/>
        </w:rPr>
        <w:t>Almonacid</w:t>
      </w:r>
      <w:proofErr w:type="spellEnd"/>
      <w:r w:rsidRPr="000F2198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98">
        <w:rPr>
          <w:rStyle w:val="nfase"/>
          <w:rFonts w:ascii="Times New Roman" w:hAnsi="Times New Roman" w:cs="Times New Roman"/>
          <w:sz w:val="24"/>
          <w:szCs w:val="24"/>
        </w:rPr>
        <w:t>Arrelano</w:t>
      </w:r>
      <w:proofErr w:type="spellEnd"/>
      <w:r w:rsidRPr="000F2198">
        <w:rPr>
          <w:rStyle w:val="nfase"/>
          <w:rFonts w:ascii="Times New Roman" w:hAnsi="Times New Roman" w:cs="Times New Roman"/>
          <w:sz w:val="24"/>
          <w:szCs w:val="24"/>
        </w:rPr>
        <w:t xml:space="preserve"> y outros vs. Governo do Chile</w:t>
      </w:r>
      <w:r w:rsidRPr="005C118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(considerando n. 124) (CORTE IDH, 2002, </w:t>
      </w:r>
      <w:proofErr w:type="spellStart"/>
      <w:r w:rsidRPr="00F1019A">
        <w:rPr>
          <w:rStyle w:val="nfase"/>
          <w:rFonts w:ascii="Times New Roman" w:hAnsi="Times New Roman" w:cs="Times New Roman"/>
          <w:sz w:val="24"/>
          <w:szCs w:val="24"/>
        </w:rPr>
        <w:t>on</w:t>
      </w:r>
      <w:proofErr w:type="spellEnd"/>
      <w:r w:rsidRPr="00F1019A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9A">
        <w:rPr>
          <w:rStyle w:val="nfase"/>
          <w:rFonts w:ascii="Times New Roman" w:hAnsi="Times New Roman" w:cs="Times New Roman"/>
          <w:sz w:val="24"/>
          <w:szCs w:val="24"/>
        </w:rPr>
        <w:t>line</w:t>
      </w:r>
      <w:proofErr w:type="spellEnd"/>
      <w:r w:rsidRPr="005C118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).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6DA1A87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pt-PT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ab/>
        <w:t xml:space="preserve">Mas, qual é a relevância de chamar a atenção para este dever judicial? Primeiro, porque, por força dos citados comandos constitucionais, legais e supranacionais invocados, cumpre ter sempre presente que o homem se sobrepõe ao Estado, inclusive no exercício da função legislativa, e ao juiz é vedado assumir uma postura passiva quando se trate de desrespeito aos direitos humanos, cumprindo-lhe, ao contrário, promover de ofício o controle de convencionalidade das normas internas. Segundo, porque o princípio da legalidade deve ser considerado em toda a sua complexidade, no sentido de vinculação dos poderes estatais à Constituição e ao Direito Internacional dos Direitos Humanos, na perspectiva, inclusive, de que nem tudo que é legal é convencional. Terceiro, porque a Constituição e o CPC indicam que o sistema jurídico é sistema em rede ou multinível, ou seja, um sistema 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composto por uma pluralidade de fontes, internas e externas. Quarto, porque a Constituição, ao adotar a prevalência dos direitos humanos, impõe que à </w:t>
      </w:r>
      <w:r>
        <w:rPr>
          <w:rFonts w:ascii="Times New Roman" w:hAnsi="Times New Roman" w:cs="Times New Roman"/>
          <w:sz w:val="24"/>
          <w:szCs w:val="24"/>
        </w:rPr>
        <w:t xml:space="preserve">concepção hierárquica e verticalizada do sistema jurídico (“paradigma da pirâmide”), no sentido de que “tanto os seus órgãos quanto as suas normas se encontram em uma situação de superioridade e subordinação uns em relação aos outros” </w:t>
      </w:r>
      <w:r w:rsidRPr="00A679DE">
        <w:rPr>
          <w:rFonts w:ascii="Times New Roman" w:hAnsi="Times New Roman" w:cs="Times New Roman"/>
          <w:sz w:val="24"/>
          <w:szCs w:val="24"/>
        </w:rPr>
        <w:t>(OST; VAN DE KERCHOVE, 20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679DE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79D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se some, como seu complemento, o “</w:t>
      </w:r>
      <w:r w:rsidRPr="00A679DE">
        <w:rPr>
          <w:rFonts w:ascii="Times New Roman" w:hAnsi="Times New Roman" w:cs="Times New Roman"/>
          <w:sz w:val="24"/>
          <w:szCs w:val="24"/>
        </w:rPr>
        <w:t>paradigma da rede</w:t>
      </w:r>
      <w:r>
        <w:rPr>
          <w:rFonts w:ascii="Times New Roman" w:hAnsi="Times New Roman" w:cs="Times New Roman"/>
          <w:sz w:val="24"/>
          <w:szCs w:val="24"/>
        </w:rPr>
        <w:t>”, que concebe o sistema jurídico como ambiente em que deve se operar a “interconexão entre vários sujeitos e posições, em um jogo de recíprocos entrelaçamentos, condicionamentos e integrações”, o que resulta do fato de o Estado não ser mais a fonte única do Direito e a vontade do legislador deixar de ser assumida como dogma, o que “convida a colocar o acento sobre o conceito de relação” (</w:t>
      </w:r>
      <w:r w:rsidRPr="00586E45">
        <w:rPr>
          <w:rFonts w:ascii="Times New Roman" w:hAnsi="Times New Roman" w:cs="Times New Roman"/>
          <w:color w:val="222222"/>
          <w:sz w:val="24"/>
          <w:szCs w:val="24"/>
          <w:lang w:val="pt-PT"/>
        </w:rPr>
        <w:t>PASTORE, 2014, p. 28-29)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, isto visando à proteção e promoção da dignidade humana. Quinto, porque as obrigações do Estado em relação aos direitos humanos </w:t>
      </w:r>
      <w:r w:rsidRPr="00A8626B">
        <w:rPr>
          <w:rFonts w:ascii="Times New Roman" w:hAnsi="Times New Roman" w:cs="Times New Roman"/>
          <w:color w:val="222222"/>
          <w:sz w:val="24"/>
          <w:szCs w:val="24"/>
          <w:lang w:val="pt-PT"/>
        </w:rPr>
        <w:t>(respeitar, proteger e promover)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alcançam todas as suas funções, dentre as quais a judicial. Sexto, porque os sistema interamericano de direitos humanos impõe uma nova “maneira de conceber e entender o constitucionalismo atual, a qual nos exige novas posturas teóricas e práticas sobre as estruturas de proteção dos direitos humanos no nível nacional e internacional” e sobre as relações entre os sistemas jurídicos, qual seja, o “constitucionalismo multinível”, sustentado no “pluralismo constitucional” e no diálogo judicial” (MARTINÉZ, 2017, p. 38 e 39), o que torna todo juiz um juiz convencional. Sétimo, porque é urgente e indispensável fazer valer os direitos humanos em um país que se encontra entre os dez piores países para os trabalhadores </w:t>
      </w:r>
      <w:r>
        <w:rPr>
          <w:rFonts w:ascii="Times New Roman" w:hAnsi="Times New Roman" w:cs="Times New Roman"/>
          <w:sz w:val="24"/>
          <w:szCs w:val="24"/>
        </w:rPr>
        <w:t xml:space="preserve">(CSI. Índice Global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2020, p. 6, 25, 37 e 51). 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Oitavo, pois a </w:t>
      </w:r>
      <w:r w:rsidRPr="00A8626B">
        <w:rPr>
          <w:rFonts w:ascii="Times New Roman" w:hAnsi="Times New Roman" w:cs="Times New Roman"/>
          <w:color w:val="222222"/>
          <w:sz w:val="24"/>
          <w:szCs w:val="24"/>
          <w:lang w:val="pt-PT"/>
        </w:rPr>
        <w:t>Agenda 2030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da ONU para o Desenvolvimento Sustentável, na qual o Brasil participou, dispõe que os direitos humanos devem ser respeitados. Nono, porque a realização do controle de convencionalidade é também imposta pelo princípio do </w:t>
      </w:r>
      <w:r w:rsidRPr="00FF6C4F">
        <w:rPr>
          <w:rFonts w:ascii="Times New Roman" w:hAnsi="Times New Roman" w:cs="Times New Roman"/>
          <w:i/>
          <w:iCs/>
          <w:color w:val="222222"/>
          <w:sz w:val="24"/>
          <w:szCs w:val="24"/>
          <w:lang w:val="pt-PT"/>
        </w:rPr>
        <w:t>pact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lang w:val="pt-PT"/>
        </w:rPr>
        <w:t>a</w:t>
      </w:r>
      <w:r w:rsidRPr="00FF6C4F">
        <w:rPr>
          <w:rFonts w:ascii="Times New Roman" w:hAnsi="Times New Roman" w:cs="Times New Roman"/>
          <w:i/>
          <w:iCs/>
          <w:color w:val="222222"/>
          <w:sz w:val="24"/>
          <w:szCs w:val="24"/>
          <w:lang w:val="pt-PT"/>
        </w:rPr>
        <w:t xml:space="preserve"> sunt </w:t>
      </w:r>
      <w:r w:rsidRPr="00FF6C4F">
        <w:rPr>
          <w:rFonts w:ascii="Times New Roman" w:hAnsi="Times New Roman" w:cs="Times New Roman"/>
          <w:i/>
          <w:iCs/>
          <w:color w:val="222222"/>
          <w:sz w:val="24"/>
          <w:szCs w:val="24"/>
          <w:lang w:val="pt-PT"/>
        </w:rPr>
        <w:lastRenderedPageBreak/>
        <w:t>servanda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, pela obrigação de cumprimento de boá-fé das obrigações internacionais assumidas pelo Estado, pela impossibilidade de alegação de disposições internas para justificar o descumprimento de obrigações internacionais, pela obrigação do Estado de adequação do Direito Interno ao Direito Internacional dos Direitos Humanos e pela garantia de efeito último dos tratados (MAUÉS; MAGALHÃES, 2018, p. XI-XII). Décimo, porque do art. 5º, § 2º, da Constituição e dos arts. 8º e 13 do CPC resulta que os juízes e Tribunais poderão aplicar normas do Direito Internacional dos Direitos Humanos diretamente, ou seja, sem a necessidade de interveniência subsequente do legislador, seja para afastar a aplicação da norma interna, seja para promover a sua interpretação conforme o Direito Internacional dos Direitos Humanos. </w:t>
      </w:r>
    </w:p>
    <w:p w14:paraId="38388396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ab/>
        <w:t xml:space="preserve">Em relação à interpretação das normas internacionais, vale anotar que, como </w:t>
      </w:r>
      <w:r>
        <w:rPr>
          <w:rFonts w:ascii="Times New Roman" w:hAnsi="Times New Roman" w:cs="Times New Roman"/>
          <w:sz w:val="24"/>
          <w:szCs w:val="24"/>
        </w:rPr>
        <w:t xml:space="preserve">observa Germán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Campos, “os direitos constitucionais devem ser interpretados de conformidade com os tratados de direitos humanos” (CAMPOS, 1994, p. 47), além do que a interpretação conforme é exigida, por exemplo, pelo art. 29 da </w:t>
      </w:r>
      <w:r w:rsidRPr="00A67954">
        <w:rPr>
          <w:rFonts w:ascii="Times New Roman" w:hAnsi="Times New Roman" w:cs="Times New Roman"/>
          <w:iCs/>
          <w:sz w:val="24"/>
          <w:szCs w:val="24"/>
        </w:rPr>
        <w:t>Convenção Americana de Direitos Humanos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B1CE376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Chamar a atenção para o dever judicial de controle de convencionalidade não tem efeitos apenas teóricos. Com efeito, a realização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do controle de convencionalidade é “instituto que serve de instrumento para a aplicação do direito internacional”</w:t>
      </w:r>
      <w:r w:rsidRPr="00280E32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pt-PT"/>
        </w:rPr>
        <w:t>(MAUÉS; MAGALHÃES, 2018, p. XIV) e, com isto, promover e proteger a dignidade humana, dever que também cabe aos juízes e Tribunais brasileiros.</w:t>
      </w:r>
    </w:p>
    <w:p w14:paraId="4E4F1B21" w14:textId="77777777" w:rsidR="0045496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0A52B" w14:textId="77777777" w:rsidR="00454967" w:rsidRPr="00F1019A" w:rsidRDefault="00454967" w:rsidP="004549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19A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E5D36D8" w14:textId="77777777" w:rsidR="00454967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90DB63C" w14:textId="77777777" w:rsidR="00454967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F1019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CORTE INTERAMERICANA DE DIREITOS HUMANOS. </w:t>
      </w:r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Caso </w:t>
      </w:r>
      <w:proofErr w:type="spellStart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Almonacid</w:t>
      </w:r>
      <w:proofErr w:type="spellEnd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Arrelano</w:t>
      </w:r>
      <w:proofErr w:type="spellEnd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y outros vs. Chile. (considerando n. 124)</w:t>
      </w:r>
      <w:r w:rsidRPr="00F1019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Disponível em: </w:t>
      </w:r>
      <w:hyperlink r:id="rId8" w:history="1">
        <w:r w:rsidRPr="00F1019A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https://cidh.oas.org/annualrep/2002port/Chile.12057.htm</w:t>
        </w:r>
      </w:hyperlink>
      <w:r w:rsidRPr="00F1019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Acesso em: 08.09.2020.</w:t>
      </w:r>
    </w:p>
    <w:p w14:paraId="1E151DBA" w14:textId="77777777" w:rsidR="00454967" w:rsidRPr="008608F7" w:rsidRDefault="00454967" w:rsidP="00454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F7">
        <w:rPr>
          <w:rFonts w:ascii="Times New Roman" w:hAnsi="Times New Roman" w:cs="Times New Roman"/>
          <w:sz w:val="24"/>
          <w:szCs w:val="24"/>
        </w:rPr>
        <w:t xml:space="preserve">CAMPOS, </w:t>
      </w:r>
      <w:r>
        <w:rPr>
          <w:rFonts w:ascii="Times New Roman" w:hAnsi="Times New Roman" w:cs="Times New Roman"/>
          <w:sz w:val="24"/>
          <w:szCs w:val="24"/>
        </w:rPr>
        <w:t xml:space="preserve">Germán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La </w:t>
      </w:r>
      <w:proofErr w:type="spellStart"/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>interpretación</w:t>
      </w:r>
      <w:proofErr w:type="spellEnd"/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>del</w:t>
      </w:r>
      <w:proofErr w:type="spellEnd"/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sistema de </w:t>
      </w:r>
      <w:proofErr w:type="spellStart"/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>derechos</w:t>
      </w:r>
      <w:proofErr w:type="spellEnd"/>
      <w:r w:rsidRPr="00E35D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humanos</w:t>
      </w:r>
      <w:r>
        <w:rPr>
          <w:rFonts w:ascii="Times New Roman" w:hAnsi="Times New Roman" w:cs="Times New Roman"/>
          <w:sz w:val="24"/>
          <w:szCs w:val="24"/>
        </w:rPr>
        <w:t>. Buenos Aires:</w:t>
      </w:r>
      <w:r w:rsidRPr="00860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8F7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8608F7">
        <w:rPr>
          <w:rFonts w:ascii="Times New Roman" w:hAnsi="Times New Roman" w:cs="Times New Roman"/>
          <w:sz w:val="24"/>
          <w:szCs w:val="24"/>
        </w:rPr>
        <w:t>, 1994.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21AD9" w14:textId="77777777" w:rsidR="00454967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CONFEDERAÇÃO SINDICAL INTERNACIONAL. </w:t>
      </w:r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Índice Global de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Derechos</w:t>
      </w:r>
      <w:proofErr w:type="spellEnd"/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301C">
        <w:rPr>
          <w:rFonts w:ascii="Times New Roman" w:hAnsi="Times New Roman" w:cs="Times New Roman"/>
          <w:color w:val="000000" w:themeColor="text1"/>
          <w:sz w:val="24"/>
          <w:szCs w:val="24"/>
        </w:rPr>
        <w:t>Disponível 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7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67301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https://www.ituc-csi.org/IMG/pdf/ituc_globalrightsindex_2020_es.pdf</w:t>
        </w:r>
      </w:hyperlink>
      <w:r w:rsidRPr="0067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cesso em: 31.10.2020.</w:t>
      </w:r>
    </w:p>
    <w:p w14:paraId="566CCC19" w14:textId="77777777" w:rsidR="00454967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0" w:name="_Hlk56159123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MARTÍNEZ, Juan Manuel Romero. La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protección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multinível de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los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derechos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humanos.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Tendencias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 desafios para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la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región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interamericana.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Métodhos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Revista Eletrônica de </w:t>
      </w:r>
      <w:proofErr w:type="spellStart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Investigación</w:t>
      </w:r>
      <w:proofErr w:type="spellEnd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Aplicada em </w:t>
      </w:r>
      <w:proofErr w:type="spellStart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Derechos</w:t>
      </w:r>
      <w:proofErr w:type="spellEnd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Humanos de </w:t>
      </w:r>
      <w:proofErr w:type="spellStart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la</w:t>
      </w:r>
      <w:proofErr w:type="spellEnd"/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CDHDF, n. 12</w:t>
      </w:r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janeiro a junho de 2017, p. 36-56. Disponível em: </w:t>
      </w:r>
      <w:hyperlink r:id="rId10" w:history="1">
        <w:r w:rsidRPr="00E35D1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https://revistas-colaboracion.juridicas.unam.mx/index.php/revista-metodhos/article/view/31868</w:t>
        </w:r>
      </w:hyperlink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Acesso em: 10.11.2020.</w:t>
      </w:r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26DED00C" w14:textId="77777777" w:rsidR="00454967" w:rsidRPr="00E35D14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MAUÉS,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Antonio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Moreira; MAGALHÃES, Breno Baía. </w:t>
      </w:r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O controle de convencionalidade na América Latina</w:t>
      </w:r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Rio de Janeiro: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Lu</w:t>
      </w:r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</w:t>
      </w:r>
      <w:proofErr w:type="spellEnd"/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Juris, 2018.</w:t>
      </w:r>
    </w:p>
    <w:p w14:paraId="4CE02497" w14:textId="77777777" w:rsidR="00454967" w:rsidRPr="00E35D14" w:rsidRDefault="00454967" w:rsidP="00454967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ONU. </w:t>
      </w:r>
      <w:r w:rsidRPr="00E35D14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Agenda 2030 para o Desenvolvimento Sustentável</w:t>
      </w:r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Disponível em: </w:t>
      </w:r>
      <w:hyperlink r:id="rId11" w:history="1">
        <w:r w:rsidRPr="00E35D1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http://www.agenda2030.com.br/</w:t>
        </w:r>
      </w:hyperlink>
      <w:r w:rsidRPr="00E35D14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Acesso em: 12.11.2020.</w:t>
      </w:r>
    </w:p>
    <w:p w14:paraId="4DE89297" w14:textId="77777777" w:rsidR="00454967" w:rsidRPr="001C3E20" w:rsidRDefault="00454967" w:rsidP="0045496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1E0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OST, </w:t>
      </w:r>
      <w:hyperlink r:id="rId12" w:history="1">
        <w:r w:rsidRPr="006301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 xml:space="preserve">François Ost; VAN DE KERCHOVE, Michel. </w:t>
        </w:r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 xml:space="preserve">De </w:t>
        </w:r>
        <w:proofErr w:type="spellStart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la</w:t>
        </w:r>
        <w:proofErr w:type="spellEnd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pirámide</w:t>
        </w:r>
        <w:proofErr w:type="spellEnd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 xml:space="preserve"> a</w:t>
        </w:r>
        <w:r w:rsidRPr="001C3E2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la</w:t>
        </w:r>
        <w:proofErr w:type="spellEnd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red</w:t>
        </w:r>
        <w:proofErr w:type="spellEnd"/>
        <w:r w:rsidRPr="00E35D1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?</w:t>
        </w:r>
      </w:hyperlink>
      <w:r w:rsidRPr="001C3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35D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or una</w:t>
      </w:r>
      <w:r w:rsidRPr="001C3E2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teoría</w:t>
      </w:r>
      <w:proofErr w:type="spellEnd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dialéctica</w:t>
      </w:r>
      <w:proofErr w:type="spellEnd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del</w:t>
      </w:r>
      <w:proofErr w:type="spellEnd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derechos</w:t>
      </w:r>
      <w:proofErr w:type="spellEnd"/>
      <w:r w:rsidRPr="001C3E2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. México, 2008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.</w:t>
      </w:r>
      <w:r w:rsidRPr="001C3E2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</w:p>
    <w:bookmarkEnd w:id="0"/>
    <w:p w14:paraId="6E4C8D9C" w14:textId="77777777" w:rsidR="00454967" w:rsidRPr="00F1019A" w:rsidRDefault="00454967" w:rsidP="00454967">
      <w:pPr>
        <w:spacing w:line="360" w:lineRule="auto"/>
        <w:jc w:val="both"/>
        <w:rPr>
          <w:i/>
          <w:iCs/>
        </w:rPr>
      </w:pPr>
      <w:r w:rsidRPr="00586E45">
        <w:rPr>
          <w:rFonts w:ascii="Times New Roman" w:hAnsi="Times New Roman" w:cs="Times New Roman"/>
          <w:sz w:val="24"/>
          <w:szCs w:val="24"/>
        </w:rPr>
        <w:t xml:space="preserve">PASTORE, </w:t>
      </w:r>
      <w:proofErr w:type="spellStart"/>
      <w:r w:rsidRPr="00586E45">
        <w:rPr>
          <w:rFonts w:ascii="Times New Roman" w:hAnsi="Times New Roman" w:cs="Times New Roman"/>
          <w:sz w:val="24"/>
          <w:szCs w:val="24"/>
        </w:rPr>
        <w:t>Baldassare</w:t>
      </w:r>
      <w:proofErr w:type="spellEnd"/>
      <w:r w:rsidRPr="00586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Interpreti</w:t>
      </w:r>
      <w:proofErr w:type="spellEnd"/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fonti</w:t>
      </w:r>
      <w:proofErr w:type="spellEnd"/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nell’esperienza</w:t>
      </w:r>
      <w:proofErr w:type="spellEnd"/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giurida</w:t>
      </w:r>
      <w:proofErr w:type="spellEnd"/>
      <w:r w:rsidRPr="00E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D14">
        <w:rPr>
          <w:rFonts w:ascii="Times New Roman" w:hAnsi="Times New Roman" w:cs="Times New Roman"/>
          <w:b/>
          <w:bCs/>
          <w:sz w:val="24"/>
          <w:szCs w:val="24"/>
        </w:rPr>
        <w:t>contemporanea</w:t>
      </w:r>
      <w:proofErr w:type="spellEnd"/>
      <w:r w:rsidRPr="00586E45">
        <w:rPr>
          <w:rFonts w:ascii="Times New Roman" w:hAnsi="Times New Roman" w:cs="Times New Roman"/>
          <w:sz w:val="24"/>
          <w:szCs w:val="24"/>
        </w:rPr>
        <w:t xml:space="preserve">. Milão: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586E45">
        <w:rPr>
          <w:rFonts w:ascii="Times New Roman" w:hAnsi="Times New Roman" w:cs="Times New Roman"/>
          <w:sz w:val="24"/>
          <w:szCs w:val="24"/>
        </w:rPr>
        <w:t>ditrice</w:t>
      </w:r>
      <w:proofErr w:type="spellEnd"/>
      <w:r w:rsidRPr="0058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45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586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E4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86E45">
        <w:rPr>
          <w:rFonts w:ascii="Times New Roman" w:hAnsi="Times New Roman" w:cs="Times New Roman"/>
          <w:sz w:val="24"/>
          <w:szCs w:val="24"/>
        </w:rPr>
        <w:t xml:space="preserve"> Milani, 2014.</w:t>
      </w:r>
    </w:p>
    <w:p w14:paraId="09E182F3" w14:textId="77777777" w:rsidR="00454967" w:rsidRPr="00285E22" w:rsidRDefault="00454967" w:rsidP="00454967"/>
    <w:p w14:paraId="2C2ADCA6" w14:textId="5003C5EA" w:rsidR="0075111C" w:rsidRPr="00454967" w:rsidRDefault="0075111C" w:rsidP="00454967"/>
    <w:sectPr w:rsidR="0075111C" w:rsidRPr="00454967" w:rsidSect="002D1FBB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E7A0" w14:textId="77777777" w:rsidR="002A7AC4" w:rsidRDefault="002A7AC4" w:rsidP="005C1185">
      <w:pPr>
        <w:spacing w:after="0" w:line="240" w:lineRule="auto"/>
      </w:pPr>
      <w:r>
        <w:separator/>
      </w:r>
    </w:p>
  </w:endnote>
  <w:endnote w:type="continuationSeparator" w:id="0">
    <w:p w14:paraId="7B207913" w14:textId="77777777" w:rsidR="002A7AC4" w:rsidRDefault="002A7AC4" w:rsidP="005C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AE62" w14:textId="77777777" w:rsidR="002A7AC4" w:rsidRDefault="002A7AC4" w:rsidP="005C1185">
      <w:pPr>
        <w:spacing w:after="0" w:line="240" w:lineRule="auto"/>
      </w:pPr>
      <w:r>
        <w:separator/>
      </w:r>
    </w:p>
  </w:footnote>
  <w:footnote w:type="continuationSeparator" w:id="0">
    <w:p w14:paraId="09A68832" w14:textId="77777777" w:rsidR="002A7AC4" w:rsidRDefault="002A7AC4" w:rsidP="005C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C8D2" w14:textId="77777777" w:rsidR="00646E7E" w:rsidRDefault="004A7D92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5F360" wp14:editId="54B6704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3976EFDD" w14:textId="77777777" w:rsidR="00E14A86" w:rsidRDefault="002A7AC4" w:rsidP="00844166">
    <w:pPr>
      <w:pStyle w:val="Cabealho"/>
      <w:rPr>
        <w:noProof/>
      </w:rPr>
    </w:pPr>
  </w:p>
  <w:p w14:paraId="22DCC761" w14:textId="77777777" w:rsidR="00E14A86" w:rsidRDefault="002A7AC4" w:rsidP="00844166">
    <w:pPr>
      <w:pStyle w:val="Cabealho"/>
      <w:rPr>
        <w:noProof/>
      </w:rPr>
    </w:pPr>
  </w:p>
  <w:p w14:paraId="0AD9A2C4" w14:textId="77777777" w:rsidR="00E14A86" w:rsidRDefault="002A7AC4" w:rsidP="00844166">
    <w:pPr>
      <w:pStyle w:val="Cabealho"/>
      <w:rPr>
        <w:noProof/>
      </w:rPr>
    </w:pPr>
  </w:p>
  <w:p w14:paraId="5A45FA77" w14:textId="77777777" w:rsidR="00E14A86" w:rsidRPr="00844166" w:rsidRDefault="002A7AC4" w:rsidP="008441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3F26"/>
    <w:multiLevelType w:val="multilevel"/>
    <w:tmpl w:val="A3B4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4"/>
    <w:rsid w:val="00040533"/>
    <w:rsid w:val="000431D9"/>
    <w:rsid w:val="0005375F"/>
    <w:rsid w:val="000A4D42"/>
    <w:rsid w:val="000F2198"/>
    <w:rsid w:val="00163BE5"/>
    <w:rsid w:val="00193397"/>
    <w:rsid w:val="001C3E20"/>
    <w:rsid w:val="00280E32"/>
    <w:rsid w:val="002A7AC4"/>
    <w:rsid w:val="00317D3E"/>
    <w:rsid w:val="003271CE"/>
    <w:rsid w:val="0035681B"/>
    <w:rsid w:val="00454967"/>
    <w:rsid w:val="004A7D92"/>
    <w:rsid w:val="00513375"/>
    <w:rsid w:val="005C0FA2"/>
    <w:rsid w:val="005C1185"/>
    <w:rsid w:val="005D37B1"/>
    <w:rsid w:val="006301E0"/>
    <w:rsid w:val="0075111C"/>
    <w:rsid w:val="00756A99"/>
    <w:rsid w:val="00766EE8"/>
    <w:rsid w:val="00773AB8"/>
    <w:rsid w:val="007C5021"/>
    <w:rsid w:val="007F41B7"/>
    <w:rsid w:val="007F5E34"/>
    <w:rsid w:val="00866DE4"/>
    <w:rsid w:val="00867509"/>
    <w:rsid w:val="008A1B3B"/>
    <w:rsid w:val="008B3544"/>
    <w:rsid w:val="00997650"/>
    <w:rsid w:val="00A67954"/>
    <w:rsid w:val="00A8626B"/>
    <w:rsid w:val="00B13DDF"/>
    <w:rsid w:val="00CB6CEB"/>
    <w:rsid w:val="00D3091D"/>
    <w:rsid w:val="00D63428"/>
    <w:rsid w:val="00DC0D45"/>
    <w:rsid w:val="00DD6F3B"/>
    <w:rsid w:val="00DE2AA7"/>
    <w:rsid w:val="00DE5CF0"/>
    <w:rsid w:val="00E35D14"/>
    <w:rsid w:val="00E53446"/>
    <w:rsid w:val="00E563D9"/>
    <w:rsid w:val="00ED0727"/>
    <w:rsid w:val="00ED17D1"/>
    <w:rsid w:val="00F1019A"/>
    <w:rsid w:val="00F106AF"/>
    <w:rsid w:val="00FB75B8"/>
    <w:rsid w:val="00FC4A03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72AC"/>
  <w15:chartTrackingRefBased/>
  <w15:docId w15:val="{67D5C4A5-AC32-428D-A24B-079527BD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E4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1C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C3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C3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D6F3B"/>
    <w:rPr>
      <w:i/>
      <w:iCs/>
    </w:rPr>
  </w:style>
  <w:style w:type="paragraph" w:styleId="Textodenotaderodap">
    <w:name w:val="footnote text"/>
    <w:aliases w:val="Char Char,Char"/>
    <w:basedOn w:val="Normal"/>
    <w:link w:val="TextodenotaderodapChar"/>
    <w:uiPriority w:val="99"/>
    <w:unhideWhenUsed/>
    <w:qFormat/>
    <w:rsid w:val="005C11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,Char Char1"/>
    <w:basedOn w:val="Fontepargpadro"/>
    <w:link w:val="Textodenotaderodap"/>
    <w:uiPriority w:val="99"/>
    <w:qFormat/>
    <w:rsid w:val="005C1185"/>
    <w:rPr>
      <w:sz w:val="20"/>
      <w:szCs w:val="20"/>
    </w:rPr>
  </w:style>
  <w:style w:type="character" w:styleId="Refdenotaderodap">
    <w:name w:val="footnote reference"/>
    <w:aliases w:val="Referência de rodapé"/>
    <w:basedOn w:val="Fontepargpadro"/>
    <w:uiPriority w:val="99"/>
    <w:unhideWhenUsed/>
    <w:qFormat/>
    <w:rsid w:val="005C118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1019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C3E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3E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3E2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C3E2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35D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54967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4549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libitum.com/auto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da2030.com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vistas-colaboracion.juridicas.unam.mx/index.php/revista-metodhos/article/view/318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c-csi.org/IMG/pdf/ituc_globalrightsindex_2020_e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E85E-5BCC-438F-BD15-4F88A475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1674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lucio almeida</dc:creator>
  <cp:keywords/>
  <dc:description/>
  <cp:lastModifiedBy>angélica santos</cp:lastModifiedBy>
  <cp:revision>2</cp:revision>
  <dcterms:created xsi:type="dcterms:W3CDTF">2020-11-17T03:11:00Z</dcterms:created>
  <dcterms:modified xsi:type="dcterms:W3CDTF">2020-11-17T03:11:00Z</dcterms:modified>
</cp:coreProperties>
</file>