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4FF4" w14:textId="77777777" w:rsidR="00AE40CA" w:rsidRDefault="00AE40C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6720C8B" w14:textId="77777777" w:rsidR="00AE40CA" w:rsidRDefault="00AE40C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0582695" w14:textId="77777777" w:rsidR="00AE40CA" w:rsidRDefault="00425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FILOGENÔMICA E DELIMITAÇÃO DE ESPÉCIES DO CORAL FORMADOR DE RECIFES </w:t>
      </w:r>
      <w:r>
        <w:rPr>
          <w:rFonts w:ascii="Times New Roman" w:hAnsi="Times New Roman"/>
          <w:b/>
          <w:i/>
          <w:iCs/>
          <w:sz w:val="24"/>
          <w:szCs w:val="24"/>
          <w:lang w:val="pt-PT"/>
        </w:rPr>
        <w:t>Favia</w:t>
      </w:r>
      <w:r>
        <w:rPr>
          <w:rFonts w:ascii="Times New Roman" w:hAnsi="Times New Roman"/>
          <w:b/>
          <w:sz w:val="24"/>
          <w:szCs w:val="24"/>
          <w:lang w:val="pt-PT"/>
        </w:rPr>
        <w:t xml:space="preserve"> (SCLERACTINIA, MUSSIDAE) DO ATLÂNTICO</w:t>
      </w:r>
    </w:p>
    <w:p w14:paraId="10CD0629" w14:textId="77777777" w:rsidR="00AE40CA" w:rsidRDefault="00425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Phylogenomics and species boundaries of the Atlantic reef-building coral </w:t>
      </w:r>
      <w:r>
        <w:rPr>
          <w:rFonts w:ascii="Times New Roman" w:hAnsi="Times New Roman"/>
          <w:b/>
          <w:i/>
          <w:iCs/>
          <w:sz w:val="24"/>
          <w:szCs w:val="24"/>
          <w:lang w:val="pt-PT"/>
        </w:rPr>
        <w:t>Favia</w:t>
      </w:r>
      <w:r>
        <w:rPr>
          <w:rFonts w:ascii="Times New Roman" w:hAnsi="Times New Roman"/>
          <w:b/>
          <w:sz w:val="24"/>
          <w:szCs w:val="24"/>
          <w:lang w:val="pt-PT"/>
        </w:rPr>
        <w:t xml:space="preserve"> (Scleractinia, Mussidae)</w:t>
      </w:r>
    </w:p>
    <w:p w14:paraId="2472192E" w14:textId="77777777" w:rsidR="00AE40CA" w:rsidRDefault="00425C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-PT"/>
        </w:rPr>
        <w:t>Carolina de Lima Adam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  <w:lang w:val="pt-PT"/>
        </w:rPr>
        <w:t>Marcos Soares Barbeitos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483CBBB9" w14:textId="77777777" w:rsidR="00AE40CA" w:rsidRDefault="00AE40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5CFA8305" w14:textId="77777777" w:rsidR="00AE40CA" w:rsidRDefault="00425CF2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81365A" w14:textId="77777777" w:rsidR="00AE40CA" w:rsidRDefault="00425CF2">
      <w:pPr>
        <w:spacing w:after="0" w:line="240" w:lineRule="auto"/>
        <w:contextualSpacing/>
        <w:rPr>
          <w:rFonts w:ascii="Times New Roman" w:hAnsi="Times New Roman"/>
          <w:szCs w:val="28"/>
          <w:lang w:val="pt-PT"/>
        </w:rPr>
      </w:pPr>
      <w:r>
        <w:rPr>
          <w:rFonts w:ascii="Times New Roman" w:hAnsi="Times New Roman"/>
          <w:szCs w:val="28"/>
          <w:lang w:val="pt-PT"/>
        </w:rPr>
        <w:t>carolinaladam@gmail.com</w:t>
      </w:r>
    </w:p>
    <w:p w14:paraId="250EE4E0" w14:textId="77777777" w:rsidR="00AE40CA" w:rsidRDefault="00AE40C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476F3878" w14:textId="77777777" w:rsidR="00AE40CA" w:rsidRDefault="00425CF2" w:rsidP="00076F71">
      <w:pPr>
        <w:spacing w:line="240" w:lineRule="auto"/>
        <w:ind w:firstLine="420"/>
        <w:jc w:val="both"/>
        <w:rPr>
          <w:rFonts w:ascii="Liberation Serif" w:hAnsi="Liberation Serif" w:cs="Liberation Serif"/>
          <w:sz w:val="24"/>
          <w:szCs w:val="24"/>
          <w:lang w:val="pt-PT"/>
        </w:rPr>
      </w:pPr>
      <w:r>
        <w:rPr>
          <w:rFonts w:ascii="Liberation Serif" w:hAnsi="Liberation Serif" w:cs="Liberation Serif"/>
          <w:sz w:val="24"/>
          <w:szCs w:val="24"/>
          <w:lang w:val="pt-PT"/>
        </w:rPr>
        <w:t>Os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recifes de coral estão entre os mais importantes e diversos ecossistemas do planeta, e os corais da ordem Scleractinia, também chamados de corais pétreos, são os principais responsáveis pela sua formação. A ocorrência de ampla variabilidade morfológica no</w:t>
      </w:r>
      <w:r>
        <w:rPr>
          <w:rFonts w:ascii="Liberation Serif" w:hAnsi="Liberation Serif" w:cs="Liberation Serif"/>
          <w:sz w:val="24"/>
          <w:szCs w:val="24"/>
          <w:lang w:val="pt-PT"/>
        </w:rPr>
        <w:t>s caracteres tradicionalmente utilizados na identificação de corais pétreos torna sua taxonomia bastante problemática</w:t>
      </w:r>
      <w:r>
        <w:rPr>
          <w:rFonts w:ascii="Liberation Serif" w:hAnsi="Liberation Serif" w:cs="Liberation Serif"/>
          <w:sz w:val="24"/>
          <w:szCs w:val="24"/>
          <w:lang w:val="en"/>
        </w:rPr>
        <w:t>.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Dados moleculares demonstraram que muitas das famílias descritas a partir da morfologia esquelética são na verdade para- ou polifiléticas</w:t>
      </w:r>
      <w:r>
        <w:rPr>
          <w:rFonts w:ascii="Liberation Serif" w:hAnsi="Liberation Serif" w:cs="Liberation Serif"/>
          <w:sz w:val="24"/>
          <w:szCs w:val="24"/>
          <w:lang w:val="pt-PT"/>
        </w:rPr>
        <w:t>, aumentando ainda mais a incerteza taxonômica</w:t>
      </w:r>
      <w:r>
        <w:rPr>
          <w:rFonts w:ascii="Liberation Serif" w:hAnsi="Liberation Serif" w:cs="Liberation Serif"/>
          <w:sz w:val="24"/>
          <w:szCs w:val="24"/>
          <w:lang w:val="en"/>
        </w:rPr>
        <w:t>.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As espécies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Favia fragum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gravida</w:t>
      </w:r>
      <w:r>
        <w:rPr>
          <w:rFonts w:ascii="Liberation Serif" w:hAnsi="Liberation Serif" w:cs="Liberation Serif"/>
          <w:sz w:val="24"/>
          <w:szCs w:val="24"/>
          <w:lang w:val="pt-PT"/>
        </w:rPr>
        <w:t>, distribuidas no Atlântico, são um bom exemplo desta incerteza. Apesar de não ocorrerem em simpatria e apresentarem haplótipos divergentes em marcadores nucleares e mitoc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ondriais, alguns autores não reconhecem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gravida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como uma “espécie boa”, descrevendo-a como um morfotipo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fragum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. Neste trabalho, utilizamos técnicas de representação reduzida do genoma (RADseq) para investigar as relações filogenéticas entre estas </w:t>
      </w:r>
      <w:r>
        <w:rPr>
          <w:rFonts w:ascii="Liberation Serif" w:hAnsi="Liberation Serif" w:cs="Liberation Serif"/>
          <w:sz w:val="24"/>
          <w:szCs w:val="24"/>
          <w:lang w:val="pt-PT"/>
        </w:rPr>
        <w:t>duas espécies</w:t>
      </w:r>
      <w:r>
        <w:rPr>
          <w:rFonts w:ascii="Liberation Serif" w:hAnsi="Liberation Serif" w:cs="Liberation Serif"/>
          <w:sz w:val="24"/>
          <w:szCs w:val="24"/>
          <w:lang w:val="en"/>
        </w:rPr>
        <w:t>.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Obtivemos conjuntos de dados com até 3.920 polimorfismos de nucleotídeo único (da sigla em inglês SNPs), eutilizando um conjunto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baits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específico para Hexacorallia </w:t>
      </w:r>
      <w:r>
        <w:rPr>
          <w:rFonts w:ascii="Liberation Serif" w:hAnsi="Liberation Serif" w:cs="Liberation Serif"/>
          <w:sz w:val="24"/>
          <w:szCs w:val="24"/>
          <w:lang w:val="pt-PT"/>
        </w:rPr>
        <w:t>também recuperamos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>1.867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>elementos ultraconservados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(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da singla em inglês </w:t>
      </w:r>
      <w:r>
        <w:rPr>
          <w:rFonts w:ascii="Liberation Serif" w:hAnsi="Liberation Serif" w:cs="Liberation Serif"/>
          <w:sz w:val="24"/>
          <w:szCs w:val="24"/>
          <w:lang w:val="pt-PT"/>
        </w:rPr>
        <w:t>U</w:t>
      </w:r>
      <w:r>
        <w:rPr>
          <w:rFonts w:ascii="Liberation Serif" w:hAnsi="Liberation Serif" w:cs="Liberation Serif"/>
          <w:sz w:val="24"/>
          <w:szCs w:val="24"/>
          <w:lang w:val="pt-PT"/>
        </w:rPr>
        <w:t>CEs</w:t>
      </w:r>
      <w:r>
        <w:rPr>
          <w:rFonts w:ascii="Liberation Serif" w:hAnsi="Liberation Serif" w:cs="Liberation Serif"/>
          <w:sz w:val="24"/>
          <w:szCs w:val="24"/>
          <w:lang w:val="pt-PT"/>
        </w:rPr>
        <w:t>) através de ferramentas de bioinformática</w:t>
      </w:r>
      <w:r>
        <w:rPr>
          <w:rFonts w:ascii="Liberation Serif" w:hAnsi="Liberation Serif" w:cs="Liberation Serif"/>
          <w:sz w:val="24"/>
          <w:szCs w:val="24"/>
          <w:lang w:val="en"/>
        </w:rPr>
        <w:t>.</w:t>
      </w:r>
      <w:r>
        <w:rPr>
          <w:rFonts w:ascii="Liberation Serif" w:hAnsi="Liberation Serif" w:cs="Liberation Serif"/>
          <w:sz w:val="24"/>
          <w:szCs w:val="24"/>
          <w:lang w:val="en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>Utilizando diferentes parâmetros de filtragem foram gerados 15 conjuntos de dados distintos. Independente do tipo de marcador (SNPs ou UCEs) e dos diferentes níveis de filtragem empregados, as duas espécies fo</w:t>
      </w:r>
      <w:r>
        <w:rPr>
          <w:rFonts w:ascii="Liberation Serif" w:hAnsi="Liberation Serif" w:cs="Liberation Serif"/>
          <w:sz w:val="24"/>
          <w:szCs w:val="24"/>
          <w:lang w:val="pt-PT"/>
        </w:rPr>
        <w:t>ram recuperadas como reciprocamente monofiléticas em reconstruções de Máxima Verossimilhança (MV) e Inferência Bayesiana (IB).</w:t>
      </w:r>
      <w:r>
        <w:rPr>
          <w:rFonts w:ascii="Liberation Serif" w:hAnsi="Liberation Serif" w:cs="Liberation Serif"/>
          <w:sz w:val="24"/>
          <w:szCs w:val="24"/>
          <w:lang w:val="en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Os indivíduos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gravida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provenientes do Brasil também formaram um clado monofilético com alto suporte em todas as análises, c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om o espécime da ilha meio-Atlântica de Ascenção recuperado como uma linhagem distinta. A partir de estimativas dos coeficientes de ancestralidade foram recuperadas quatro populações: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fragum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,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gravida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da ilha de Ascenção e duas populações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a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no Brasil, separando amostras ao norte e ao sul da distribuição. Estes resultados foram utilizados para realizar um teste formal de delimitação de espécies e inferência de árvore de espécies empregando um arcabouço coalescente. A análise de delimitação r</w:t>
      </w:r>
      <w:r>
        <w:rPr>
          <w:rFonts w:ascii="Liberation Serif" w:hAnsi="Liberation Serif" w:cs="Liberation Serif"/>
          <w:sz w:val="24"/>
          <w:szCs w:val="24"/>
          <w:lang w:val="pt-PT"/>
        </w:rPr>
        <w:t>ecuperou os quatro agrupamentos obtidos a partir dos coeficientes de ancestralidade como linhagens distintas com alta probabilidade posterior (PP&gt;0.94). A árvore de espécies também foi bem suportada (PP=0.90), refletindo a topologia obtida nas reconstruçõe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s de MV e IB. 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A Lista Vermelha da IUCN descreve </w:t>
      </w:r>
      <w:r>
        <w:rPr>
          <w:rFonts w:ascii="Liberation Serif" w:hAnsi="Liberation Serif" w:cs="Liberation Serif"/>
          <w:i/>
          <w:iCs/>
          <w:sz w:val="24"/>
          <w:szCs w:val="24"/>
          <w:lang w:val="en"/>
        </w:rPr>
        <w:t xml:space="preserve">F. </w:t>
      </w:r>
      <w:proofErr w:type="spellStart"/>
      <w:r>
        <w:rPr>
          <w:rFonts w:ascii="Liberation Serif" w:hAnsi="Liberation Serif" w:cs="Liberation Serif"/>
          <w:i/>
          <w:iCs/>
          <w:sz w:val="24"/>
          <w:szCs w:val="24"/>
          <w:lang w:val="en"/>
        </w:rPr>
        <w:t>fragum</w:t>
      </w:r>
      <w:proofErr w:type="spellEnd"/>
      <w:r>
        <w:rPr>
          <w:rFonts w:ascii="Liberation Serif" w:hAnsi="Liberation Serif" w:cs="Liberation Serif"/>
          <w:sz w:val="24"/>
          <w:szCs w:val="24"/>
          <w:lang w:val="en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>e</w:t>
      </w:r>
      <w:r>
        <w:rPr>
          <w:rFonts w:ascii="Liberation Serif" w:hAnsi="Liberation Serif" w:cs="Liberation Serif"/>
          <w:sz w:val="24"/>
          <w:szCs w:val="24"/>
          <w:lang w:val="en"/>
        </w:rPr>
        <w:t xml:space="preserve"> </w:t>
      </w:r>
      <w:r>
        <w:rPr>
          <w:rFonts w:ascii="Liberation Serif" w:hAnsi="Liberation Serif" w:cs="Liberation Serif"/>
          <w:i/>
          <w:iCs/>
          <w:sz w:val="24"/>
          <w:szCs w:val="24"/>
          <w:lang w:val="en"/>
        </w:rPr>
        <w:t>F. gravida</w:t>
      </w:r>
      <w:r>
        <w:rPr>
          <w:rFonts w:ascii="Liberation Serif" w:hAnsi="Liberation Serif" w:cs="Liberation Serif"/>
          <w:sz w:val="24"/>
          <w:szCs w:val="24"/>
          <w:lang w:val="en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como uma única espécie distribuida do Caribe até as ilhas meio-Atlânticas. Nossos resultados claramente monstram a necessidade de atualizar essa classificação, adicionando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F. gravida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co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mo uma espécie válida cuja distribuição não se sebrepõe à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 xml:space="preserve">F. fragum </w:t>
      </w:r>
      <w:r>
        <w:rPr>
          <w:rFonts w:ascii="Liberation Serif" w:hAnsi="Liberation Serif" w:cs="Liberation Serif"/>
          <w:sz w:val="24"/>
          <w:szCs w:val="24"/>
          <w:lang w:val="pt-PT"/>
        </w:rPr>
        <w:t>e re-avaliando o status de ameaça de ambas as espécies</w:t>
      </w:r>
      <w:r>
        <w:rPr>
          <w:rFonts w:ascii="Liberation Serif" w:hAnsi="Liberation Serif" w:cs="Liberation Serif"/>
          <w:sz w:val="24"/>
          <w:szCs w:val="24"/>
          <w:lang w:val="en"/>
        </w:rPr>
        <w:t>.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pt-PT"/>
        </w:rPr>
        <w:t>Nossos resultados também d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emonstram que, com a disponibilidade de um conjunto de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baits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apropriado, é possível obter UCE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loci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a partir de bibliotecas de </w:t>
      </w:r>
      <w:r>
        <w:rPr>
          <w:rFonts w:ascii="Liberation Serif" w:hAnsi="Liberation Serif" w:cs="Liberation Serif"/>
          <w:sz w:val="24"/>
          <w:szCs w:val="24"/>
          <w:lang w:val="pt-PT"/>
        </w:rPr>
        <w:lastRenderedPageBreak/>
        <w:t xml:space="preserve">RADseq utilizando ferramentas de bioinformática sem a necessidade de sintetizar </w:t>
      </w:r>
      <w:r>
        <w:rPr>
          <w:rFonts w:ascii="Liberation Serif" w:hAnsi="Liberation Serif" w:cs="Liberation Serif"/>
          <w:i/>
          <w:iCs/>
          <w:sz w:val="24"/>
          <w:szCs w:val="24"/>
          <w:lang w:val="pt-PT"/>
        </w:rPr>
        <w:t>baits</w:t>
      </w:r>
      <w:r>
        <w:rPr>
          <w:rFonts w:ascii="Liberation Serif" w:hAnsi="Liberation Serif" w:cs="Liberation Serif"/>
          <w:sz w:val="24"/>
          <w:szCs w:val="24"/>
          <w:lang w:val="pt-PT"/>
        </w:rPr>
        <w:t xml:space="preserve"> específicas para cada projeto.</w:t>
      </w:r>
    </w:p>
    <w:p w14:paraId="10D63E4B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06208FE7" w14:textId="77777777" w:rsidR="00AE40CA" w:rsidRDefault="00425C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Palavras-cha</w:t>
      </w:r>
      <w:r>
        <w:rPr>
          <w:rFonts w:ascii="Times New Roman" w:hAnsi="Times New Roman"/>
          <w:b/>
          <w:sz w:val="24"/>
          <w:szCs w:val="24"/>
        </w:rPr>
        <w:t>ve:</w:t>
      </w:r>
      <w:r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RADseq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SNP; UCE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Estrutura populacional; Coalescente; Árvore de espécies.</w:t>
      </w:r>
    </w:p>
    <w:p w14:paraId="2A3D3D6D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A6A5465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C345958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F5456B7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18F8AD7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ACE245C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155B77C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06CF6A0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F3E2526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E241884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9CD6780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089AE6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D2B5E11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3C49D52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8D44941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30AFCC2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78F7684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5C29035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422E419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9955852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169EEF9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018E3D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EBA9472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6DDD4E6" w14:textId="77777777" w:rsidR="00AE40CA" w:rsidRDefault="00AE40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40CA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6B2D" w14:textId="77777777" w:rsidR="00425CF2" w:rsidRDefault="00425CF2">
      <w:pPr>
        <w:spacing w:line="240" w:lineRule="auto"/>
      </w:pPr>
      <w:r>
        <w:separator/>
      </w:r>
    </w:p>
  </w:endnote>
  <w:endnote w:type="continuationSeparator" w:id="0">
    <w:p w14:paraId="7D6A53D5" w14:textId="77777777" w:rsidR="00425CF2" w:rsidRDefault="0042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5ACD" w14:textId="77777777" w:rsidR="00AE40CA" w:rsidRDefault="00425CF2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0171" w14:textId="77777777" w:rsidR="00425CF2" w:rsidRDefault="00425CF2">
      <w:pPr>
        <w:spacing w:line="240" w:lineRule="auto"/>
      </w:pPr>
      <w:r>
        <w:separator/>
      </w:r>
    </w:p>
  </w:footnote>
  <w:footnote w:type="continuationSeparator" w:id="0">
    <w:p w14:paraId="545FC477" w14:textId="77777777" w:rsidR="00425CF2" w:rsidRDefault="0042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4A0" w:firstRow="1" w:lastRow="0" w:firstColumn="1" w:lastColumn="0" w:noHBand="0" w:noVBand="1"/>
    </w:tblPr>
    <w:tblGrid>
      <w:gridCol w:w="2268"/>
      <w:gridCol w:w="6379"/>
      <w:gridCol w:w="2835"/>
    </w:tblGrid>
    <w:tr w:rsidR="00AE40CA" w14:paraId="0689322F" w14:textId="77777777">
      <w:trPr>
        <w:trHeight w:val="1136"/>
      </w:trPr>
      <w:tc>
        <w:tcPr>
          <w:tcW w:w="2268" w:type="dxa"/>
        </w:tcPr>
        <w:p w14:paraId="05EB9B36" w14:textId="77777777" w:rsidR="00AE40CA" w:rsidRDefault="00425CF2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77C3B9C0" wp14:editId="2AB9E17A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AE094F" w14:textId="77777777" w:rsidR="00AE40CA" w:rsidRDefault="00AE40C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41A7F95C" w14:textId="77777777" w:rsidR="00AE40CA" w:rsidRDefault="00425CF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64161A35" w14:textId="77777777" w:rsidR="00AE40CA" w:rsidRDefault="00425CF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3EF850A6" w14:textId="77777777" w:rsidR="00AE40CA" w:rsidRDefault="00425CF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573AD1A3" w14:textId="77777777" w:rsidR="00AE40CA" w:rsidRDefault="00425CF2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380BE05C" wp14:editId="3AAAF77F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56F1FD" w14:textId="77777777" w:rsidR="00AE40CA" w:rsidRDefault="00AE40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BF7FE1D5"/>
    <w:rsid w:val="CB76D2C1"/>
    <w:rsid w:val="CD573923"/>
    <w:rsid w:val="CF57B21E"/>
    <w:rsid w:val="EDFFB218"/>
    <w:rsid w:val="FBE540FA"/>
    <w:rsid w:val="FF7F2E31"/>
    <w:rsid w:val="FFBF7531"/>
    <w:rsid w:val="000000F7"/>
    <w:rsid w:val="00074521"/>
    <w:rsid w:val="00076F7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5CF2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E40CA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A2A5"/>
  <w15:docId w15:val="{44415C6A-F3EA-4F67-A847-504D215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uiPriority w:val="99"/>
    <w:unhideWhenUsed/>
    <w:qFormat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Carolina Mazepa Simiao</cp:lastModifiedBy>
  <cp:revision>6</cp:revision>
  <dcterms:created xsi:type="dcterms:W3CDTF">2021-05-27T06:28:00Z</dcterms:created>
  <dcterms:modified xsi:type="dcterms:W3CDTF">2021-07-19T21:53:00Z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