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E093" w14:textId="77777777" w:rsidR="00EF7ED3" w:rsidRDefault="00EF7ED3" w:rsidP="00EF7ED3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AS </w:t>
      </w:r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LEIS DE RANGANATHAN E O OBJETIVO DE DESENVOLVIMENTO SUSTENTÁVEL 4: </w:t>
      </w:r>
      <w:proofErr w:type="spellStart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Bibliotecas</w:t>
      </w:r>
      <w:proofErr w:type="spellEnd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</w:t>
      </w:r>
      <w:proofErr w:type="spellStart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como</w:t>
      </w:r>
      <w:proofErr w:type="spellEnd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</w:t>
      </w:r>
      <w:proofErr w:type="spellStart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Agentes</w:t>
      </w:r>
      <w:proofErr w:type="spellEnd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de </w:t>
      </w:r>
      <w:proofErr w:type="spellStart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Educação</w:t>
      </w:r>
      <w:proofErr w:type="spellEnd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</w:t>
      </w:r>
      <w:proofErr w:type="spellStart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Inclusiva</w:t>
      </w:r>
      <w:proofErr w:type="spellEnd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e de </w:t>
      </w:r>
      <w:proofErr w:type="spellStart"/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Qualidade</w:t>
      </w:r>
      <w:proofErr w:type="spellEnd"/>
    </w:p>
    <w:p w14:paraId="66C67056" w14:textId="1B82F2FB" w:rsidR="004242FB" w:rsidRDefault="00EF7ED3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RANGANATHAN’S LAWS AND SUSTAINABLE DEVELOPMENT GOAL 4</w:t>
      </w:r>
      <w:r w:rsidRPr="00EF7ED3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: Libraries as Agents of Inclusive and Quality Education</w:t>
      </w:r>
    </w:p>
    <w:p w14:paraId="4CDD87FE" w14:textId="77777777" w:rsidR="00EF7ED3" w:rsidRPr="004242FB" w:rsidRDefault="00EF7ED3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</w:p>
    <w:p w14:paraId="4622FD47" w14:textId="77777777" w:rsidR="00555086" w:rsidRPr="00555086" w:rsidRDefault="00555086" w:rsidP="00555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  <w:lang w:val="pt-BR"/>
        </w:rPr>
      </w:pPr>
      <w:r w:rsidRPr="00555086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  <w:lang w:val="pt-BR"/>
        </w:rPr>
        <w:t>Jucyara da Silva Rodrigues, Faculdade Estácio Teresina, Biblioteca, Brasil</w:t>
      </w:r>
    </w:p>
    <w:p w14:paraId="52026C5F" w14:textId="6DC4E9A0" w:rsidR="00DF73E8" w:rsidRPr="004242FB" w:rsidRDefault="004242FB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  <w:r>
        <w:rPr>
          <w:rFonts w:ascii="Times New Roman" w:eastAsia="CambriaMath" w:hAnsi="Times New Roman" w:cs="Times New Roman"/>
          <w:color w:val="FF0000"/>
          <w:sz w:val="20"/>
          <w:szCs w:val="20"/>
          <w:highlight w:val="yellow"/>
        </w:rPr>
        <w:t>O</w:t>
      </w:r>
      <w:r w:rsidR="00DF73E8" w:rsidRPr="004242FB">
        <w:rPr>
          <w:rFonts w:ascii="Times New Roman" w:eastAsia="Garamond" w:hAnsi="Times New Roman" w:cs="Times New Roman"/>
          <w:bCs/>
          <w:color w:val="FF0000"/>
          <w:sz w:val="20"/>
          <w:szCs w:val="20"/>
          <w:highlight w:val="yellow"/>
        </w:rPr>
        <w:t>RCID:</w:t>
      </w:r>
      <w:r w:rsidR="00DF73E8" w:rsidRPr="004242F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 xml:space="preserve"> </w:t>
      </w:r>
      <w:r w:rsidR="00555086" w:rsidRPr="00555086">
        <w:rPr>
          <w:rFonts w:ascii="Times New Roman" w:hAnsi="Times New Roman" w:cs="Times New Roman"/>
          <w:bCs/>
          <w:color w:val="FF0000"/>
          <w:sz w:val="20"/>
          <w:szCs w:val="20"/>
        </w:rPr>
        <w:t>0000-0002-3052-0053</w:t>
      </w:r>
    </w:p>
    <w:p w14:paraId="75DA4530" w14:textId="794349DD" w:rsidR="006715D2" w:rsidRPr="006715D2" w:rsidRDefault="006715D2" w:rsidP="001263B1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pt-BR"/>
        </w:rPr>
      </w:pPr>
      <w:r w:rsidRPr="006715D2">
        <w:rPr>
          <w:rFonts w:ascii="Times New Roman" w:hAnsi="Times New Roman" w:cs="Times New Roman"/>
          <w:b/>
          <w:szCs w:val="24"/>
          <w:lang w:val="pt-BR"/>
        </w:rPr>
        <w:t>Resumo</w:t>
      </w:r>
    </w:p>
    <w:p w14:paraId="519D4A48" w14:textId="725616C7" w:rsidR="006715D2" w:rsidRDefault="00C22780" w:rsidP="00C22780">
      <w:pPr>
        <w:spacing w:after="0" w:line="300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C22780">
        <w:rPr>
          <w:rFonts w:ascii="Times New Roman" w:hAnsi="Times New Roman" w:cs="Times New Roman"/>
          <w:szCs w:val="24"/>
          <w:lang w:val="pt-BR"/>
        </w:rPr>
        <w:t>As bibliotecas exercem um papel estratégico na promoção do acesso à informação e na consolidação de uma educação de qualidade. Este estudo tem como objetivo analisar a relação entre os fundamentos das Leis da Biblioteconomia de S. R. Ranganathan e o Objetivo de Desenvolvimento Sustentável 4 (ODS 4), que visa assegurar uma educação inclusiva, equitativa e de qualidade, promovendo oportunidades de aprendizagem ao longo da vida. Trata-se de uma pesquisa qualitativa, de caráter teórico e exploratório, fundamentada em revisão bibliográfica e análise de conteúdo. Foram consultadas obras clássicas da Biblioteconomia, publicações científicas recentes e documentos oficiais da Organização das Nações Unidas (ONU), com o propósito de identificar convergências entre os princípios biblioteconômicos e as metas educacionais da Agenda 2030.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C22780">
        <w:rPr>
          <w:rFonts w:ascii="Times New Roman" w:hAnsi="Times New Roman" w:cs="Times New Roman"/>
          <w:szCs w:val="24"/>
          <w:lang w:val="pt-BR"/>
        </w:rPr>
        <w:t>Os resultados evidenciam que as cinco leis de Ranganathan</w:t>
      </w:r>
      <w:r>
        <w:rPr>
          <w:rFonts w:ascii="Times New Roman" w:hAnsi="Times New Roman" w:cs="Times New Roman"/>
          <w:szCs w:val="24"/>
          <w:lang w:val="pt-BR"/>
        </w:rPr>
        <w:t xml:space="preserve">: </w:t>
      </w:r>
      <w:r w:rsidRPr="00C22780">
        <w:rPr>
          <w:rFonts w:ascii="Times New Roman" w:hAnsi="Times New Roman" w:cs="Times New Roman"/>
          <w:szCs w:val="24"/>
          <w:lang w:val="pt-BR"/>
        </w:rPr>
        <w:t>centradas no acesso ao livro, na personalização dos serviços, na organização eficaz da informação, na economia do tempo do usuário e no crescimento dinâmico das bibliotecas</w:t>
      </w:r>
      <w:r>
        <w:rPr>
          <w:rFonts w:ascii="Times New Roman" w:hAnsi="Times New Roman" w:cs="Times New Roman"/>
          <w:szCs w:val="24"/>
          <w:lang w:val="pt-BR"/>
        </w:rPr>
        <w:t>,</w:t>
      </w:r>
      <w:r w:rsidRPr="00C22780">
        <w:rPr>
          <w:rFonts w:ascii="Times New Roman" w:hAnsi="Times New Roman" w:cs="Times New Roman"/>
          <w:szCs w:val="24"/>
          <w:lang w:val="pt-BR"/>
        </w:rPr>
        <w:t xml:space="preserve"> oferecem bases sólidas para a atuação das bibliotecas como agentes educacionais. Tais fundamentos estão diretamente alinhados às metas do ODS 4, especialmente no que se refere ao acesso equitativo à informação, à inclusão digital, à mediação da aprendizagem e ao incentivo à leitura e à formação crítica. Observou-se também que a atualização constante das práticas bibliotecárias e o reconhecimento das bibliotecas como espaços pedagógicos são essenciais para fortalecer seu papel social.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C22780">
        <w:rPr>
          <w:rFonts w:ascii="Times New Roman" w:hAnsi="Times New Roman" w:cs="Times New Roman"/>
          <w:szCs w:val="24"/>
          <w:lang w:val="pt-BR"/>
        </w:rPr>
        <w:t>Conclui-se que a integração entre as leis de Ranganathan e os princípios do ODS 4 contribui para a ressignificação das bibliotecas como ambientes de transformação social e desenvolvimento sustentável. Recomenda-se, portanto, a inserção efetiva das bibliotecas nas políticas públicas de educação e a valorização de sua atuação pedagógica e informacional. Este estudo amplia a compreensão sobre o papel das bibliotecas no cenário contemporâneo, reforçando sua importância na construção de uma sociedade mais justa, informada e comprometida com o desenvolvimento educacional.</w:t>
      </w:r>
    </w:p>
    <w:p w14:paraId="0F932DC9" w14:textId="77777777" w:rsidR="00C22780" w:rsidRPr="006715D2" w:rsidRDefault="00C22780" w:rsidP="00C22780">
      <w:pPr>
        <w:spacing w:after="0" w:line="300" w:lineRule="auto"/>
        <w:jc w:val="both"/>
        <w:rPr>
          <w:rFonts w:ascii="Times New Roman" w:hAnsi="Times New Roman" w:cs="Times New Roman"/>
          <w:szCs w:val="24"/>
          <w:lang w:val="pt-BR"/>
        </w:rPr>
      </w:pPr>
    </w:p>
    <w:p w14:paraId="1DF69756" w14:textId="7FDDCEBA" w:rsidR="00DF73E8" w:rsidRPr="004242FB" w:rsidRDefault="006715D2" w:rsidP="00DF73E8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  <w:proofErr w:type="spellStart"/>
      <w:r w:rsidRPr="004242FB">
        <w:rPr>
          <w:rFonts w:ascii="Times New Roman" w:hAnsi="Times New Roman" w:cs="Times New Roman"/>
          <w:b/>
          <w:szCs w:val="24"/>
          <w:lang w:val="en-US"/>
        </w:rPr>
        <w:t>Palavras-chave</w:t>
      </w:r>
      <w:proofErr w:type="spellEnd"/>
      <w:r w:rsidRPr="004242FB">
        <w:rPr>
          <w:rFonts w:ascii="Times New Roman" w:hAnsi="Times New Roman" w:cs="Times New Roman"/>
          <w:b/>
          <w:szCs w:val="24"/>
          <w:lang w:val="en-US"/>
        </w:rPr>
        <w:t>:</w:t>
      </w:r>
      <w:r w:rsidRPr="004242F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Bibliotecas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; Leis de Ranganathan;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Objetivo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Desenvolvimento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Sustentável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 4 (ODS 4);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Educação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qualidade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Inclusão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informacional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Mediação</w:t>
      </w:r>
      <w:proofErr w:type="spellEnd"/>
      <w:r w:rsidR="00C22780" w:rsidRPr="00C22780">
        <w:rPr>
          <w:rFonts w:ascii="Times New Roman" w:hAnsi="Times New Roman" w:cs="Times New Roman"/>
          <w:szCs w:val="24"/>
        </w:rPr>
        <w:t xml:space="preserve"> da </w:t>
      </w:r>
      <w:proofErr w:type="spellStart"/>
      <w:r w:rsidR="00C22780" w:rsidRPr="00C22780">
        <w:rPr>
          <w:rFonts w:ascii="Times New Roman" w:hAnsi="Times New Roman" w:cs="Times New Roman"/>
          <w:szCs w:val="24"/>
        </w:rPr>
        <w:t>informação</w:t>
      </w:r>
      <w:proofErr w:type="spellEnd"/>
      <w:r w:rsidR="00DF73E8" w:rsidRPr="004242FB">
        <w:rPr>
          <w:rFonts w:ascii="Times New Roman" w:hAnsi="Times New Roman" w:cs="Times New Roman"/>
          <w:szCs w:val="24"/>
          <w:lang w:val="en-US"/>
        </w:rPr>
        <w:t>.</w:t>
      </w:r>
    </w:p>
    <w:p w14:paraId="77D2DDF5" w14:textId="77777777" w:rsidR="006715D2" w:rsidRDefault="006715D2"/>
    <w:p w14:paraId="7C251DDD" w14:textId="77777777" w:rsidR="006715D2" w:rsidRPr="006715D2" w:rsidRDefault="006715D2" w:rsidP="006715D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6715D2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5C082BD5" w14:textId="33FB9F67" w:rsidR="00C22780" w:rsidRPr="00C22780" w:rsidRDefault="00C22780" w:rsidP="00C22780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C22780">
        <w:rPr>
          <w:rFonts w:ascii="Times New Roman" w:hAnsi="Times New Roman" w:cs="Times New Roman"/>
          <w:szCs w:val="24"/>
          <w:lang w:val="pt-BR"/>
        </w:rPr>
        <w:t xml:space="preserve">Libraries play a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strategic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role in promoting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access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to information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consolidating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quality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education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. This study aims to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analyze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relationship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between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principles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S. R.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Ranganathan’s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Five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Laws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Library Science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Sustainable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Development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Goal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4 (SDG 4),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which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seeks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to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ensure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inclusive,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equitable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quality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education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promote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lifelong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learning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opportunities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for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all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. This is a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qualitative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theoretical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exploratory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research,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based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on bibliographic review and content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analysis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. Classic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works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in Library Science,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recent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scientific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publications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official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documents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from the United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Nations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(UN)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were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consulted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to identify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convergences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between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bibliotheconomic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principles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and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educational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goals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the 2030 Agenda.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C22780">
        <w:rPr>
          <w:rFonts w:ascii="Times New Roman" w:hAnsi="Times New Roman" w:cs="Times New Roman"/>
          <w:szCs w:val="24"/>
          <w:lang w:val="pt-BR"/>
        </w:rPr>
        <w:t xml:space="preserve">The results show that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Ranganathan’s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Five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Laws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>—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focused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on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access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to books,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lastRenderedPageBreak/>
        <w:t>personalized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services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effective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organization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information,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saving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user’s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time, and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dynamic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growth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libraries—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provide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a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solid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foundation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for the role of libraries as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educational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agents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. These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principles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are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directly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aligned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with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goals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SDG 4,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especially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in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terms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equitable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access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to information, digital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inclusion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information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mediation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and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promotion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reading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critical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thinking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. It was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also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observed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that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constant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updating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library practices and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recognition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libraries as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pedagogical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spaces are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essential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to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strengthening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their social role.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C22780">
        <w:rPr>
          <w:rFonts w:ascii="Times New Roman" w:hAnsi="Times New Roman" w:cs="Times New Roman"/>
          <w:szCs w:val="24"/>
          <w:lang w:val="pt-BR"/>
        </w:rPr>
        <w:t xml:space="preserve">It is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concluded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that the integration between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Ranganathan’s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laws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and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principles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SDG 4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contributes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to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redefinition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libraries as spaces of social transformation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sustainable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development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.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Therefore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the effective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inclusion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libraries in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public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education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policies and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appreciation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their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pedagogical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and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informational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roles is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recommended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. This study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broadens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understanding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of the role of libraries in the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contemporary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context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reinforcing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their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importance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in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building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a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fairer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, more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informed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society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committed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to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educational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C22780">
        <w:rPr>
          <w:rFonts w:ascii="Times New Roman" w:hAnsi="Times New Roman" w:cs="Times New Roman"/>
          <w:szCs w:val="24"/>
          <w:lang w:val="pt-BR"/>
        </w:rPr>
        <w:t>development</w:t>
      </w:r>
      <w:proofErr w:type="spellEnd"/>
      <w:r w:rsidRPr="00C22780">
        <w:rPr>
          <w:rFonts w:ascii="Times New Roman" w:hAnsi="Times New Roman" w:cs="Times New Roman"/>
          <w:szCs w:val="24"/>
          <w:lang w:val="pt-BR"/>
        </w:rPr>
        <w:t>.</w:t>
      </w:r>
    </w:p>
    <w:p w14:paraId="3F47F7A7" w14:textId="1293079A" w:rsidR="00324514" w:rsidRPr="004242FB" w:rsidRDefault="00324514" w:rsidP="00DA606C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52E785E4" w14:textId="47162702" w:rsidR="006715D2" w:rsidRPr="006715D2" w:rsidRDefault="006715D2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  <w:r w:rsidRPr="006715D2">
        <w:rPr>
          <w:rFonts w:ascii="Times New Roman" w:hAnsi="Times New Roman" w:cs="Times New Roman"/>
          <w:b/>
          <w:szCs w:val="24"/>
          <w:lang w:val="en-US"/>
        </w:rPr>
        <w:t>Keywords:</w:t>
      </w:r>
      <w:r w:rsidRPr="006715D2">
        <w:rPr>
          <w:rFonts w:ascii="Times New Roman" w:hAnsi="Times New Roman" w:cs="Times New Roman"/>
          <w:szCs w:val="24"/>
          <w:lang w:val="en-US"/>
        </w:rPr>
        <w:t xml:space="preserve"> </w:t>
      </w:r>
      <w:r w:rsidR="00555086" w:rsidRPr="00555086">
        <w:rPr>
          <w:rFonts w:ascii="Times New Roman" w:hAnsi="Times New Roman" w:cs="Times New Roman"/>
          <w:szCs w:val="24"/>
        </w:rPr>
        <w:t>Libraries; Ranganathan's Laws; Sustainable Development Goal 4 (SDG 4); Quality Education; Information Inclusion; Information Mediation.</w:t>
      </w:r>
    </w:p>
    <w:p w14:paraId="008B5413" w14:textId="77777777" w:rsidR="006715D2" w:rsidRDefault="006715D2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42FB" w:rsidRPr="004242FB" w14:paraId="089F8BEE" w14:textId="77777777" w:rsidTr="004242FB">
        <w:trPr>
          <w:jc w:val="center"/>
        </w:trPr>
        <w:tc>
          <w:tcPr>
            <w:tcW w:w="9016" w:type="dxa"/>
            <w:gridSpan w:val="3"/>
          </w:tcPr>
          <w:p w14:paraId="281A00DB" w14:textId="17E79B71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 INFORMATION</w:t>
            </w:r>
          </w:p>
        </w:tc>
      </w:tr>
      <w:tr w:rsidR="004242FB" w:rsidRPr="004242FB" w14:paraId="3886CFF1" w14:textId="77777777" w:rsidTr="004242FB">
        <w:trPr>
          <w:jc w:val="center"/>
        </w:trPr>
        <w:tc>
          <w:tcPr>
            <w:tcW w:w="3005" w:type="dxa"/>
            <w:vAlign w:val="center"/>
          </w:tcPr>
          <w:p w14:paraId="680F707E" w14:textId="335B8FBB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Participation Type</w:t>
            </w:r>
          </w:p>
          <w:p w14:paraId="6BC7F00B" w14:textId="2B229088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(Online or In-person)</w:t>
            </w:r>
          </w:p>
        </w:tc>
        <w:tc>
          <w:tcPr>
            <w:tcW w:w="3005" w:type="dxa"/>
            <w:vAlign w:val="center"/>
          </w:tcPr>
          <w:p w14:paraId="7050B3E1" w14:textId="711A8189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3006" w:type="dxa"/>
            <w:vAlign w:val="center"/>
          </w:tcPr>
          <w:p w14:paraId="6311AF81" w14:textId="0C6B4DBF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Presentation Language</w:t>
            </w:r>
          </w:p>
        </w:tc>
      </w:tr>
      <w:tr w:rsidR="004242FB" w:rsidRPr="004242FB" w14:paraId="6FF9AABD" w14:textId="77777777" w:rsidTr="004242FB">
        <w:trPr>
          <w:jc w:val="center"/>
        </w:trPr>
        <w:tc>
          <w:tcPr>
            <w:tcW w:w="3005" w:type="dxa"/>
            <w:vAlign w:val="center"/>
          </w:tcPr>
          <w:p w14:paraId="66D391EB" w14:textId="03AF125F" w:rsidR="004242FB" w:rsidRPr="004242FB" w:rsidRDefault="00555086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5550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online (</w:t>
            </w:r>
            <w:proofErr w:type="spellStart"/>
            <w:r w:rsidRPr="005550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virtualmente</w:t>
            </w:r>
            <w:proofErr w:type="spellEnd"/>
            <w:r w:rsidRPr="005550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005" w:type="dxa"/>
          </w:tcPr>
          <w:p w14:paraId="5D91DB5B" w14:textId="6E6AA756" w:rsidR="004242FB" w:rsidRPr="004242FB" w:rsidRDefault="00555086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Biblioteconomia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5550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Library Science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006" w:type="dxa"/>
          </w:tcPr>
          <w:p w14:paraId="3F991CFB" w14:textId="6A798BC6" w:rsidR="004242FB" w:rsidRPr="004242FB" w:rsidRDefault="00555086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Português</w:t>
            </w:r>
          </w:p>
        </w:tc>
      </w:tr>
    </w:tbl>
    <w:p w14:paraId="447D1772" w14:textId="77777777" w:rsidR="004242FB" w:rsidRDefault="004242FB"/>
    <w:sectPr w:rsidR="00424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99E6" w14:textId="77777777" w:rsidR="00AD7E5B" w:rsidRDefault="00AD7E5B" w:rsidP="00324514">
      <w:pPr>
        <w:spacing w:after="0" w:line="240" w:lineRule="auto"/>
      </w:pPr>
      <w:r>
        <w:separator/>
      </w:r>
    </w:p>
  </w:endnote>
  <w:endnote w:type="continuationSeparator" w:id="0">
    <w:p w14:paraId="73FE1580" w14:textId="77777777" w:rsidR="00AD7E5B" w:rsidRDefault="00AD7E5B" w:rsidP="0032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AA296" w14:textId="77777777" w:rsidR="00AD7E5B" w:rsidRDefault="00AD7E5B" w:rsidP="00324514">
      <w:pPr>
        <w:spacing w:after="0" w:line="240" w:lineRule="auto"/>
      </w:pPr>
      <w:r>
        <w:separator/>
      </w:r>
    </w:p>
  </w:footnote>
  <w:footnote w:type="continuationSeparator" w:id="0">
    <w:p w14:paraId="76030FAB" w14:textId="77777777" w:rsidR="00AD7E5B" w:rsidRDefault="00AD7E5B" w:rsidP="00324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9"/>
    <w:rsid w:val="000475D4"/>
    <w:rsid w:val="00056CA9"/>
    <w:rsid w:val="000E4984"/>
    <w:rsid w:val="001F2F91"/>
    <w:rsid w:val="00246DCC"/>
    <w:rsid w:val="00292006"/>
    <w:rsid w:val="002B19EA"/>
    <w:rsid w:val="003176C7"/>
    <w:rsid w:val="00324514"/>
    <w:rsid w:val="003D46F5"/>
    <w:rsid w:val="004242FB"/>
    <w:rsid w:val="00555086"/>
    <w:rsid w:val="00581591"/>
    <w:rsid w:val="006715D2"/>
    <w:rsid w:val="00774832"/>
    <w:rsid w:val="00837531"/>
    <w:rsid w:val="0084788C"/>
    <w:rsid w:val="00933F30"/>
    <w:rsid w:val="00AD7E5B"/>
    <w:rsid w:val="00BF3311"/>
    <w:rsid w:val="00BF6853"/>
    <w:rsid w:val="00C22780"/>
    <w:rsid w:val="00DF73E8"/>
    <w:rsid w:val="00E30BE2"/>
    <w:rsid w:val="00E912F8"/>
    <w:rsid w:val="00E96A2E"/>
    <w:rsid w:val="00EF7ED3"/>
    <w:rsid w:val="00F56ACA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E58"/>
  <w15:chartTrackingRefBased/>
  <w15:docId w15:val="{2366565D-2104-44DD-8F26-48ADA95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73E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F73E8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514"/>
  </w:style>
  <w:style w:type="paragraph" w:styleId="Rodap">
    <w:name w:val="footer"/>
    <w:basedOn w:val="Normal"/>
    <w:link w:val="RodapChar"/>
    <w:uiPriority w:val="99"/>
    <w:unhideWhenUsed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TOI Portugal 2025</vt:lpstr>
      <vt:lpstr/>
    </vt:vector>
  </TitlesOfParts>
  <Manager>TOI CHAIR</Manager>
  <Company>Colaboração USP &amp; umINHO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 Portugal 2025</dc:title>
  <dc:subject>Application Form</dc:subject>
  <dc:creator>TOI Organização</dc:creator>
  <cp:keywords>TOI ECA USP</cp:keywords>
  <dc:description/>
  <cp:lastModifiedBy>Jucyara Silva Rodrigues</cp:lastModifiedBy>
  <cp:revision>2</cp:revision>
  <dcterms:created xsi:type="dcterms:W3CDTF">2025-06-18T19:43:00Z</dcterms:created>
  <dcterms:modified xsi:type="dcterms:W3CDTF">2025-06-18T19:43:00Z</dcterms:modified>
</cp:coreProperties>
</file>