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Consolidação da Transformação Digital na Unicamp: O Papel do Sistema de Gestão Arquivística de Documentos (SIGAD/Unicamp) // The Consolidation of Digital Transformation at Unicamp: The Sistema de Gestão Arquivística de Documentos’s (SIGAD/Unicamp) role.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4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Alinhado aos objetivos estratégicos da Unicamp, em 2020 o Arquivo Central do Sistema de Arquivos (AC/SIARQ) da Unicamp desenvolveu e implantou o módulo Processo Digital no SIGAD/Unicamp.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  <w:sectPr>
          <w:headerReference r:id="rId6" w:type="default"/>
          <w:pgSz w:h="15840" w:w="12240" w:orient="portrait"/>
          <w:pgMar w:bottom="1440" w:top="992.1259842519685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3200400</wp:posOffset>
            </wp:positionH>
            <wp:positionV relativeFrom="paragraph">
              <wp:posOffset>190500</wp:posOffset>
            </wp:positionV>
            <wp:extent cx="2743200" cy="1689100"/>
            <wp:effectExtent b="0" l="0" r="0" t="0"/>
            <wp:wrapSquare wrapText="bothSides" distB="114300" distT="114300" distL="114300" distR="114300"/>
            <wp:docPr descr="Gráfico" id="2" name="image1.png"/>
            <a:graphic>
              <a:graphicData uri="http://schemas.openxmlformats.org/drawingml/2006/picture">
                <pic:pic>
                  <pic:nvPicPr>
                    <pic:cNvPr descr="Gráfic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89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Relatar o processo de implantação do Processo Digital na Unicamp e seus impactos na inovação da gestão arquivística da Universidade e nos processos de trabalho desenvolvidos pelas áreas com sistemas de negócio integrados ao módulo.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Metodologia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projeto, desenvolvido com </w:t>
      </w:r>
      <w:r w:rsidDel="00000000" w:rsidR="00000000" w:rsidRPr="00000000">
        <w:rPr>
          <w:rtl w:val="0"/>
        </w:rPr>
        <w:t xml:space="preserve">metodologia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área Gestão Estratégica da Coordenadoria Geral da Universidade, se realizou nas seguintes etapas: Estudos de requisitos e diretrizes para SIGAD e repositórios digitais; formalização de grupo de trabalho para definição de requisitos; incremento do SIGAD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Unicamp com módulo Processo Digital; atualização de instrumentos de gestão arquivística; desenvolvimento de biblioteca de serviços de integração com sistemas; apoio à revisão de processos e implantação da interoperação com sistemas de informação/negócio; elaboração de manuais e tutoriais em vídeo; e treinamentos de usuários.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Maior  agilidade e acesso à informação nos processos de trabalho, tendo em vista o crescimento na autuação de processos digitais, inclusive via interoperação com sistemas de informação/negócio, conforme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 o gráfico: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Conclusão</w:t>
      </w:r>
    </w:p>
    <w:p w:rsidR="00000000" w:rsidDel="00000000" w:rsidP="00000000" w:rsidRDefault="00000000" w:rsidRPr="00000000" w14:paraId="0000000F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A implantação do Processo Digital no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SIGAD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Unicamp qualificou a gestão arquivística de documentos na Universidade, à medida que o sistema foi desenvolvido com atenção ao modelo de requisitos para SIGAD elaborado pelo Conselho Nacional de Arquivos (Brasil) e permitiu a gestão unificada dos processos administrativos da Unicamp, autuados desde a sua fundação (1963), tendo em vista que os dados e processos digitais estão no mesmo sistema e formato que os dados dos processos em papel. Além disso, apoiou o alcance de outros objetivos estratégicos da Universidade, relacionados ao tratamento e à transparência de dados e informações, tanto para atendimento de legislações recentes, quanto para a agilidade e a qualificação dos processos de trabalho organizaciona</w:t>
      </w:r>
      <w:r w:rsidDel="00000000" w:rsidR="00000000" w:rsidRPr="00000000">
        <w:rPr>
          <w:rtl w:val="0"/>
        </w:rPr>
        <w:t xml:space="preserve">l.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3657600</wp:posOffset>
                </wp:positionV>
                <wp:extent cx="2833688" cy="107632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73800" y="837400"/>
                          <a:ext cx="2833688" cy="1076325"/>
                          <a:chOff x="673800" y="837400"/>
                          <a:chExt cx="3399625" cy="1129625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688825" y="872925"/>
                            <a:ext cx="3384600" cy="109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Referências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CONSELHO NACIONAL DE ARQUIVOS (Brasil). Câmara Técnica de Documentos Eletrônicos. e-ARQ Brasil: Modelo de Requisitos para Sistemas Informatizados de Gestão Arquivística de Documentos. v.2. Rio de Janeiro: Arquivo Nacional, 2022. Disponível em: https://www.gov.br/conarq/pt-br/centrais-de-conteudo/publicacoes/EARQV203MAI2022.pdf. Acesso em: 5 jun. 2025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678575" y="842175"/>
                            <a:ext cx="3313200" cy="11043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3657600</wp:posOffset>
                </wp:positionV>
                <wp:extent cx="2833688" cy="10763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3688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