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Desafios na avaliação e tratamento da anquiloglossia: recomendações para cuidados pediátricos</w:t>
      </w:r>
    </w:p>
    <w:p w:rsidR="00000000" w:rsidDel="00000000" w:rsidP="00000000" w:rsidRDefault="00000000" w:rsidRPr="00000000" w14:paraId="00000002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Anna Laura de Souza Morás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Janaína de Castro Vieira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Natânia Mileny Garcia de Paula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Bruna Giacomelli Prochnow Pires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Maria Luísa Ginuino Carvalho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Carolina Arantes Gama Porto Brum*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. (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Centro Universitário do Planalto Central Apparecido dos Santos – UNICEPLAC) / anna.souza2004@gmail.com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A anquiloglossia é uma condição comumente conhecida como “língua presa”, em que a criança nasce com o frênulo lingual curto ou aderido ao assoalho da cavidade oral. É uma anomalia que pode estar relacionada com problemas como distúrbios da fala, dificuldades na amamentação e alimentação, além de </w:t>
      </w:r>
      <w:r w:rsidDel="00000000" w:rsidR="00000000" w:rsidRPr="00000000">
        <w:rPr>
          <w:sz w:val="24"/>
          <w:szCs w:val="24"/>
          <w:rtl w:val="0"/>
        </w:rPr>
        <w:t xml:space="preserve">adversidades no desenvolvimento de habilidades mecânicas, como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lamber os lábios ou manter os dentes limpos</w:t>
      </w:r>
      <w:r w:rsidDel="00000000" w:rsidR="00000000" w:rsidRPr="00000000">
        <w:rPr>
          <w:sz w:val="24"/>
          <w:szCs w:val="24"/>
          <w:rtl w:val="0"/>
        </w:rPr>
        <w:t xml:space="preserve">. Para que tais dificuldades não ocorram, é necessário um diagnóstico acurado através da avaliação do recém nascido, garantindo, assim, que a conduta a ser tomada será correta.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OBJETIVOS: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Identificar os principais critérios para a indicação de procedimentos cirúrgicos na avaliação e tratamento da anquiloglossia dentro da pediatria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Realizou-se uma revisão da literatura com a busca de trabalhos no PubMed e Cochrane, utilizando as palavras-chave: "frenotomia", "anquiloglossia", "pediatria" e "amamentação", e o operador AND. Os critérios de inclusão foram artigos em inglês e português publicados entre os anos de 2018-2022, disponíveis na íntegra e pertinentes ao tema.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sz w:val="24"/>
          <w:szCs w:val="24"/>
          <w:rtl w:val="0"/>
        </w:rPr>
        <w:t xml:space="preserve">A complexidade envolvida na avaliação e tratamento da anquiloglossia reflete a necessidade de uma abordagem multidisciplinar e cuidadosa. As possibilidades de tratamento vão desde opções não cirúrgicas, como consultoria em amamentação e fonoaudiologia, à cirurgia de frenectomia. É preciso ponderar que há falta de evidências consistentes sobre os benefícios do tratamento cirúrgico, destacando-se a importância do estabelecimento de critérios claros para a indicação do procedimento, levando em consideração não apenas a presença do freio lingual restritivo, mas também os sintomas e impactos funcionais ao paciente.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Na maioria das circunstâncias, a língua presa é um achado anatômico incidental e a intervenção cirúrgica pode não ser justificada, a menos que haja outras preocupações clínicas. </w:t>
      </w:r>
      <w:r w:rsidDel="00000000" w:rsidR="00000000" w:rsidRPr="00000000">
        <w:rPr>
          <w:color w:val="0f0f0f"/>
          <w:sz w:val="24"/>
          <w:szCs w:val="24"/>
          <w:highlight w:val="white"/>
          <w:rtl w:val="0"/>
        </w:rPr>
        <w:t xml:space="preserve">Dentre os sinais e sintomas considerados como preocupantes, a dor materna e a má pega do bebê durante a amamentação são os mais comuns. Entretanto, problemas de amamentação também podem ter outros potenciais causadores, como obstrução de vias aéreas, refluxo laringofaríngeo e anomalias craniofaciais, e todos devem ser avaliados e descartados. O ideal, segundo consensos clínicos, é realizar o seguimento para uma frenectomia lingual após o diagnóstico de anquiloglossia em bebês cujos problemas notados não melhoraram com o tratamento conservador. Por fim, ao decidir pela frenectomia é preciso considerar também as contra-indicações, sendo algumas delas a hipotonia, coagulopatia, retrognatia e micrognatia.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O aumento no número de intervenções cirúrgicas na anquiloglossia percebido nos últimos anos é preocupante, tanto por serem usados critérios inadequados para sua indicação, como pela possibilidade de efeitos a longo prazo em recém-nascidos. Dessa forma, é fundamental o uso de critérios diagnósticos claros, a fim de que as frenectomias sejam bem indicadas.</w:t>
      </w:r>
    </w:p>
    <w:p w:rsidR="00000000" w:rsidDel="00000000" w:rsidP="00000000" w:rsidRDefault="00000000" w:rsidRPr="00000000" w14:paraId="00000006">
      <w:pPr>
        <w:spacing w:after="0" w:before="0" w:line="360" w:lineRule="auto"/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before="0" w:line="36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sz w:val="24"/>
          <w:szCs w:val="24"/>
          <w:rtl w:val="0"/>
        </w:rPr>
        <w:t xml:space="preserve"> Amamentação; Anquiloglossia; Diagnóstico; Pediatria.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133" w:top="1700" w:left="1700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EC2AAA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C2AAA"/>
  </w:style>
  <w:style w:type="paragraph" w:styleId="Rodap">
    <w:name w:val="footer"/>
    <w:basedOn w:val="Normal"/>
    <w:link w:val="RodapChar"/>
    <w:uiPriority w:val="99"/>
    <w:unhideWhenUsed w:val="1"/>
    <w:rsid w:val="00EC2AAA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C2AA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PSY3ThFl8ttNmAg/rBmRpV1eRA==">CgMxLjA4AHIhMXN3YzVjU3owZWdSYUpHU2E0RDJ3UlM3STg4dldvQzdp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2023-10-29T15:02:00Z</dcterms:created>
</cp:coreProperties>
</file>