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43EC0" w14:textId="486F537A" w:rsidR="000B3107" w:rsidRPr="008E29B3" w:rsidRDefault="000B3107" w:rsidP="008E29B3">
      <w:pPr>
        <w:tabs>
          <w:tab w:val="left" w:pos="5871"/>
        </w:tabs>
        <w:ind w:firstLine="0"/>
        <w:jc w:val="left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73D37F9C" w14:textId="76BCEB0B" w:rsidR="00F26C7E" w:rsidRPr="00F26C7E" w:rsidRDefault="2BF74FE8" w:rsidP="00F26C7E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Grupo de Trabalho (GT):</w:t>
      </w:r>
      <w:r w:rsidR="00F26C7E">
        <w:rPr>
          <w:rFonts w:ascii="Arial" w:hAnsi="Arial" w:cs="Arial"/>
          <w:sz w:val="24"/>
          <w:szCs w:val="24"/>
        </w:rPr>
        <w:t xml:space="preserve"> </w:t>
      </w:r>
      <w:r w:rsidR="00F26C7E" w:rsidRPr="00F26C7E">
        <w:rPr>
          <w:rFonts w:ascii="Arial" w:hAnsi="Arial" w:cs="Arial"/>
          <w:sz w:val="24"/>
          <w:szCs w:val="24"/>
        </w:rPr>
        <w:t>Desafios, tendências e impactos das políticas públicas na</w:t>
      </w:r>
    </w:p>
    <w:p w14:paraId="13D3787D" w14:textId="77777777" w:rsidR="00F26C7E" w:rsidRPr="00F26C7E" w:rsidRDefault="00F26C7E" w:rsidP="00F26C7E">
      <w:pPr>
        <w:ind w:firstLine="0"/>
        <w:rPr>
          <w:rFonts w:ascii="Arial" w:hAnsi="Arial" w:cs="Arial"/>
          <w:sz w:val="24"/>
          <w:szCs w:val="24"/>
        </w:rPr>
      </w:pPr>
      <w:r w:rsidRPr="00F26C7E">
        <w:rPr>
          <w:rFonts w:ascii="Arial" w:hAnsi="Arial" w:cs="Arial"/>
          <w:sz w:val="24"/>
          <w:szCs w:val="24"/>
        </w:rPr>
        <w:t>educação: qualidade, equidade e gestão em perspectiva nacional e</w:t>
      </w:r>
    </w:p>
    <w:p w14:paraId="5EB4D84D" w14:textId="32C20DC8" w:rsidR="0491D5EE" w:rsidRPr="001F6136" w:rsidRDefault="00F26C7E" w:rsidP="00F26C7E">
      <w:pPr>
        <w:ind w:firstLine="0"/>
        <w:rPr>
          <w:rFonts w:ascii="Arial" w:hAnsi="Arial" w:cs="Arial"/>
          <w:sz w:val="24"/>
          <w:szCs w:val="24"/>
        </w:rPr>
      </w:pPr>
      <w:r w:rsidRPr="00F26C7E">
        <w:rPr>
          <w:rFonts w:ascii="Arial" w:hAnsi="Arial" w:cs="Arial"/>
          <w:sz w:val="24"/>
          <w:szCs w:val="24"/>
        </w:rPr>
        <w:t>internacional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315E1B70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F26C7E">
        <w:rPr>
          <w:rFonts w:ascii="Arial" w:hAnsi="Arial" w:cs="Arial"/>
          <w:sz w:val="24"/>
          <w:szCs w:val="24"/>
        </w:rPr>
        <w:t>c</w:t>
      </w:r>
      <w:r w:rsidR="052D4632" w:rsidRPr="001F6136">
        <w:rPr>
          <w:rFonts w:ascii="Arial" w:hAnsi="Arial" w:cs="Arial"/>
          <w:sz w:val="24"/>
          <w:szCs w:val="24"/>
        </w:rPr>
        <w:t>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7E56827D" w:rsidRPr="001F6136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0A583625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F26C7E">
        <w:rPr>
          <w:rFonts w:ascii="Arial" w:hAnsi="Arial" w:cs="Arial"/>
          <w:sz w:val="24"/>
          <w:szCs w:val="24"/>
        </w:rPr>
        <w:t>p</w:t>
      </w:r>
      <w:r w:rsidRPr="001F6136">
        <w:rPr>
          <w:rFonts w:ascii="Arial" w:hAnsi="Arial" w:cs="Arial"/>
          <w:sz w:val="24"/>
          <w:szCs w:val="24"/>
        </w:rPr>
        <w:t>resencial</w:t>
      </w:r>
    </w:p>
    <w:p w14:paraId="5191CADF" w14:textId="5F803C52" w:rsidR="0491D5EE" w:rsidRDefault="0491D5EE" w:rsidP="00E73320">
      <w:pPr>
        <w:pStyle w:val="Texto"/>
      </w:pPr>
    </w:p>
    <w:p w14:paraId="2C8BD57A" w14:textId="210BBE76" w:rsidR="003B2FAA" w:rsidRPr="00C32593" w:rsidRDefault="00805A8D" w:rsidP="003B2FAA">
      <w:pPr>
        <w:pStyle w:val="Ttulo"/>
      </w:pPr>
      <w:r w:rsidRPr="00C32593">
        <w:t xml:space="preserve">O FILANTROPO-NEOLIBERALISMO E </w:t>
      </w:r>
      <w:r w:rsidR="00786DC0" w:rsidRPr="00C32593">
        <w:t xml:space="preserve">O INTERESSE DO GRANDE EMPRESARIADO NA EDUCAÇÃO: </w:t>
      </w:r>
      <w:r w:rsidR="00C32593" w:rsidRPr="00C32593">
        <w:t>A FUNDAÇÃO LEMANN</w:t>
      </w:r>
    </w:p>
    <w:p w14:paraId="5A1B1E66" w14:textId="6C5C168C" w:rsidR="78AE189E" w:rsidRDefault="78AE189E" w:rsidP="00E73320">
      <w:pPr>
        <w:pStyle w:val="Texto"/>
      </w:pPr>
    </w:p>
    <w:p w14:paraId="1BB2D462" w14:textId="062621C9" w:rsidR="00205F0D" w:rsidRPr="00205F0D" w:rsidRDefault="00205F0D" w:rsidP="00205F0D">
      <w:pPr>
        <w:pStyle w:val="Autoria"/>
        <w:rPr>
          <w:sz w:val="24"/>
        </w:rPr>
      </w:pPr>
      <w:r>
        <w:rPr>
          <w:sz w:val="24"/>
        </w:rPr>
        <w:t>Érica Fernanda Monteiro</w:t>
      </w:r>
      <w:r>
        <w:rPr>
          <w:rStyle w:val="Refdenotaderodap"/>
          <w:sz w:val="24"/>
        </w:rPr>
        <w:footnoteReference w:id="1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549E5ABC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730DFF">
        <w:t>F</w:t>
      </w:r>
      <w:r w:rsidR="00730DFF" w:rsidRPr="00C32593">
        <w:t>ilantropo-neoliberalismo</w:t>
      </w:r>
      <w:r w:rsidR="00730DFF">
        <w:t>; Educação; Fundação Lemann; Currículo.</w:t>
      </w:r>
    </w:p>
    <w:p w14:paraId="0D36D8D1" w14:textId="77777777" w:rsidR="00730DFF" w:rsidRDefault="00730DFF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7FCE2940" w14:textId="77777777" w:rsidR="00907E21" w:rsidRDefault="00907E21" w:rsidP="00907E2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1D502F80" w14:textId="04023BAE" w:rsidR="00907E21" w:rsidRPr="00907E21" w:rsidRDefault="00907E21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 xml:space="preserve">Nas últimas décadas, </w:t>
      </w:r>
      <w:r w:rsidRPr="00907E21">
        <w:rPr>
          <w:rFonts w:ascii="Arial" w:hAnsi="Arial" w:cs="Arial"/>
          <w:sz w:val="24"/>
          <w:szCs w:val="24"/>
        </w:rPr>
        <w:t>a educação brasileira</w:t>
      </w:r>
      <w:r w:rsidRPr="000E0C4D">
        <w:rPr>
          <w:rFonts w:ascii="Arial" w:hAnsi="Arial" w:cs="Arial"/>
          <w:sz w:val="24"/>
          <w:szCs w:val="24"/>
        </w:rPr>
        <w:t xml:space="preserve"> tem sido progressivamente </w:t>
      </w:r>
      <w:r w:rsidRPr="00907E21">
        <w:rPr>
          <w:rFonts w:ascii="Arial" w:hAnsi="Arial" w:cs="Arial"/>
          <w:sz w:val="24"/>
          <w:szCs w:val="24"/>
        </w:rPr>
        <w:t>atravessada</w:t>
      </w:r>
      <w:r w:rsidRPr="000E0C4D">
        <w:rPr>
          <w:rFonts w:ascii="Arial" w:hAnsi="Arial" w:cs="Arial"/>
          <w:sz w:val="24"/>
          <w:szCs w:val="24"/>
        </w:rPr>
        <w:t xml:space="preserve"> por iniciativas </w:t>
      </w:r>
      <w:r w:rsidRPr="00907E21">
        <w:rPr>
          <w:rFonts w:ascii="Arial" w:hAnsi="Arial" w:cs="Arial"/>
          <w:sz w:val="24"/>
          <w:szCs w:val="24"/>
        </w:rPr>
        <w:t>desenvolvidas</w:t>
      </w:r>
      <w:r w:rsidRPr="000E0C4D">
        <w:rPr>
          <w:rFonts w:ascii="Arial" w:hAnsi="Arial" w:cs="Arial"/>
          <w:sz w:val="24"/>
          <w:szCs w:val="24"/>
        </w:rPr>
        <w:t xml:space="preserve"> </w:t>
      </w:r>
      <w:r w:rsidRPr="00907E21">
        <w:rPr>
          <w:rFonts w:ascii="Arial" w:hAnsi="Arial" w:cs="Arial"/>
          <w:sz w:val="24"/>
          <w:szCs w:val="24"/>
        </w:rPr>
        <w:t>n</w:t>
      </w:r>
      <w:r w:rsidRPr="000E0C4D">
        <w:rPr>
          <w:rFonts w:ascii="Arial" w:hAnsi="Arial" w:cs="Arial"/>
          <w:sz w:val="24"/>
          <w:szCs w:val="24"/>
        </w:rPr>
        <w:t xml:space="preserve">o setor privado, em especial por fundações empresariais que se apresentam como agentes de transformação social. </w:t>
      </w:r>
      <w:r w:rsidRPr="00907E21">
        <w:rPr>
          <w:rFonts w:ascii="Arial" w:hAnsi="Arial" w:cs="Arial"/>
          <w:sz w:val="24"/>
          <w:szCs w:val="24"/>
        </w:rPr>
        <w:t xml:space="preserve">Sob o manto da filantropia essas instituições encontram na Educação um terreno fértil para </w:t>
      </w:r>
      <w:r w:rsidR="00454FB8" w:rsidRPr="00907E21">
        <w:rPr>
          <w:rFonts w:ascii="Arial" w:hAnsi="Arial" w:cs="Arial"/>
          <w:sz w:val="24"/>
          <w:szCs w:val="24"/>
        </w:rPr>
        <w:t>cultivar</w:t>
      </w:r>
      <w:r w:rsidRPr="00907E21">
        <w:rPr>
          <w:rFonts w:ascii="Arial" w:hAnsi="Arial" w:cs="Arial"/>
          <w:sz w:val="24"/>
          <w:szCs w:val="24"/>
        </w:rPr>
        <w:t xml:space="preserve"> seus interesses. </w:t>
      </w:r>
      <w:r w:rsidRPr="000E0C4D">
        <w:rPr>
          <w:rFonts w:ascii="Arial" w:hAnsi="Arial" w:cs="Arial"/>
          <w:sz w:val="24"/>
          <w:szCs w:val="24"/>
        </w:rPr>
        <w:t xml:space="preserve">Dentre essas, </w:t>
      </w:r>
      <w:r w:rsidRPr="00907E21">
        <w:rPr>
          <w:rFonts w:ascii="Arial" w:hAnsi="Arial" w:cs="Arial"/>
          <w:sz w:val="24"/>
          <w:szCs w:val="24"/>
        </w:rPr>
        <w:t xml:space="preserve">está </w:t>
      </w:r>
      <w:r w:rsidRPr="000E0C4D">
        <w:rPr>
          <w:rFonts w:ascii="Arial" w:hAnsi="Arial" w:cs="Arial"/>
          <w:sz w:val="24"/>
          <w:szCs w:val="24"/>
        </w:rPr>
        <w:t xml:space="preserve">a Fundação Lemann </w:t>
      </w:r>
      <w:r w:rsidRPr="00907E21">
        <w:rPr>
          <w:rFonts w:ascii="Arial" w:hAnsi="Arial" w:cs="Arial"/>
          <w:sz w:val="24"/>
          <w:szCs w:val="24"/>
        </w:rPr>
        <w:t>que se destaca</w:t>
      </w:r>
      <w:r w:rsidRPr="000E0C4D">
        <w:rPr>
          <w:rFonts w:ascii="Arial" w:hAnsi="Arial" w:cs="Arial"/>
          <w:sz w:val="24"/>
          <w:szCs w:val="24"/>
        </w:rPr>
        <w:t xml:space="preserve"> como uma das organizações mais influentes na formulação e implementação de políticas públicas educacionais no país. </w:t>
      </w:r>
    </w:p>
    <w:p w14:paraId="283AF893" w14:textId="77777777" w:rsidR="00907E21" w:rsidRPr="000E0C4D" w:rsidRDefault="00907E21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 xml:space="preserve">Criada em 2002 por Jorge Paulo Lemann, a entidade </w:t>
      </w:r>
      <w:r w:rsidRPr="00907E21">
        <w:rPr>
          <w:rFonts w:ascii="Arial" w:hAnsi="Arial" w:cs="Arial"/>
          <w:sz w:val="24"/>
          <w:szCs w:val="24"/>
        </w:rPr>
        <w:t>surgiu</w:t>
      </w:r>
      <w:r w:rsidRPr="000E0C4D">
        <w:rPr>
          <w:rFonts w:ascii="Arial" w:hAnsi="Arial" w:cs="Arial"/>
          <w:sz w:val="24"/>
          <w:szCs w:val="24"/>
        </w:rPr>
        <w:t xml:space="preserve"> como desdobramento da Fundação Estudar, </w:t>
      </w:r>
      <w:r w:rsidRPr="00907E21">
        <w:rPr>
          <w:rFonts w:ascii="Arial" w:hAnsi="Arial" w:cs="Arial"/>
          <w:sz w:val="24"/>
          <w:szCs w:val="24"/>
        </w:rPr>
        <w:t>criada em</w:t>
      </w:r>
      <w:r w:rsidRPr="000E0C4D">
        <w:rPr>
          <w:rFonts w:ascii="Arial" w:hAnsi="Arial" w:cs="Arial"/>
          <w:sz w:val="24"/>
          <w:szCs w:val="24"/>
        </w:rPr>
        <w:t xml:space="preserve"> 1991, ampliando seu escopo de atuação do financiamento de bolsas para a formação de lideranças para a gestão e inovação educacional em larga escala.</w:t>
      </w:r>
    </w:p>
    <w:p w14:paraId="795EE648" w14:textId="3C838BE1" w:rsidR="00907E21" w:rsidRPr="000E0C4D" w:rsidRDefault="00907E21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907E21">
        <w:rPr>
          <w:rFonts w:ascii="Arial" w:hAnsi="Arial" w:cs="Arial"/>
          <w:sz w:val="24"/>
          <w:szCs w:val="24"/>
        </w:rPr>
        <w:t>Sob o propósito</w:t>
      </w:r>
      <w:r w:rsidRPr="000E0C4D">
        <w:rPr>
          <w:rFonts w:ascii="Arial" w:hAnsi="Arial" w:cs="Arial"/>
          <w:sz w:val="24"/>
          <w:szCs w:val="24"/>
        </w:rPr>
        <w:t xml:space="preserve"> inicial </w:t>
      </w:r>
      <w:r w:rsidRPr="00907E21">
        <w:rPr>
          <w:rFonts w:ascii="Arial" w:hAnsi="Arial" w:cs="Arial"/>
          <w:sz w:val="24"/>
          <w:szCs w:val="24"/>
        </w:rPr>
        <w:t>de “</w:t>
      </w:r>
      <w:r w:rsidRPr="000E0C4D">
        <w:rPr>
          <w:rFonts w:ascii="Arial" w:hAnsi="Arial" w:cs="Arial"/>
          <w:sz w:val="24"/>
          <w:szCs w:val="24"/>
        </w:rPr>
        <w:t xml:space="preserve">melhorar a qualidade da educação pública por meio de práticas gerenciais inspiradas na iniciativa privada, promovendo eficiência, </w:t>
      </w:r>
      <w:r w:rsidRPr="000E0C4D">
        <w:rPr>
          <w:rFonts w:ascii="Arial" w:hAnsi="Arial" w:cs="Arial"/>
          <w:sz w:val="24"/>
          <w:szCs w:val="24"/>
        </w:rPr>
        <w:lastRenderedPageBreak/>
        <w:t>avaliação de resultados e desenvolvimento de lideranças comprometidas com o país</w:t>
      </w:r>
      <w:r w:rsidRPr="00907E21">
        <w:rPr>
          <w:rFonts w:ascii="Arial" w:hAnsi="Arial" w:cs="Arial"/>
          <w:sz w:val="24"/>
          <w:szCs w:val="24"/>
        </w:rPr>
        <w:t>” (Lemann, 2025</w:t>
      </w:r>
      <w:r w:rsidR="0097496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74965">
        <w:rPr>
          <w:rFonts w:ascii="Arial" w:hAnsi="Arial" w:cs="Arial"/>
          <w:sz w:val="24"/>
          <w:szCs w:val="24"/>
        </w:rPr>
        <w:t>n.p</w:t>
      </w:r>
      <w:proofErr w:type="spellEnd"/>
      <w:r w:rsidRPr="00907E21">
        <w:rPr>
          <w:rFonts w:ascii="Arial" w:hAnsi="Arial" w:cs="Arial"/>
          <w:sz w:val="24"/>
          <w:szCs w:val="24"/>
        </w:rPr>
        <w:t xml:space="preserve">), </w:t>
      </w:r>
      <w:r w:rsidRPr="000E0C4D">
        <w:rPr>
          <w:rFonts w:ascii="Arial" w:hAnsi="Arial" w:cs="Arial"/>
          <w:sz w:val="24"/>
          <w:szCs w:val="24"/>
        </w:rPr>
        <w:t xml:space="preserve">sua atuação tem </w:t>
      </w:r>
      <w:r w:rsidRPr="00907E21">
        <w:rPr>
          <w:rFonts w:ascii="Arial" w:hAnsi="Arial" w:cs="Arial"/>
          <w:sz w:val="24"/>
          <w:szCs w:val="24"/>
        </w:rPr>
        <w:t>acendido</w:t>
      </w:r>
      <w:r w:rsidRPr="000E0C4D">
        <w:rPr>
          <w:rFonts w:ascii="Arial" w:hAnsi="Arial" w:cs="Arial"/>
          <w:sz w:val="24"/>
          <w:szCs w:val="24"/>
        </w:rPr>
        <w:t xml:space="preserve"> debates acerca do papel da filantropia empresarial na educação e de suas </w:t>
      </w:r>
      <w:r w:rsidRPr="00907E21">
        <w:rPr>
          <w:rFonts w:ascii="Arial" w:hAnsi="Arial" w:cs="Arial"/>
          <w:sz w:val="24"/>
          <w:szCs w:val="24"/>
        </w:rPr>
        <w:t>conexões</w:t>
      </w:r>
      <w:r w:rsidRPr="000E0C4D">
        <w:rPr>
          <w:rFonts w:ascii="Arial" w:hAnsi="Arial" w:cs="Arial"/>
          <w:sz w:val="24"/>
          <w:szCs w:val="24"/>
        </w:rPr>
        <w:t xml:space="preserve"> com o neoliberalismo, que busca reconfigurar as políticas públicas sob a lógica do mercado e da produtividade.</w:t>
      </w:r>
    </w:p>
    <w:p w14:paraId="48B551EA" w14:textId="77777777" w:rsidR="00907E21" w:rsidRPr="000E0C4D" w:rsidRDefault="00907E21" w:rsidP="00907E21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 xml:space="preserve">Este estudo </w:t>
      </w:r>
      <w:r w:rsidRPr="00907E21">
        <w:rPr>
          <w:rFonts w:ascii="Arial" w:hAnsi="Arial" w:cs="Arial"/>
          <w:sz w:val="24"/>
          <w:szCs w:val="24"/>
        </w:rPr>
        <w:t>objetiva</w:t>
      </w:r>
      <w:r w:rsidRPr="000E0C4D">
        <w:rPr>
          <w:rFonts w:ascii="Arial" w:hAnsi="Arial" w:cs="Arial"/>
          <w:sz w:val="24"/>
          <w:szCs w:val="24"/>
        </w:rPr>
        <w:t xml:space="preserve"> analisar a trajetória da Fundação Lemann, suas estratégias de influência sobre políticas educacionais</w:t>
      </w:r>
      <w:r w:rsidRPr="00907E21">
        <w:rPr>
          <w:rFonts w:ascii="Arial" w:hAnsi="Arial" w:cs="Arial"/>
          <w:sz w:val="24"/>
          <w:szCs w:val="24"/>
        </w:rPr>
        <w:t xml:space="preserve">, </w:t>
      </w:r>
      <w:r w:rsidRPr="000E0C4D">
        <w:rPr>
          <w:rFonts w:ascii="Arial" w:hAnsi="Arial" w:cs="Arial"/>
          <w:sz w:val="24"/>
          <w:szCs w:val="24"/>
        </w:rPr>
        <w:t>em especial na formulação da Base Nacional Comum Curricular (BNCC</w:t>
      </w:r>
      <w:r w:rsidRPr="00907E21">
        <w:rPr>
          <w:rFonts w:ascii="Arial" w:hAnsi="Arial" w:cs="Arial"/>
          <w:sz w:val="24"/>
          <w:szCs w:val="24"/>
        </w:rPr>
        <w:t xml:space="preserve">) </w:t>
      </w:r>
      <w:r w:rsidRPr="000E0C4D">
        <w:rPr>
          <w:rFonts w:ascii="Arial" w:hAnsi="Arial" w:cs="Arial"/>
          <w:sz w:val="24"/>
          <w:szCs w:val="24"/>
        </w:rPr>
        <w:t>e os impactos da filantropia estratégica na consolidação de um modelo de gestão educacional alinhado às práticas do setor privado.</w:t>
      </w:r>
    </w:p>
    <w:p w14:paraId="251506C0" w14:textId="77777777" w:rsidR="00435A4C" w:rsidRPr="009A33DE" w:rsidRDefault="00435A4C" w:rsidP="009A33DE">
      <w:pPr>
        <w:pStyle w:val="Texto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6EF99736" w14:textId="618871C7" w:rsidR="0C591BAA" w:rsidRDefault="0C591BAA" w:rsidP="00DF040B">
      <w:pPr>
        <w:pStyle w:val="Texto"/>
      </w:pPr>
    </w:p>
    <w:p w14:paraId="04626DFD" w14:textId="2819CE66" w:rsidR="00790B0B" w:rsidRPr="000E0C4D" w:rsidRDefault="00790B0B" w:rsidP="00790B0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DD3611">
        <w:rPr>
          <w:rFonts w:ascii="Arial" w:hAnsi="Arial" w:cs="Arial"/>
          <w:sz w:val="24"/>
          <w:szCs w:val="24"/>
        </w:rPr>
        <w:t>Compreender a estratégia de</w:t>
      </w:r>
      <w:r w:rsidRPr="000E0C4D">
        <w:rPr>
          <w:rFonts w:ascii="Arial" w:hAnsi="Arial" w:cs="Arial"/>
          <w:sz w:val="24"/>
          <w:szCs w:val="24"/>
        </w:rPr>
        <w:t xml:space="preserve"> atuação da Fundação Lemann exige </w:t>
      </w:r>
      <w:r w:rsidR="006E647F">
        <w:rPr>
          <w:rFonts w:ascii="Arial" w:hAnsi="Arial" w:cs="Arial"/>
          <w:sz w:val="24"/>
          <w:szCs w:val="24"/>
        </w:rPr>
        <w:t>mobilizar</w:t>
      </w:r>
      <w:r w:rsidRPr="000E0C4D">
        <w:rPr>
          <w:rFonts w:ascii="Arial" w:hAnsi="Arial" w:cs="Arial"/>
          <w:sz w:val="24"/>
          <w:szCs w:val="24"/>
        </w:rPr>
        <w:t xml:space="preserve"> os conceitos de filantropia estratégica, neoliberalismo e governamentalidade. </w:t>
      </w:r>
      <w:r w:rsidR="001A0291">
        <w:rPr>
          <w:rFonts w:ascii="Arial" w:hAnsi="Arial" w:cs="Arial"/>
          <w:sz w:val="24"/>
          <w:szCs w:val="24"/>
        </w:rPr>
        <w:t>De acordo com</w:t>
      </w:r>
      <w:r w:rsidRPr="000E0C4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0C4D">
        <w:rPr>
          <w:rFonts w:ascii="Arial" w:hAnsi="Arial" w:cs="Arial"/>
          <w:sz w:val="24"/>
          <w:szCs w:val="24"/>
        </w:rPr>
        <w:t>Tarlau</w:t>
      </w:r>
      <w:proofErr w:type="spellEnd"/>
      <w:r w:rsidRPr="000E0C4D">
        <w:rPr>
          <w:rFonts w:ascii="Arial" w:hAnsi="Arial" w:cs="Arial"/>
          <w:sz w:val="24"/>
          <w:szCs w:val="24"/>
        </w:rPr>
        <w:t xml:space="preserve"> e Moeller (2020), a filantropia contemporânea ultrapassa o altruísmo tradicional, convertendo-se em instrumento político-econômico de intervenção em políticas públicas. Essa modalidade, </w:t>
      </w:r>
      <w:r w:rsidRPr="00DD3611">
        <w:rPr>
          <w:rFonts w:ascii="Arial" w:hAnsi="Arial" w:cs="Arial"/>
          <w:sz w:val="24"/>
          <w:szCs w:val="24"/>
        </w:rPr>
        <w:t>aqui nomeada</w:t>
      </w:r>
      <w:r w:rsidRPr="000E0C4D">
        <w:rPr>
          <w:rFonts w:ascii="Arial" w:hAnsi="Arial" w:cs="Arial"/>
          <w:sz w:val="24"/>
          <w:szCs w:val="24"/>
        </w:rPr>
        <w:t xml:space="preserve"> filantropo-</w:t>
      </w:r>
      <w:r w:rsidRPr="00DD3611">
        <w:rPr>
          <w:rFonts w:ascii="Arial" w:hAnsi="Arial" w:cs="Arial"/>
          <w:sz w:val="24"/>
          <w:szCs w:val="24"/>
        </w:rPr>
        <w:t>neoliberalismo</w:t>
      </w:r>
      <w:r w:rsidRPr="000E0C4D">
        <w:rPr>
          <w:rFonts w:ascii="Arial" w:hAnsi="Arial" w:cs="Arial"/>
          <w:sz w:val="24"/>
          <w:szCs w:val="24"/>
        </w:rPr>
        <w:t>, aplica lógicas empresariais à resolução de problemas sociais, operando sob os princípios de investimento, mensuração de impacto e retorno social.</w:t>
      </w:r>
    </w:p>
    <w:p w14:paraId="4F2223F4" w14:textId="33EB89B9" w:rsidR="00790B0B" w:rsidRPr="000E0C4D" w:rsidRDefault="00790B0B" w:rsidP="00790B0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 xml:space="preserve">O neoliberalismo, conforme discutido por Foucault (2008; 2016), Barbosa, Leão e Rodrigues (2024) e Laval (2019), constitui-se como uma racionalidade política que visa submeter todas as esferas da vida à lógica do mercado. Essa forma de governamentalidade desloca o Estado de provedor de direitos para mediador e garantidor das condições de concorrência. Nesse contexto, a educação </w:t>
      </w:r>
      <w:r w:rsidR="00E7355C">
        <w:rPr>
          <w:rFonts w:ascii="Arial" w:hAnsi="Arial" w:cs="Arial"/>
          <w:sz w:val="24"/>
          <w:szCs w:val="24"/>
        </w:rPr>
        <w:t>passa a ser</w:t>
      </w:r>
      <w:r w:rsidRPr="000E0C4D">
        <w:rPr>
          <w:rFonts w:ascii="Arial" w:hAnsi="Arial" w:cs="Arial"/>
          <w:sz w:val="24"/>
          <w:szCs w:val="24"/>
        </w:rPr>
        <w:t xml:space="preserve"> tratada como instrumento de formação de capital humano, ajustada às demandas produtivas e à eficiência empresarial.</w:t>
      </w:r>
    </w:p>
    <w:p w14:paraId="6BCA2573" w14:textId="77777777" w:rsidR="00790B0B" w:rsidRPr="000E0C4D" w:rsidRDefault="00790B0B" w:rsidP="00790B0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>Autores como Bhanji (2008) e Anderson (1995) apontam que a filantropia estratégica na educação não apenas supre lacunas estatais, mas redefine agendas e prioridades, produzindo uma “privatização técnica” do ensino público. Essa tendência se fortalece com a influência de grandes fundações globais</w:t>
      </w:r>
      <w:r w:rsidRPr="00DD3611">
        <w:rPr>
          <w:rFonts w:ascii="Arial" w:hAnsi="Arial" w:cs="Arial"/>
          <w:sz w:val="24"/>
          <w:szCs w:val="24"/>
        </w:rPr>
        <w:t xml:space="preserve">, </w:t>
      </w:r>
      <w:r w:rsidRPr="000E0C4D">
        <w:rPr>
          <w:rFonts w:ascii="Arial" w:hAnsi="Arial" w:cs="Arial"/>
          <w:sz w:val="24"/>
          <w:szCs w:val="24"/>
        </w:rPr>
        <w:t>como Gates, Ford e Rockefeller</w:t>
      </w:r>
      <w:r w:rsidRPr="00DD3611">
        <w:rPr>
          <w:rFonts w:ascii="Arial" w:hAnsi="Arial" w:cs="Arial"/>
          <w:sz w:val="24"/>
          <w:szCs w:val="24"/>
        </w:rPr>
        <w:t>,</w:t>
      </w:r>
      <w:r w:rsidRPr="000E0C4D">
        <w:rPr>
          <w:rFonts w:ascii="Arial" w:hAnsi="Arial" w:cs="Arial"/>
          <w:sz w:val="24"/>
          <w:szCs w:val="24"/>
        </w:rPr>
        <w:t xml:space="preserve"> e, no caso brasileiro, com a </w:t>
      </w:r>
      <w:proofErr w:type="spellStart"/>
      <w:r w:rsidRPr="00DD3611">
        <w:rPr>
          <w:rFonts w:ascii="Arial" w:hAnsi="Arial" w:cs="Arial"/>
          <w:sz w:val="24"/>
          <w:szCs w:val="24"/>
        </w:rPr>
        <w:t>assenção</w:t>
      </w:r>
      <w:proofErr w:type="spellEnd"/>
      <w:r w:rsidRPr="000E0C4D">
        <w:rPr>
          <w:rFonts w:ascii="Arial" w:hAnsi="Arial" w:cs="Arial"/>
          <w:sz w:val="24"/>
          <w:szCs w:val="24"/>
        </w:rPr>
        <w:t xml:space="preserve"> de instituições como Fundação Lemann, Instituto Unibanco e Itaú Social, que atuam de forma articulada no âmbito do GIFE (Grupo de Institutos, Fundações e Empresas).</w:t>
      </w:r>
    </w:p>
    <w:p w14:paraId="450B9680" w14:textId="24CEAA2A" w:rsidR="00790B0B" w:rsidRPr="000E0C4D" w:rsidRDefault="00790B0B" w:rsidP="00790B0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 xml:space="preserve">Nesse cenário, o papel da Fundação Lemann </w:t>
      </w:r>
      <w:r w:rsidRPr="00DD3611">
        <w:rPr>
          <w:rFonts w:ascii="Arial" w:hAnsi="Arial" w:cs="Arial"/>
          <w:sz w:val="24"/>
          <w:szCs w:val="24"/>
        </w:rPr>
        <w:t>mostra-se</w:t>
      </w:r>
      <w:r w:rsidRPr="000E0C4D">
        <w:rPr>
          <w:rFonts w:ascii="Arial" w:hAnsi="Arial" w:cs="Arial"/>
          <w:sz w:val="24"/>
          <w:szCs w:val="24"/>
        </w:rPr>
        <w:t xml:space="preserve"> paradigmático: ao mesmo tempo em que se apresenta como uma entidade apartidária e filantrópica, sua atuação revela um engajamento político intenso na formulação de políticas públicas. Tal fenômeno reflete o que Foucault (2002</w:t>
      </w:r>
      <w:r w:rsidR="00974965">
        <w:rPr>
          <w:rFonts w:ascii="Arial" w:hAnsi="Arial" w:cs="Arial"/>
          <w:sz w:val="24"/>
          <w:szCs w:val="24"/>
        </w:rPr>
        <w:t>, p. 22</w:t>
      </w:r>
      <w:r w:rsidRPr="000E0C4D">
        <w:rPr>
          <w:rFonts w:ascii="Arial" w:hAnsi="Arial" w:cs="Arial"/>
          <w:sz w:val="24"/>
          <w:szCs w:val="24"/>
        </w:rPr>
        <w:t>) define como a “continuação da guerra por outros meios”, isto é, a ocupação estratégica de espaços institucionais para a manutenção de relações de poder e dominação simbólica.</w:t>
      </w:r>
    </w:p>
    <w:p w14:paraId="11DDC886" w14:textId="77777777" w:rsidR="00790B0B" w:rsidRDefault="00790B0B" w:rsidP="00DF040B">
      <w:pPr>
        <w:pStyle w:val="Texto"/>
      </w:pPr>
    </w:p>
    <w:p w14:paraId="1DD2BBB3" w14:textId="0B784F74" w:rsidR="00707214" w:rsidRP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5905B946" w14:textId="5520B327" w:rsidR="6EB1BE39" w:rsidRDefault="6EB1BE39" w:rsidP="6EB1BE39">
      <w:pPr>
        <w:pStyle w:val="Texto"/>
      </w:pPr>
    </w:p>
    <w:p w14:paraId="2AF84509" w14:textId="4403F41A" w:rsidR="00051DE5" w:rsidRPr="000E0C4D" w:rsidRDefault="00051DE5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51DE5">
        <w:rPr>
          <w:rFonts w:ascii="Arial" w:hAnsi="Arial" w:cs="Arial"/>
          <w:sz w:val="24"/>
          <w:szCs w:val="24"/>
        </w:rPr>
        <w:t xml:space="preserve">O presente </w:t>
      </w:r>
      <w:r w:rsidR="000626D3">
        <w:rPr>
          <w:rFonts w:ascii="Arial" w:hAnsi="Arial" w:cs="Arial"/>
          <w:sz w:val="24"/>
          <w:szCs w:val="24"/>
        </w:rPr>
        <w:t>resumo</w:t>
      </w:r>
      <w:r w:rsidRPr="00051DE5">
        <w:rPr>
          <w:rFonts w:ascii="Arial" w:hAnsi="Arial" w:cs="Arial"/>
          <w:sz w:val="24"/>
          <w:szCs w:val="24"/>
        </w:rPr>
        <w:t xml:space="preserve"> é resultando de uma tese, em desenvolvimento, e </w:t>
      </w:r>
      <w:r w:rsidRPr="000E0C4D">
        <w:rPr>
          <w:rFonts w:ascii="Arial" w:hAnsi="Arial" w:cs="Arial"/>
          <w:sz w:val="24"/>
          <w:szCs w:val="24"/>
        </w:rPr>
        <w:t>adota uma abordagem qualitativa e documental, baseada na análise de relatórios institucionais da Fundação Lemann, textos acadêmicos</w:t>
      </w:r>
      <w:r w:rsidRPr="00051DE5">
        <w:rPr>
          <w:rFonts w:ascii="Arial" w:hAnsi="Arial" w:cs="Arial"/>
          <w:sz w:val="24"/>
          <w:szCs w:val="24"/>
        </w:rPr>
        <w:t xml:space="preserve"> </w:t>
      </w:r>
      <w:r w:rsidRPr="000E0C4D">
        <w:rPr>
          <w:rFonts w:ascii="Arial" w:hAnsi="Arial" w:cs="Arial"/>
          <w:sz w:val="24"/>
          <w:szCs w:val="24"/>
        </w:rPr>
        <w:t>e registros oficiais sobre políticas públicas educacionais no Brasil.</w:t>
      </w:r>
    </w:p>
    <w:p w14:paraId="117D211F" w14:textId="77777777" w:rsidR="00051DE5" w:rsidRPr="000E0C4D" w:rsidRDefault="00051DE5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51DE5">
        <w:rPr>
          <w:rFonts w:ascii="Arial" w:hAnsi="Arial" w:cs="Arial"/>
          <w:sz w:val="24"/>
          <w:szCs w:val="24"/>
        </w:rPr>
        <w:t>A principal análise</w:t>
      </w:r>
      <w:r w:rsidRPr="000E0C4D">
        <w:rPr>
          <w:rFonts w:ascii="Arial" w:hAnsi="Arial" w:cs="Arial"/>
          <w:sz w:val="24"/>
          <w:szCs w:val="24"/>
        </w:rPr>
        <w:t xml:space="preserve"> compreende o material descritivo da trajetória institucional da Fundação, de 1991 a 2025, incluindo:</w:t>
      </w:r>
      <w:r w:rsidRPr="00051DE5">
        <w:rPr>
          <w:rFonts w:ascii="Arial" w:hAnsi="Arial" w:cs="Arial"/>
          <w:sz w:val="24"/>
          <w:szCs w:val="24"/>
        </w:rPr>
        <w:t xml:space="preserve"> i) </w:t>
      </w:r>
      <w:r w:rsidRPr="000E0C4D">
        <w:rPr>
          <w:rFonts w:ascii="Arial" w:hAnsi="Arial" w:cs="Arial"/>
          <w:sz w:val="24"/>
          <w:szCs w:val="24"/>
        </w:rPr>
        <w:t>Histórico de criação da Fundação Estudar (1991) e da Fundação Lemann (2002);</w:t>
      </w:r>
      <w:r w:rsidRPr="00051DE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1DE5">
        <w:rPr>
          <w:rFonts w:ascii="Arial" w:hAnsi="Arial" w:cs="Arial"/>
          <w:sz w:val="24"/>
          <w:szCs w:val="24"/>
        </w:rPr>
        <w:t>ii</w:t>
      </w:r>
      <w:proofErr w:type="spellEnd"/>
      <w:r w:rsidRPr="00051DE5">
        <w:rPr>
          <w:rFonts w:ascii="Arial" w:hAnsi="Arial" w:cs="Arial"/>
          <w:sz w:val="24"/>
          <w:szCs w:val="24"/>
        </w:rPr>
        <w:t xml:space="preserve">) </w:t>
      </w:r>
      <w:r w:rsidRPr="000E0C4D">
        <w:rPr>
          <w:rFonts w:ascii="Arial" w:hAnsi="Arial" w:cs="Arial"/>
          <w:sz w:val="24"/>
          <w:szCs w:val="24"/>
        </w:rPr>
        <w:t>Estrutura organizacional e conselho administrativo;</w:t>
      </w:r>
      <w:r w:rsidRPr="00051DE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1DE5">
        <w:rPr>
          <w:rFonts w:ascii="Arial" w:hAnsi="Arial" w:cs="Arial"/>
          <w:sz w:val="24"/>
          <w:szCs w:val="24"/>
        </w:rPr>
        <w:t>iii</w:t>
      </w:r>
      <w:proofErr w:type="spellEnd"/>
      <w:r w:rsidRPr="00051DE5">
        <w:rPr>
          <w:rFonts w:ascii="Arial" w:hAnsi="Arial" w:cs="Arial"/>
          <w:sz w:val="24"/>
          <w:szCs w:val="24"/>
        </w:rPr>
        <w:t xml:space="preserve">) </w:t>
      </w:r>
      <w:r w:rsidRPr="000E0C4D">
        <w:rPr>
          <w:rFonts w:ascii="Arial" w:hAnsi="Arial" w:cs="Arial"/>
          <w:sz w:val="24"/>
          <w:szCs w:val="24"/>
        </w:rPr>
        <w:t>Programas e projetos voltados à formação de lideranças e docentes;</w:t>
      </w:r>
      <w:r w:rsidRPr="00051DE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1DE5">
        <w:rPr>
          <w:rFonts w:ascii="Arial" w:hAnsi="Arial" w:cs="Arial"/>
          <w:sz w:val="24"/>
          <w:szCs w:val="24"/>
        </w:rPr>
        <w:t>iv</w:t>
      </w:r>
      <w:proofErr w:type="spellEnd"/>
      <w:r w:rsidRPr="00051DE5">
        <w:rPr>
          <w:rFonts w:ascii="Arial" w:hAnsi="Arial" w:cs="Arial"/>
          <w:sz w:val="24"/>
          <w:szCs w:val="24"/>
        </w:rPr>
        <w:t xml:space="preserve">) </w:t>
      </w:r>
      <w:r w:rsidRPr="000E0C4D">
        <w:rPr>
          <w:rFonts w:ascii="Arial" w:hAnsi="Arial" w:cs="Arial"/>
          <w:sz w:val="24"/>
          <w:szCs w:val="24"/>
        </w:rPr>
        <w:t>Parcerias institucionais com órgãos públicos, universidades e organizações não governamentais;</w:t>
      </w:r>
      <w:r w:rsidRPr="00051DE5">
        <w:rPr>
          <w:rFonts w:ascii="Arial" w:hAnsi="Arial" w:cs="Arial"/>
          <w:sz w:val="24"/>
          <w:szCs w:val="24"/>
        </w:rPr>
        <w:t xml:space="preserve"> e v) </w:t>
      </w:r>
      <w:r w:rsidRPr="000E0C4D">
        <w:rPr>
          <w:rFonts w:ascii="Arial" w:hAnsi="Arial" w:cs="Arial"/>
          <w:sz w:val="24"/>
          <w:szCs w:val="24"/>
        </w:rPr>
        <w:t>Atuação no processo de construção da BNCC (2013–2017).</w:t>
      </w:r>
    </w:p>
    <w:p w14:paraId="086C543E" w14:textId="75E7DE2A" w:rsidR="00051DE5" w:rsidRPr="000E0C4D" w:rsidRDefault="00051DE5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>A metodologia se ancora na análise de discurso foucaultiana, que permite compreender as práticas filantrópicas como tecnologias de poder e dispositivos de governamentalidade. Assim, o estudo não busca julgar a atuação da Fundação, mas identificar como suas práticas discursivas e institucionais moldam políticas educacionais e reproduzem determinadas racionalidades econômicas e políticas.</w:t>
      </w:r>
    </w:p>
    <w:p w14:paraId="72CACEC4" w14:textId="398FE4A9" w:rsidR="00790B0B" w:rsidRDefault="00790B0B" w:rsidP="6EB1BE39">
      <w:pPr>
        <w:pStyle w:val="Texto"/>
      </w:pPr>
    </w:p>
    <w:p w14:paraId="4B72C82E" w14:textId="39884932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4669AC60" w14:textId="2C7EE996" w:rsidR="0C591BAA" w:rsidRDefault="0C591BAA" w:rsidP="00DF040B">
      <w:pPr>
        <w:pStyle w:val="Texto"/>
      </w:pPr>
    </w:p>
    <w:p w14:paraId="4FCEF4BB" w14:textId="56F0A59B" w:rsidR="007A3B15" w:rsidRPr="000E0C4D" w:rsidRDefault="007A3B15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 xml:space="preserve">Desde sua criação, a Fundação Lemann consolidou uma rede de atuação nacional e internacional, composta por universidades (Stanford, Harvard, Columbia), governos estaduais e federais, organizações do terceiro setor e investidores privados. Essa rede, </w:t>
      </w:r>
      <w:r w:rsidR="002F69B7" w:rsidRPr="005B32E9">
        <w:rPr>
          <w:rFonts w:ascii="Arial" w:hAnsi="Arial" w:cs="Arial"/>
          <w:sz w:val="24"/>
          <w:szCs w:val="24"/>
        </w:rPr>
        <w:t>denominada pela Fundação como</w:t>
      </w:r>
      <w:r w:rsidRPr="000E0C4D">
        <w:rPr>
          <w:rFonts w:ascii="Arial" w:hAnsi="Arial" w:cs="Arial"/>
          <w:sz w:val="24"/>
          <w:szCs w:val="24"/>
        </w:rPr>
        <w:t xml:space="preserve"> “Ecossistema de </w:t>
      </w:r>
      <w:proofErr w:type="gramStart"/>
      <w:r w:rsidRPr="000E0C4D">
        <w:rPr>
          <w:rFonts w:ascii="Arial" w:hAnsi="Arial" w:cs="Arial"/>
          <w:sz w:val="24"/>
          <w:szCs w:val="24"/>
        </w:rPr>
        <w:t>Impacto”</w:t>
      </w:r>
      <w:r w:rsidR="00386C1B">
        <w:rPr>
          <w:rFonts w:ascii="Arial" w:hAnsi="Arial" w:cs="Arial"/>
          <w:sz w:val="24"/>
          <w:szCs w:val="24"/>
        </w:rPr>
        <w:t>(</w:t>
      </w:r>
      <w:proofErr w:type="gramEnd"/>
      <w:r w:rsidR="00386C1B">
        <w:rPr>
          <w:rFonts w:ascii="Arial" w:hAnsi="Arial" w:cs="Arial"/>
          <w:sz w:val="24"/>
          <w:szCs w:val="24"/>
        </w:rPr>
        <w:t xml:space="preserve">Lemann, 2025, </w:t>
      </w:r>
      <w:proofErr w:type="spellStart"/>
      <w:r w:rsidR="00386C1B">
        <w:rPr>
          <w:rFonts w:ascii="Arial" w:hAnsi="Arial" w:cs="Arial"/>
          <w:sz w:val="24"/>
          <w:szCs w:val="24"/>
        </w:rPr>
        <w:t>n.p</w:t>
      </w:r>
      <w:proofErr w:type="spellEnd"/>
      <w:r w:rsidR="00386C1B">
        <w:rPr>
          <w:rFonts w:ascii="Arial" w:hAnsi="Arial" w:cs="Arial"/>
          <w:sz w:val="24"/>
          <w:szCs w:val="24"/>
        </w:rPr>
        <w:t>)</w:t>
      </w:r>
      <w:r w:rsidRPr="000E0C4D">
        <w:rPr>
          <w:rFonts w:ascii="Arial" w:hAnsi="Arial" w:cs="Arial"/>
          <w:sz w:val="24"/>
          <w:szCs w:val="24"/>
        </w:rPr>
        <w:t>, é apresentada como uma comunidade colaborativa comprometida com a melhoria da educação pública.</w:t>
      </w:r>
      <w:r w:rsidR="00DC7E99" w:rsidRPr="005B32E9">
        <w:rPr>
          <w:rFonts w:ascii="Arial" w:hAnsi="Arial" w:cs="Arial"/>
          <w:sz w:val="24"/>
          <w:szCs w:val="24"/>
        </w:rPr>
        <w:t xml:space="preserve"> </w:t>
      </w:r>
      <w:r w:rsidRPr="000E0C4D">
        <w:rPr>
          <w:rFonts w:ascii="Arial" w:hAnsi="Arial" w:cs="Arial"/>
          <w:sz w:val="24"/>
          <w:szCs w:val="24"/>
        </w:rPr>
        <w:t xml:space="preserve">Contudo, essa estrutura revela um modelo de governança híbrida, em que o setor privado assume </w:t>
      </w:r>
      <w:r w:rsidR="00762F25" w:rsidRPr="005B32E9">
        <w:rPr>
          <w:rFonts w:ascii="Arial" w:hAnsi="Arial" w:cs="Arial"/>
          <w:sz w:val="24"/>
          <w:szCs w:val="24"/>
        </w:rPr>
        <w:t>protagonismo</w:t>
      </w:r>
      <w:r w:rsidRPr="000E0C4D">
        <w:rPr>
          <w:rFonts w:ascii="Arial" w:hAnsi="Arial" w:cs="Arial"/>
          <w:sz w:val="24"/>
          <w:szCs w:val="24"/>
        </w:rPr>
        <w:t xml:space="preserve"> na formulação e implementação de políticas públicas. </w:t>
      </w:r>
      <w:r w:rsidR="00762F25" w:rsidRPr="005B32E9">
        <w:rPr>
          <w:rFonts w:ascii="Arial" w:hAnsi="Arial" w:cs="Arial"/>
          <w:sz w:val="24"/>
          <w:szCs w:val="24"/>
        </w:rPr>
        <w:t xml:space="preserve">Nesse sentido, vários </w:t>
      </w:r>
      <w:r w:rsidR="00343570" w:rsidRPr="005B32E9">
        <w:rPr>
          <w:rFonts w:ascii="Arial" w:hAnsi="Arial" w:cs="Arial"/>
          <w:sz w:val="24"/>
          <w:szCs w:val="24"/>
        </w:rPr>
        <w:t>P</w:t>
      </w:r>
      <w:r w:rsidR="00762F25" w:rsidRPr="005B32E9">
        <w:rPr>
          <w:rFonts w:ascii="Arial" w:hAnsi="Arial" w:cs="Arial"/>
          <w:sz w:val="24"/>
          <w:szCs w:val="24"/>
        </w:rPr>
        <w:t>rogra</w:t>
      </w:r>
      <w:r w:rsidR="00343570" w:rsidRPr="005B32E9">
        <w:rPr>
          <w:rFonts w:ascii="Arial" w:hAnsi="Arial" w:cs="Arial"/>
          <w:sz w:val="24"/>
          <w:szCs w:val="24"/>
        </w:rPr>
        <w:t>mas como</w:t>
      </w:r>
      <w:r w:rsidRPr="000E0C4D">
        <w:rPr>
          <w:rFonts w:ascii="Arial" w:hAnsi="Arial" w:cs="Arial"/>
          <w:sz w:val="24"/>
          <w:szCs w:val="24"/>
        </w:rPr>
        <w:t xml:space="preserve"> Vamos</w:t>
      </w:r>
      <w:r w:rsidR="00343570" w:rsidRPr="005B32E9">
        <w:rPr>
          <w:rFonts w:ascii="Arial" w:hAnsi="Arial" w:cs="Arial"/>
          <w:sz w:val="24"/>
          <w:szCs w:val="24"/>
        </w:rPr>
        <w:t xml:space="preserve">- </w:t>
      </w:r>
      <w:r w:rsidRPr="000E0C4D">
        <w:rPr>
          <w:rFonts w:ascii="Arial" w:hAnsi="Arial" w:cs="Arial"/>
          <w:sz w:val="24"/>
          <w:szCs w:val="24"/>
        </w:rPr>
        <w:t>Transformar Lideranças</w:t>
      </w:r>
      <w:r w:rsidR="00343570" w:rsidRPr="005B32E9">
        <w:rPr>
          <w:rFonts w:ascii="Arial" w:hAnsi="Arial" w:cs="Arial"/>
          <w:sz w:val="24"/>
          <w:szCs w:val="24"/>
        </w:rPr>
        <w:t xml:space="preserve">; </w:t>
      </w:r>
      <w:r w:rsidRPr="000E0C4D">
        <w:rPr>
          <w:rFonts w:ascii="Arial" w:hAnsi="Arial" w:cs="Arial"/>
          <w:sz w:val="24"/>
          <w:szCs w:val="24"/>
        </w:rPr>
        <w:t>Programa Motriz</w:t>
      </w:r>
      <w:r w:rsidR="00343570" w:rsidRPr="005B32E9">
        <w:rPr>
          <w:rFonts w:ascii="Arial" w:hAnsi="Arial" w:cs="Arial"/>
          <w:sz w:val="24"/>
          <w:szCs w:val="24"/>
        </w:rPr>
        <w:t xml:space="preserve">; </w:t>
      </w:r>
      <w:r w:rsidRPr="000E0C4D">
        <w:rPr>
          <w:rFonts w:ascii="Arial" w:hAnsi="Arial" w:cs="Arial"/>
          <w:sz w:val="24"/>
          <w:szCs w:val="24"/>
        </w:rPr>
        <w:t>Fortalecer</w:t>
      </w:r>
      <w:r w:rsidR="00343570" w:rsidRPr="005B32E9">
        <w:rPr>
          <w:rFonts w:ascii="Arial" w:hAnsi="Arial" w:cs="Arial"/>
          <w:sz w:val="24"/>
          <w:szCs w:val="24"/>
        </w:rPr>
        <w:t xml:space="preserve">; </w:t>
      </w:r>
      <w:r w:rsidRPr="000E0C4D">
        <w:rPr>
          <w:rFonts w:ascii="Arial" w:hAnsi="Arial" w:cs="Arial"/>
          <w:sz w:val="24"/>
          <w:szCs w:val="24"/>
        </w:rPr>
        <w:t>Rede de Mulheres Negras Líderes no Setor Público</w:t>
      </w:r>
      <w:r w:rsidR="004842D0" w:rsidRPr="005B32E9">
        <w:rPr>
          <w:rFonts w:ascii="Arial" w:hAnsi="Arial" w:cs="Arial"/>
          <w:sz w:val="24"/>
          <w:szCs w:val="24"/>
        </w:rPr>
        <w:t>;</w:t>
      </w:r>
      <w:r w:rsidRPr="000E0C4D">
        <w:rPr>
          <w:rFonts w:ascii="Arial" w:hAnsi="Arial" w:cs="Arial"/>
          <w:sz w:val="24"/>
          <w:szCs w:val="24"/>
        </w:rPr>
        <w:t xml:space="preserve"> e Ensina Brasil </w:t>
      </w:r>
      <w:r w:rsidR="004842D0" w:rsidRPr="005B32E9">
        <w:rPr>
          <w:rFonts w:ascii="Arial" w:hAnsi="Arial" w:cs="Arial"/>
          <w:sz w:val="24"/>
          <w:szCs w:val="24"/>
        </w:rPr>
        <w:t>demonstram-se como</w:t>
      </w:r>
      <w:r w:rsidRPr="000E0C4D">
        <w:rPr>
          <w:rFonts w:ascii="Arial" w:hAnsi="Arial" w:cs="Arial"/>
          <w:sz w:val="24"/>
          <w:szCs w:val="24"/>
        </w:rPr>
        <w:t xml:space="preserve"> uma estratégia de formação de lideranças e gestores públicos orientada por princípios de </w:t>
      </w:r>
      <w:r w:rsidR="00CF16B7" w:rsidRPr="000E0C4D">
        <w:rPr>
          <w:rFonts w:ascii="Arial" w:hAnsi="Arial" w:cs="Arial"/>
          <w:sz w:val="24"/>
          <w:szCs w:val="24"/>
        </w:rPr>
        <w:t xml:space="preserve">meritocracia </w:t>
      </w:r>
      <w:r w:rsidR="00CF16B7">
        <w:rPr>
          <w:rFonts w:ascii="Arial" w:hAnsi="Arial" w:cs="Arial"/>
          <w:sz w:val="24"/>
          <w:szCs w:val="24"/>
        </w:rPr>
        <w:t xml:space="preserve">e </w:t>
      </w:r>
      <w:r w:rsidRPr="000E0C4D">
        <w:rPr>
          <w:rFonts w:ascii="Arial" w:hAnsi="Arial" w:cs="Arial"/>
          <w:sz w:val="24"/>
          <w:szCs w:val="24"/>
        </w:rPr>
        <w:t>gestão empresarial.</w:t>
      </w:r>
    </w:p>
    <w:p w14:paraId="13C35305" w14:textId="4A3717A6" w:rsidR="007A3B15" w:rsidRPr="000E0C4D" w:rsidRDefault="00447064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5B32E9">
        <w:rPr>
          <w:rFonts w:ascii="Arial" w:hAnsi="Arial" w:cs="Arial"/>
          <w:sz w:val="24"/>
          <w:szCs w:val="24"/>
        </w:rPr>
        <w:t xml:space="preserve">A influência da Fundação Lemann na </w:t>
      </w:r>
      <w:r w:rsidR="007A3B15" w:rsidRPr="000E0C4D">
        <w:rPr>
          <w:rFonts w:ascii="Arial" w:hAnsi="Arial" w:cs="Arial"/>
          <w:sz w:val="24"/>
          <w:szCs w:val="24"/>
        </w:rPr>
        <w:t>formulação da Base Nacional Comum Curricular (BNCC) representa um marco de sua influência política. A partir de 2013, a instituição organizou</w:t>
      </w:r>
      <w:r w:rsidR="008D1BF8" w:rsidRPr="005B32E9">
        <w:rPr>
          <w:rFonts w:ascii="Arial" w:hAnsi="Arial" w:cs="Arial"/>
          <w:sz w:val="24"/>
          <w:szCs w:val="24"/>
        </w:rPr>
        <w:t xml:space="preserve"> e financiou</w:t>
      </w:r>
      <w:r w:rsidR="007A3B15" w:rsidRPr="000E0C4D">
        <w:rPr>
          <w:rFonts w:ascii="Arial" w:hAnsi="Arial" w:cs="Arial"/>
          <w:sz w:val="24"/>
          <w:szCs w:val="24"/>
        </w:rPr>
        <w:t xml:space="preserve"> seminários internacionais Yale</w:t>
      </w:r>
      <w:r w:rsidR="005A5DC6" w:rsidRPr="005B32E9">
        <w:rPr>
          <w:rFonts w:ascii="Arial" w:hAnsi="Arial" w:cs="Arial"/>
          <w:sz w:val="24"/>
          <w:szCs w:val="24"/>
        </w:rPr>
        <w:t xml:space="preserve"> (</w:t>
      </w:r>
      <w:r w:rsidR="007A3B15" w:rsidRPr="000E0C4D">
        <w:rPr>
          <w:rFonts w:ascii="Arial" w:hAnsi="Arial" w:cs="Arial"/>
          <w:sz w:val="24"/>
          <w:szCs w:val="24"/>
        </w:rPr>
        <w:t>2013) e</w:t>
      </w:r>
      <w:r w:rsidR="005A5DC6" w:rsidRPr="005B32E9">
        <w:rPr>
          <w:rFonts w:ascii="Arial" w:hAnsi="Arial" w:cs="Arial"/>
          <w:sz w:val="24"/>
          <w:szCs w:val="24"/>
        </w:rPr>
        <w:t xml:space="preserve"> </w:t>
      </w:r>
      <w:r w:rsidR="007A3B15" w:rsidRPr="000E0C4D">
        <w:rPr>
          <w:rFonts w:ascii="Arial" w:hAnsi="Arial" w:cs="Arial"/>
          <w:sz w:val="24"/>
          <w:szCs w:val="24"/>
        </w:rPr>
        <w:t>Stanford</w:t>
      </w:r>
      <w:r w:rsidR="005A5DC6" w:rsidRPr="005B32E9">
        <w:rPr>
          <w:rFonts w:ascii="Arial" w:hAnsi="Arial" w:cs="Arial"/>
          <w:sz w:val="24"/>
          <w:szCs w:val="24"/>
        </w:rPr>
        <w:t xml:space="preserve"> (</w:t>
      </w:r>
      <w:r w:rsidR="007A3B15" w:rsidRPr="000E0C4D">
        <w:rPr>
          <w:rFonts w:ascii="Arial" w:hAnsi="Arial" w:cs="Arial"/>
          <w:sz w:val="24"/>
          <w:szCs w:val="24"/>
        </w:rPr>
        <w:t>2016)</w:t>
      </w:r>
      <w:r w:rsidR="005A5DC6" w:rsidRPr="005B32E9">
        <w:rPr>
          <w:rFonts w:ascii="Arial" w:hAnsi="Arial" w:cs="Arial"/>
          <w:sz w:val="24"/>
          <w:szCs w:val="24"/>
        </w:rPr>
        <w:t xml:space="preserve">, nos quais </w:t>
      </w:r>
      <w:r w:rsidR="007A3B15" w:rsidRPr="000E0C4D">
        <w:rPr>
          <w:rFonts w:ascii="Arial" w:hAnsi="Arial" w:cs="Arial"/>
          <w:sz w:val="24"/>
          <w:szCs w:val="24"/>
        </w:rPr>
        <w:t>reuniram políticos, pesquisadores e gestores públicos brasileiros</w:t>
      </w:r>
      <w:r w:rsidR="008D1BF8" w:rsidRPr="005B32E9">
        <w:rPr>
          <w:rFonts w:ascii="Arial" w:hAnsi="Arial" w:cs="Arial"/>
          <w:sz w:val="24"/>
          <w:szCs w:val="24"/>
        </w:rPr>
        <w:t xml:space="preserve"> com o objetivo de discutir e desenhar um novo currículo para o Brasil, introduzindo o </w:t>
      </w:r>
      <w:r w:rsidR="007A3B15" w:rsidRPr="000E0C4D">
        <w:rPr>
          <w:rFonts w:ascii="Arial" w:hAnsi="Arial" w:cs="Arial"/>
          <w:sz w:val="24"/>
          <w:szCs w:val="24"/>
        </w:rPr>
        <w:t xml:space="preserve">Common Core </w:t>
      </w:r>
      <w:r w:rsidR="008D1BF8" w:rsidRPr="005B32E9">
        <w:rPr>
          <w:rFonts w:ascii="Arial" w:hAnsi="Arial" w:cs="Arial"/>
          <w:sz w:val="24"/>
          <w:szCs w:val="24"/>
        </w:rPr>
        <w:t>estadunidense</w:t>
      </w:r>
      <w:r w:rsidR="00ED5B22" w:rsidRPr="005B32E9">
        <w:rPr>
          <w:rFonts w:ascii="Arial" w:hAnsi="Arial" w:cs="Arial"/>
          <w:sz w:val="24"/>
          <w:szCs w:val="24"/>
        </w:rPr>
        <w:t xml:space="preserve"> no país e</w:t>
      </w:r>
      <w:r w:rsidR="007A3B15" w:rsidRPr="000E0C4D">
        <w:rPr>
          <w:rFonts w:ascii="Arial" w:hAnsi="Arial" w:cs="Arial"/>
          <w:sz w:val="24"/>
          <w:szCs w:val="24"/>
        </w:rPr>
        <w:t xml:space="preserve"> enfatizando padronização curricular, avaliação de desempenho e </w:t>
      </w:r>
      <w:proofErr w:type="spellStart"/>
      <w:r w:rsidR="007A3B15" w:rsidRPr="000E0C4D">
        <w:rPr>
          <w:rFonts w:ascii="Arial" w:hAnsi="Arial" w:cs="Arial"/>
          <w:i/>
          <w:iCs/>
          <w:sz w:val="24"/>
          <w:szCs w:val="24"/>
        </w:rPr>
        <w:t>accountability</w:t>
      </w:r>
      <w:proofErr w:type="spellEnd"/>
      <w:r w:rsidR="007A3B15" w:rsidRPr="000E0C4D">
        <w:rPr>
          <w:rFonts w:ascii="Arial" w:hAnsi="Arial" w:cs="Arial"/>
          <w:i/>
          <w:iCs/>
          <w:sz w:val="24"/>
          <w:szCs w:val="24"/>
        </w:rPr>
        <w:t>.</w:t>
      </w:r>
      <w:r w:rsidR="007A3B15" w:rsidRPr="000E0C4D">
        <w:rPr>
          <w:rFonts w:ascii="Arial" w:hAnsi="Arial" w:cs="Arial"/>
          <w:sz w:val="24"/>
          <w:szCs w:val="24"/>
        </w:rPr>
        <w:t xml:space="preserve"> Documentos traduzidos por especialistas estrangeiros foram distribuídos aos convidados, incluindo representantes do Ministério da Educação e de secretarias estaduais.</w:t>
      </w:r>
    </w:p>
    <w:p w14:paraId="4754A2FC" w14:textId="54699ECE" w:rsidR="007A3B15" w:rsidRPr="000E0C4D" w:rsidRDefault="007A3B15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0E0C4D">
        <w:rPr>
          <w:rFonts w:ascii="Arial" w:hAnsi="Arial" w:cs="Arial"/>
          <w:sz w:val="24"/>
          <w:szCs w:val="24"/>
        </w:rPr>
        <w:t>Tarlau</w:t>
      </w:r>
      <w:proofErr w:type="spellEnd"/>
      <w:r w:rsidRPr="000E0C4D">
        <w:rPr>
          <w:rFonts w:ascii="Arial" w:hAnsi="Arial" w:cs="Arial"/>
          <w:sz w:val="24"/>
          <w:szCs w:val="24"/>
        </w:rPr>
        <w:t xml:space="preserve"> e Moeller (2020), </w:t>
      </w:r>
      <w:r w:rsidR="00B51971" w:rsidRPr="005B32E9">
        <w:rPr>
          <w:rFonts w:ascii="Arial" w:hAnsi="Arial" w:cs="Arial"/>
          <w:sz w:val="24"/>
          <w:szCs w:val="24"/>
        </w:rPr>
        <w:t xml:space="preserve">apontam que </w:t>
      </w:r>
      <w:r w:rsidRPr="000E0C4D">
        <w:rPr>
          <w:rFonts w:ascii="Arial" w:hAnsi="Arial" w:cs="Arial"/>
          <w:sz w:val="24"/>
          <w:szCs w:val="24"/>
        </w:rPr>
        <w:t>o Movimento pela Base Nacional Comum, criado em 2013 com apoio financeiro da Fundação Lemann, foi essencial para articular atores públicos e privados em torno da BNCC. A coalizão resultante</w:t>
      </w:r>
      <w:r w:rsidR="00B51971" w:rsidRPr="005B32E9">
        <w:rPr>
          <w:rFonts w:ascii="Arial" w:hAnsi="Arial" w:cs="Arial"/>
          <w:sz w:val="24"/>
          <w:szCs w:val="24"/>
        </w:rPr>
        <w:t xml:space="preserve">, </w:t>
      </w:r>
      <w:r w:rsidRPr="000E0C4D">
        <w:rPr>
          <w:rFonts w:ascii="Arial" w:hAnsi="Arial" w:cs="Arial"/>
          <w:sz w:val="24"/>
          <w:szCs w:val="24"/>
        </w:rPr>
        <w:t>que envolvia membros do MEC, Consed, Undime e movimentos como Todos pela Educação</w:t>
      </w:r>
      <w:r w:rsidR="00B51971" w:rsidRPr="005B32E9">
        <w:rPr>
          <w:rFonts w:ascii="Arial" w:hAnsi="Arial" w:cs="Arial"/>
          <w:sz w:val="24"/>
          <w:szCs w:val="24"/>
        </w:rPr>
        <w:t xml:space="preserve">, </w:t>
      </w:r>
      <w:r w:rsidRPr="000E0C4D">
        <w:rPr>
          <w:rFonts w:ascii="Arial" w:hAnsi="Arial" w:cs="Arial"/>
          <w:sz w:val="24"/>
          <w:szCs w:val="24"/>
        </w:rPr>
        <w:t>promoveu uma reforma curricular de amplitude nacional, com forte influência de modelos de gestão educacional de matriz neoliberal.</w:t>
      </w:r>
    </w:p>
    <w:p w14:paraId="5A080C14" w14:textId="5FF74347" w:rsidR="007A3B15" w:rsidRPr="000E0C4D" w:rsidRDefault="00B51971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5B32E9">
        <w:rPr>
          <w:rFonts w:ascii="Arial" w:hAnsi="Arial" w:cs="Arial"/>
          <w:sz w:val="24"/>
          <w:szCs w:val="24"/>
        </w:rPr>
        <w:t xml:space="preserve">Tal atuação </w:t>
      </w:r>
      <w:r w:rsidR="00F775B7" w:rsidRPr="005B32E9">
        <w:rPr>
          <w:rFonts w:ascii="Arial" w:hAnsi="Arial" w:cs="Arial"/>
          <w:sz w:val="24"/>
          <w:szCs w:val="24"/>
        </w:rPr>
        <w:t xml:space="preserve">evidencia </w:t>
      </w:r>
      <w:r w:rsidR="007A3B15" w:rsidRPr="000E0C4D">
        <w:rPr>
          <w:rFonts w:ascii="Arial" w:hAnsi="Arial" w:cs="Arial"/>
          <w:sz w:val="24"/>
          <w:szCs w:val="24"/>
        </w:rPr>
        <w:t>o fenômeno da filantropia estratégica, em que o investimento privado busca transformar setores públicos por meio de inovação, eficiência e mensuração de resultados. Essa lógica</w:t>
      </w:r>
      <w:r w:rsidR="00F775B7" w:rsidRPr="005B32E9">
        <w:rPr>
          <w:rFonts w:ascii="Arial" w:hAnsi="Arial" w:cs="Arial"/>
          <w:sz w:val="24"/>
          <w:szCs w:val="24"/>
        </w:rPr>
        <w:t xml:space="preserve"> </w:t>
      </w:r>
      <w:r w:rsidR="007A3B15" w:rsidRPr="000E0C4D">
        <w:rPr>
          <w:rFonts w:ascii="Arial" w:hAnsi="Arial" w:cs="Arial"/>
          <w:sz w:val="24"/>
          <w:szCs w:val="24"/>
        </w:rPr>
        <w:t>corresponde à filantropia de risco, que adota práticas de gestão corporativa para moldar políticas educacionais</w:t>
      </w:r>
      <w:r w:rsidR="00F775B7" w:rsidRPr="005B32E9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775B7" w:rsidRPr="000E0C4D">
        <w:rPr>
          <w:rFonts w:ascii="Arial" w:hAnsi="Arial" w:cs="Arial"/>
          <w:sz w:val="24"/>
          <w:szCs w:val="24"/>
        </w:rPr>
        <w:t>Tarlau</w:t>
      </w:r>
      <w:proofErr w:type="spellEnd"/>
      <w:r w:rsidR="00F775B7" w:rsidRPr="000E0C4D">
        <w:rPr>
          <w:rFonts w:ascii="Arial" w:hAnsi="Arial" w:cs="Arial"/>
          <w:sz w:val="24"/>
          <w:szCs w:val="24"/>
        </w:rPr>
        <w:t xml:space="preserve"> e Moeller</w:t>
      </w:r>
      <w:r w:rsidR="00F775B7" w:rsidRPr="005B32E9">
        <w:rPr>
          <w:rFonts w:ascii="Arial" w:hAnsi="Arial" w:cs="Arial"/>
          <w:sz w:val="24"/>
          <w:szCs w:val="24"/>
        </w:rPr>
        <w:t xml:space="preserve">, </w:t>
      </w:r>
      <w:r w:rsidR="00F775B7" w:rsidRPr="000E0C4D">
        <w:rPr>
          <w:rFonts w:ascii="Arial" w:hAnsi="Arial" w:cs="Arial"/>
          <w:sz w:val="24"/>
          <w:szCs w:val="24"/>
        </w:rPr>
        <w:t>2020)</w:t>
      </w:r>
      <w:r w:rsidR="007A3B15" w:rsidRPr="000E0C4D">
        <w:rPr>
          <w:rFonts w:ascii="Arial" w:hAnsi="Arial" w:cs="Arial"/>
          <w:sz w:val="24"/>
          <w:szCs w:val="24"/>
        </w:rPr>
        <w:t>.</w:t>
      </w:r>
    </w:p>
    <w:p w14:paraId="505B8131" w14:textId="77777777" w:rsidR="000F3B0B" w:rsidRPr="005B32E9" w:rsidRDefault="00F775B7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5B32E9">
        <w:rPr>
          <w:rFonts w:ascii="Arial" w:hAnsi="Arial" w:cs="Arial"/>
          <w:sz w:val="24"/>
          <w:szCs w:val="24"/>
        </w:rPr>
        <w:t>Estratégias como as desenvolvidas pela</w:t>
      </w:r>
      <w:r w:rsidR="007E486D" w:rsidRPr="005B32E9">
        <w:rPr>
          <w:rFonts w:ascii="Arial" w:hAnsi="Arial" w:cs="Arial"/>
          <w:sz w:val="24"/>
          <w:szCs w:val="24"/>
        </w:rPr>
        <w:t xml:space="preserve"> Lemann </w:t>
      </w:r>
      <w:r w:rsidR="007A3B15" w:rsidRPr="000E0C4D">
        <w:rPr>
          <w:rFonts w:ascii="Arial" w:hAnsi="Arial" w:cs="Arial"/>
          <w:sz w:val="24"/>
          <w:szCs w:val="24"/>
        </w:rPr>
        <w:t>reflete</w:t>
      </w:r>
      <w:r w:rsidR="007E486D" w:rsidRPr="005B32E9">
        <w:rPr>
          <w:rFonts w:ascii="Arial" w:hAnsi="Arial" w:cs="Arial"/>
          <w:sz w:val="24"/>
          <w:szCs w:val="24"/>
        </w:rPr>
        <w:t>m</w:t>
      </w:r>
      <w:r w:rsidR="007A3B15" w:rsidRPr="000E0C4D">
        <w:rPr>
          <w:rFonts w:ascii="Arial" w:hAnsi="Arial" w:cs="Arial"/>
          <w:sz w:val="24"/>
          <w:szCs w:val="24"/>
        </w:rPr>
        <w:t xml:space="preserve"> a racionalidade neoliberal, que, segundo Foucault (2014) e Laval (2019), submete o sujeito à lógica empresarial e transforma o Estado em gestor de riscos e mediador de interesses de mercado. Assim, a educação deixa de ser um direito social e passa a ser um instrumento de formação de mão de obra e de reprodução de valores competitivos.</w:t>
      </w:r>
      <w:r w:rsidR="000F3B0B" w:rsidRPr="005B32E9">
        <w:rPr>
          <w:rFonts w:ascii="Arial" w:hAnsi="Arial" w:cs="Arial"/>
          <w:sz w:val="24"/>
          <w:szCs w:val="24"/>
        </w:rPr>
        <w:t xml:space="preserve"> </w:t>
      </w:r>
    </w:p>
    <w:p w14:paraId="5E3C09BB" w14:textId="3A7FF0EE" w:rsidR="007A3B15" w:rsidRPr="000E0C4D" w:rsidRDefault="000F3B0B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5B32E9">
        <w:rPr>
          <w:rFonts w:ascii="Arial" w:hAnsi="Arial" w:cs="Arial"/>
          <w:sz w:val="24"/>
          <w:szCs w:val="24"/>
        </w:rPr>
        <w:t>Embora atue sob</w:t>
      </w:r>
      <w:r w:rsidR="007A3B15" w:rsidRPr="000E0C4D">
        <w:rPr>
          <w:rFonts w:ascii="Arial" w:hAnsi="Arial" w:cs="Arial"/>
          <w:sz w:val="24"/>
          <w:szCs w:val="24"/>
        </w:rPr>
        <w:t xml:space="preserve"> o discurso da “educação de qualidade para todos”, </w:t>
      </w:r>
      <w:r w:rsidRPr="005B32E9">
        <w:rPr>
          <w:rFonts w:ascii="Arial" w:hAnsi="Arial" w:cs="Arial"/>
          <w:sz w:val="24"/>
          <w:szCs w:val="24"/>
        </w:rPr>
        <w:t>fun</w:t>
      </w:r>
      <w:r w:rsidR="00F87291" w:rsidRPr="005B32E9">
        <w:rPr>
          <w:rFonts w:ascii="Arial" w:hAnsi="Arial" w:cs="Arial"/>
          <w:sz w:val="24"/>
          <w:szCs w:val="24"/>
        </w:rPr>
        <w:t>d</w:t>
      </w:r>
      <w:r w:rsidRPr="005B32E9">
        <w:rPr>
          <w:rFonts w:ascii="Arial" w:hAnsi="Arial" w:cs="Arial"/>
          <w:sz w:val="24"/>
          <w:szCs w:val="24"/>
        </w:rPr>
        <w:t xml:space="preserve">ações e instituições ligadas ao terceiro setor </w:t>
      </w:r>
      <w:r w:rsidR="007A3B15" w:rsidRPr="000E0C4D">
        <w:rPr>
          <w:rFonts w:ascii="Arial" w:hAnsi="Arial" w:cs="Arial"/>
          <w:sz w:val="24"/>
          <w:szCs w:val="24"/>
        </w:rPr>
        <w:t>prioriza</w:t>
      </w:r>
      <w:r w:rsidRPr="005B32E9">
        <w:rPr>
          <w:rFonts w:ascii="Arial" w:hAnsi="Arial" w:cs="Arial"/>
          <w:sz w:val="24"/>
          <w:szCs w:val="24"/>
        </w:rPr>
        <w:t>m</w:t>
      </w:r>
      <w:r w:rsidR="007A3B15" w:rsidRPr="000E0C4D">
        <w:rPr>
          <w:rFonts w:ascii="Arial" w:hAnsi="Arial" w:cs="Arial"/>
          <w:sz w:val="24"/>
          <w:szCs w:val="24"/>
        </w:rPr>
        <w:t xml:space="preserve"> modelos gerenciais e tecnocráticos, centrados na medição de desempenho e na eficiência administrativa. O discurso filantrópico </w:t>
      </w:r>
      <w:r w:rsidR="00F87291" w:rsidRPr="005B32E9">
        <w:rPr>
          <w:rFonts w:ascii="Arial" w:hAnsi="Arial" w:cs="Arial"/>
          <w:sz w:val="24"/>
          <w:szCs w:val="24"/>
        </w:rPr>
        <w:t>dissimula</w:t>
      </w:r>
      <w:r w:rsidR="007A3B15" w:rsidRPr="000E0C4D">
        <w:rPr>
          <w:rFonts w:ascii="Arial" w:hAnsi="Arial" w:cs="Arial"/>
          <w:sz w:val="24"/>
          <w:szCs w:val="24"/>
        </w:rPr>
        <w:t xml:space="preserve"> a reconfiguração das políticas educacionais sob parâmetros empresariais, reforçando hierarquias sociais e econômicas.</w:t>
      </w:r>
    </w:p>
    <w:p w14:paraId="12D1327E" w14:textId="72A23CA2" w:rsidR="007A3B15" w:rsidRPr="000E0C4D" w:rsidRDefault="007A3B15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 xml:space="preserve">A robusta rede de parcerias da Fundação Lemann inclui instituições públicas e privadas, como ENAP, Fundação Estudar, Instituto Singularidades, </w:t>
      </w:r>
      <w:r w:rsidRPr="000E0C4D">
        <w:rPr>
          <w:rFonts w:ascii="Arial" w:hAnsi="Arial" w:cs="Arial"/>
          <w:i/>
          <w:iCs/>
          <w:sz w:val="24"/>
          <w:szCs w:val="24"/>
        </w:rPr>
        <w:t xml:space="preserve">Khan </w:t>
      </w:r>
      <w:proofErr w:type="spellStart"/>
      <w:r w:rsidRPr="000E0C4D">
        <w:rPr>
          <w:rFonts w:ascii="Arial" w:hAnsi="Arial" w:cs="Arial"/>
          <w:i/>
          <w:iCs/>
          <w:sz w:val="24"/>
          <w:szCs w:val="24"/>
        </w:rPr>
        <w:t>Academy</w:t>
      </w:r>
      <w:proofErr w:type="spellEnd"/>
      <w:r w:rsidRPr="000E0C4D">
        <w:rPr>
          <w:rFonts w:ascii="Arial" w:hAnsi="Arial" w:cs="Arial"/>
          <w:sz w:val="24"/>
          <w:szCs w:val="24"/>
        </w:rPr>
        <w:t>, Columbia Global Centers. Essa articulação cria um ambiente de cooperação institucional</w:t>
      </w:r>
      <w:r w:rsidR="00732D29" w:rsidRPr="005B32E9">
        <w:rPr>
          <w:rFonts w:ascii="Arial" w:hAnsi="Arial" w:cs="Arial"/>
          <w:sz w:val="24"/>
          <w:szCs w:val="24"/>
        </w:rPr>
        <w:t xml:space="preserve"> e </w:t>
      </w:r>
      <w:r w:rsidRPr="000E0C4D">
        <w:rPr>
          <w:rFonts w:ascii="Arial" w:hAnsi="Arial" w:cs="Arial"/>
          <w:sz w:val="24"/>
          <w:szCs w:val="24"/>
        </w:rPr>
        <w:t>de dependência simbólica e financeira, em que as políticas públicas passam a ser influenciadas por diretrizes de investidores privados.</w:t>
      </w:r>
    </w:p>
    <w:p w14:paraId="7E8ACDEE" w14:textId="77777777" w:rsidR="007A3B15" w:rsidRPr="000E0C4D" w:rsidRDefault="007A3B15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 xml:space="preserve">Além disso, a fundação desenvolveu estratégias de gestão da opinião pública, financiando reportagens e treinando jornalistas para tratar temas educacionais sob uma ótica positiva. Como relatado por </w:t>
      </w:r>
      <w:proofErr w:type="spellStart"/>
      <w:r w:rsidRPr="000E0C4D">
        <w:rPr>
          <w:rFonts w:ascii="Arial" w:hAnsi="Arial" w:cs="Arial"/>
          <w:sz w:val="24"/>
          <w:szCs w:val="24"/>
        </w:rPr>
        <w:t>Michetti</w:t>
      </w:r>
      <w:proofErr w:type="spellEnd"/>
      <w:r w:rsidRPr="000E0C4D">
        <w:rPr>
          <w:rFonts w:ascii="Arial" w:hAnsi="Arial" w:cs="Arial"/>
          <w:sz w:val="24"/>
          <w:szCs w:val="24"/>
        </w:rPr>
        <w:t xml:space="preserve"> (2020), a proximidade com grandes veículos de comunicação, como a </w:t>
      </w:r>
      <w:r w:rsidRPr="000E0C4D">
        <w:rPr>
          <w:rFonts w:ascii="Arial" w:hAnsi="Arial" w:cs="Arial"/>
          <w:i/>
          <w:iCs/>
          <w:sz w:val="24"/>
          <w:szCs w:val="24"/>
        </w:rPr>
        <w:t>Folha de S. Paulo</w:t>
      </w:r>
      <w:r w:rsidRPr="000E0C4D">
        <w:rPr>
          <w:rFonts w:ascii="Arial" w:hAnsi="Arial" w:cs="Arial"/>
          <w:sz w:val="24"/>
          <w:szCs w:val="24"/>
        </w:rPr>
        <w:t>, contribuiu para legitimar a BNCC como uma pauta consensual e “necessária”, mesmo diante de críticas de educadores e especialistas.</w:t>
      </w:r>
    </w:p>
    <w:p w14:paraId="5C801F55" w14:textId="6FD3B601" w:rsidR="007A3B15" w:rsidRPr="000E0C4D" w:rsidRDefault="007A3B15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 xml:space="preserve">Embora </w:t>
      </w:r>
      <w:r w:rsidR="00130609" w:rsidRPr="005B32E9">
        <w:rPr>
          <w:rFonts w:ascii="Arial" w:hAnsi="Arial" w:cs="Arial"/>
          <w:sz w:val="24"/>
          <w:szCs w:val="24"/>
        </w:rPr>
        <w:t>a</w:t>
      </w:r>
      <w:r w:rsidRPr="000E0C4D">
        <w:rPr>
          <w:rFonts w:ascii="Arial" w:hAnsi="Arial" w:cs="Arial"/>
          <w:sz w:val="24"/>
          <w:szCs w:val="24"/>
        </w:rPr>
        <w:t xml:space="preserve"> Fundação Lemann enfatize a participação democrática e o comprometimento social, a centralização de decisões e a dependência financeira das parcerias privadas evidenciam uma contradição estrutural. O que se apresenta como colaboração público-privada se traduz, na prática, em captura política e epistemológica do campo educacional</w:t>
      </w:r>
      <w:r w:rsidR="005B32E9" w:rsidRPr="005B32E9">
        <w:rPr>
          <w:rFonts w:ascii="Arial" w:hAnsi="Arial" w:cs="Arial"/>
          <w:sz w:val="24"/>
          <w:szCs w:val="24"/>
        </w:rPr>
        <w:t xml:space="preserve"> na qual </w:t>
      </w:r>
      <w:r w:rsidR="008F3595" w:rsidRPr="005B32E9">
        <w:rPr>
          <w:rFonts w:ascii="Arial" w:hAnsi="Arial" w:cs="Arial"/>
          <w:sz w:val="24"/>
          <w:szCs w:val="24"/>
        </w:rPr>
        <w:t xml:space="preserve">a </w:t>
      </w:r>
      <w:r w:rsidR="008F3595" w:rsidRPr="000E0C4D">
        <w:rPr>
          <w:rFonts w:ascii="Arial" w:hAnsi="Arial" w:cs="Arial"/>
          <w:sz w:val="24"/>
          <w:szCs w:val="24"/>
        </w:rPr>
        <w:t>influência</w:t>
      </w:r>
      <w:r w:rsidRPr="000E0C4D">
        <w:rPr>
          <w:rFonts w:ascii="Arial" w:hAnsi="Arial" w:cs="Arial"/>
          <w:sz w:val="24"/>
          <w:szCs w:val="24"/>
        </w:rPr>
        <w:t xml:space="preserve"> da fundação sobre políticas públicas reforça a lógica neoliberal de governança, que desloca o papel do Estado e redefine o sentido do público. O consenso produzido em torno de reformas como a BNCC, portanto, não reflete necessariamente pluralidade ou diálogo social, mas sim a hegemonia de uma racionalidade técnica e gerencial.</w:t>
      </w:r>
    </w:p>
    <w:p w14:paraId="38B791E8" w14:textId="77777777" w:rsidR="00051DE5" w:rsidRDefault="00051DE5" w:rsidP="00DF040B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2EABA2E7" w14:textId="77777777" w:rsidR="00126DD2" w:rsidRDefault="00126DD2" w:rsidP="00DF040B">
      <w:pPr>
        <w:pStyle w:val="Texto"/>
      </w:pPr>
    </w:p>
    <w:p w14:paraId="470F7E63" w14:textId="681354D0" w:rsidR="006D6C58" w:rsidRPr="000E0C4D" w:rsidRDefault="006D6C58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 xml:space="preserve">A análise da trajetória e da atuação da Fundação Lemann evidencia como a filantropia privada, ao </w:t>
      </w:r>
      <w:r w:rsidR="00E90E2D">
        <w:rPr>
          <w:rFonts w:ascii="Arial" w:hAnsi="Arial" w:cs="Arial"/>
          <w:sz w:val="24"/>
          <w:szCs w:val="24"/>
        </w:rPr>
        <w:t>ocupar</w:t>
      </w:r>
      <w:r w:rsidRPr="000E0C4D">
        <w:rPr>
          <w:rFonts w:ascii="Arial" w:hAnsi="Arial" w:cs="Arial"/>
          <w:sz w:val="24"/>
          <w:szCs w:val="24"/>
        </w:rPr>
        <w:t xml:space="preserve"> o campo educacional, reconfigura fronteiras entre público e privado, política e mercado. Sob o discurso da inovação e da eficiência, a fundação opera como agente de governamentalidade neoliberal, transformando a educação em instrumento de gestão e controle social.</w:t>
      </w:r>
    </w:p>
    <w:p w14:paraId="4EA62306" w14:textId="3E526188" w:rsidR="006D6C58" w:rsidRPr="000E0C4D" w:rsidRDefault="006D6C58" w:rsidP="00CE7CF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E0C4D">
        <w:rPr>
          <w:rFonts w:ascii="Arial" w:hAnsi="Arial" w:cs="Arial"/>
          <w:sz w:val="24"/>
          <w:szCs w:val="24"/>
        </w:rPr>
        <w:t>Em última instância, a Fundação Lemann exemplifica a transição de uma filantropia assistencialista para uma filantropia de poder, em que o capital privado não apenas financia, mas orienta e define políticas públicas. A reflexão crítica sobre essa dinâmica é essencial para compreender os rumos da educação brasileira e os desafios de preservar o caráter público e emancipatório da escola frente à crescente mercantilização do ensino.</w:t>
      </w:r>
    </w:p>
    <w:p w14:paraId="44D5544A" w14:textId="77777777" w:rsidR="006D6C58" w:rsidRDefault="006D6C58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1CEA4D6E" w14:textId="77777777" w:rsidR="00597F8A" w:rsidRPr="004C446D" w:rsidRDefault="00597F8A" w:rsidP="00E41532">
      <w:pPr>
        <w:pStyle w:val="Texto"/>
        <w:spacing w:line="240" w:lineRule="auto"/>
        <w:jc w:val="left"/>
      </w:pPr>
    </w:p>
    <w:p w14:paraId="7A59BDAA" w14:textId="24E935D5" w:rsidR="00CC28BE" w:rsidRPr="00444447" w:rsidRDefault="00CC28BE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444447">
        <w:rPr>
          <w:rFonts w:ascii="Arial" w:hAnsi="Arial" w:cs="Arial"/>
          <w:sz w:val="24"/>
          <w:szCs w:val="24"/>
        </w:rPr>
        <w:t xml:space="preserve">ANDERSON, Perry. Balanço do neoliberalismo. In: SADER, Emir e GENTILI, Pablo. (org.). </w:t>
      </w:r>
      <w:r w:rsidRPr="00444447">
        <w:rPr>
          <w:rFonts w:ascii="Arial" w:hAnsi="Arial" w:cs="Arial"/>
          <w:b/>
          <w:bCs/>
          <w:sz w:val="24"/>
          <w:szCs w:val="24"/>
        </w:rPr>
        <w:t>Pós-neoliberalismo:</w:t>
      </w:r>
      <w:r w:rsidRPr="00444447">
        <w:rPr>
          <w:rFonts w:ascii="Arial" w:hAnsi="Arial" w:cs="Arial"/>
          <w:sz w:val="24"/>
          <w:szCs w:val="24"/>
        </w:rPr>
        <w:t xml:space="preserve"> As políticas sociais e o Estado Democrático. Rio de Janeiro: Paz e Terra, 1995.</w:t>
      </w:r>
    </w:p>
    <w:p w14:paraId="016DE810" w14:textId="77777777" w:rsidR="00CC28BE" w:rsidRPr="00444447" w:rsidRDefault="00CC28BE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2DF574E7" w14:textId="5FCE1E51" w:rsidR="00004EAB" w:rsidRPr="00444447" w:rsidRDefault="00004EAB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444447">
        <w:rPr>
          <w:rFonts w:ascii="Arial" w:hAnsi="Arial" w:cs="Arial"/>
          <w:sz w:val="24"/>
          <w:szCs w:val="24"/>
        </w:rPr>
        <w:t xml:space="preserve">BARBOSA, Ingrid K. F. de L.; LEÃO, </w:t>
      </w:r>
      <w:proofErr w:type="spellStart"/>
      <w:r w:rsidRPr="00444447">
        <w:rPr>
          <w:rFonts w:ascii="Arial" w:hAnsi="Arial" w:cs="Arial"/>
          <w:sz w:val="24"/>
          <w:szCs w:val="24"/>
        </w:rPr>
        <w:t>Gleyce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K. dos S.; RODRIGUES, Cibele M. L. A atuação da Fundação Lemann nos processos de privatização da educação. </w:t>
      </w:r>
      <w:r w:rsidRPr="00444447">
        <w:rPr>
          <w:rFonts w:ascii="Arial" w:hAnsi="Arial" w:cs="Arial"/>
          <w:b/>
          <w:bCs/>
          <w:sz w:val="24"/>
          <w:szCs w:val="24"/>
        </w:rPr>
        <w:t>Debates em Educação</w:t>
      </w:r>
      <w:r w:rsidRPr="00444447">
        <w:rPr>
          <w:rFonts w:ascii="Arial" w:hAnsi="Arial" w:cs="Arial"/>
          <w:sz w:val="24"/>
          <w:szCs w:val="24"/>
        </w:rPr>
        <w:t xml:space="preserve">, v. 16, n. 38, p. e17882, 2024. Disponível em: </w:t>
      </w:r>
      <w:hyperlink r:id="rId8" w:tgtFrame="_new" w:history="1">
        <w:r w:rsidRPr="00444447">
          <w:rPr>
            <w:rStyle w:val="Hyperlink"/>
            <w:rFonts w:ascii="Arial" w:hAnsi="Arial" w:cs="Arial"/>
            <w:sz w:val="24"/>
            <w:szCs w:val="24"/>
          </w:rPr>
          <w:t>https://www.seer.ufal.br/index.php/debateseducacao/article/view/17882</w:t>
        </w:r>
      </w:hyperlink>
      <w:r w:rsidRPr="00444447">
        <w:rPr>
          <w:rFonts w:ascii="Arial" w:hAnsi="Arial" w:cs="Arial"/>
          <w:sz w:val="24"/>
          <w:szCs w:val="24"/>
        </w:rPr>
        <w:t>. Acesso em: 19 jul. 2024.</w:t>
      </w:r>
    </w:p>
    <w:p w14:paraId="2691DC56" w14:textId="77777777" w:rsidR="000715D0" w:rsidRPr="00444447" w:rsidRDefault="000715D0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7C14941D" w14:textId="05FBCFC7" w:rsidR="00CF0E79" w:rsidRPr="00444447" w:rsidRDefault="00CF0E79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444447">
        <w:rPr>
          <w:rFonts w:ascii="Arial" w:hAnsi="Arial" w:cs="Arial"/>
          <w:sz w:val="24"/>
          <w:szCs w:val="24"/>
        </w:rPr>
        <w:t xml:space="preserve">BHANJI, </w:t>
      </w:r>
      <w:proofErr w:type="spellStart"/>
      <w:r w:rsidRPr="00444447">
        <w:rPr>
          <w:rFonts w:ascii="Arial" w:hAnsi="Arial" w:cs="Arial"/>
          <w:sz w:val="24"/>
          <w:szCs w:val="24"/>
        </w:rPr>
        <w:t>Zahra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44447">
        <w:rPr>
          <w:rFonts w:ascii="Arial" w:hAnsi="Arial" w:cs="Arial"/>
          <w:sz w:val="24"/>
          <w:szCs w:val="24"/>
        </w:rPr>
        <w:t>Transnational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4447">
        <w:rPr>
          <w:rFonts w:ascii="Arial" w:hAnsi="Arial" w:cs="Arial"/>
          <w:sz w:val="24"/>
          <w:szCs w:val="24"/>
        </w:rPr>
        <w:t>corporations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444447">
        <w:rPr>
          <w:rFonts w:ascii="Arial" w:hAnsi="Arial" w:cs="Arial"/>
          <w:sz w:val="24"/>
          <w:szCs w:val="24"/>
        </w:rPr>
        <w:t>education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444447">
        <w:rPr>
          <w:rFonts w:ascii="Arial" w:hAnsi="Arial" w:cs="Arial"/>
          <w:sz w:val="24"/>
          <w:szCs w:val="24"/>
        </w:rPr>
        <w:t>filling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4447">
        <w:rPr>
          <w:rFonts w:ascii="Arial" w:hAnsi="Arial" w:cs="Arial"/>
          <w:sz w:val="24"/>
          <w:szCs w:val="24"/>
        </w:rPr>
        <w:t>the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4447">
        <w:rPr>
          <w:rFonts w:ascii="Arial" w:hAnsi="Arial" w:cs="Arial"/>
          <w:sz w:val="24"/>
          <w:szCs w:val="24"/>
        </w:rPr>
        <w:t>governance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gap </w:t>
      </w:r>
      <w:proofErr w:type="spellStart"/>
      <w:r w:rsidRPr="00444447">
        <w:rPr>
          <w:rFonts w:ascii="Arial" w:hAnsi="Arial" w:cs="Arial"/>
          <w:sz w:val="24"/>
          <w:szCs w:val="24"/>
        </w:rPr>
        <w:t>through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new social </w:t>
      </w:r>
      <w:proofErr w:type="spellStart"/>
      <w:r w:rsidRPr="00444447">
        <w:rPr>
          <w:rFonts w:ascii="Arial" w:hAnsi="Arial" w:cs="Arial"/>
          <w:sz w:val="24"/>
          <w:szCs w:val="24"/>
        </w:rPr>
        <w:t>norms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4447">
        <w:rPr>
          <w:rFonts w:ascii="Arial" w:hAnsi="Arial" w:cs="Arial"/>
          <w:sz w:val="24"/>
          <w:szCs w:val="24"/>
        </w:rPr>
        <w:t>and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4447">
        <w:rPr>
          <w:rFonts w:ascii="Arial" w:hAnsi="Arial" w:cs="Arial"/>
          <w:sz w:val="24"/>
          <w:szCs w:val="24"/>
        </w:rPr>
        <w:t>market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4447">
        <w:rPr>
          <w:rFonts w:ascii="Arial" w:hAnsi="Arial" w:cs="Arial"/>
          <w:sz w:val="24"/>
          <w:szCs w:val="24"/>
        </w:rPr>
        <w:t>multilateralism</w:t>
      </w:r>
      <w:proofErr w:type="spellEnd"/>
      <w:r w:rsidRPr="00444447">
        <w:rPr>
          <w:rFonts w:ascii="Arial" w:hAnsi="Arial" w:cs="Arial"/>
          <w:b/>
          <w:bCs/>
          <w:sz w:val="24"/>
          <w:szCs w:val="24"/>
        </w:rPr>
        <w:t xml:space="preserve">? </w:t>
      </w:r>
      <w:proofErr w:type="spellStart"/>
      <w:r w:rsidRPr="00444447">
        <w:rPr>
          <w:rFonts w:ascii="Arial" w:hAnsi="Arial" w:cs="Arial"/>
          <w:b/>
          <w:bCs/>
          <w:sz w:val="24"/>
          <w:szCs w:val="24"/>
        </w:rPr>
        <w:t>Globali</w:t>
      </w:r>
      <w:r w:rsidR="00294F2B">
        <w:rPr>
          <w:rFonts w:ascii="Arial" w:hAnsi="Arial" w:cs="Arial"/>
          <w:b/>
          <w:bCs/>
          <w:sz w:val="24"/>
          <w:szCs w:val="24"/>
        </w:rPr>
        <w:t>z</w:t>
      </w:r>
      <w:r w:rsidRPr="00444447">
        <w:rPr>
          <w:rFonts w:ascii="Arial" w:hAnsi="Arial" w:cs="Arial"/>
          <w:b/>
          <w:bCs/>
          <w:sz w:val="24"/>
          <w:szCs w:val="24"/>
        </w:rPr>
        <w:t>ation</w:t>
      </w:r>
      <w:proofErr w:type="spellEnd"/>
      <w:r w:rsidRPr="00444447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444447">
        <w:rPr>
          <w:rFonts w:ascii="Arial" w:hAnsi="Arial" w:cs="Arial"/>
          <w:b/>
          <w:bCs/>
          <w:sz w:val="24"/>
          <w:szCs w:val="24"/>
        </w:rPr>
        <w:t>Societies</w:t>
      </w:r>
      <w:proofErr w:type="spellEnd"/>
      <w:r w:rsidRPr="0044444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44447">
        <w:rPr>
          <w:rFonts w:ascii="Arial" w:hAnsi="Arial" w:cs="Arial"/>
          <w:b/>
          <w:bCs/>
          <w:sz w:val="24"/>
          <w:szCs w:val="24"/>
        </w:rPr>
        <w:t>and</w:t>
      </w:r>
      <w:proofErr w:type="spellEnd"/>
      <w:r w:rsidRPr="0044444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44447">
        <w:rPr>
          <w:rFonts w:ascii="Arial" w:hAnsi="Arial" w:cs="Arial"/>
          <w:b/>
          <w:bCs/>
          <w:sz w:val="24"/>
          <w:szCs w:val="24"/>
        </w:rPr>
        <w:t>Education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, v. 6, n. 1, p. 55–73, 2008. Disponível em: </w:t>
      </w:r>
      <w:hyperlink r:id="rId9" w:tgtFrame="_new" w:history="1">
        <w:r w:rsidRPr="00444447">
          <w:rPr>
            <w:rStyle w:val="Hyperlink"/>
            <w:rFonts w:ascii="Arial" w:hAnsi="Arial" w:cs="Arial"/>
            <w:sz w:val="24"/>
            <w:szCs w:val="24"/>
          </w:rPr>
          <w:t>https://eric.ed.gov/?id=EJ811346</w:t>
        </w:r>
      </w:hyperlink>
      <w:r w:rsidRPr="00444447">
        <w:rPr>
          <w:rFonts w:ascii="Arial" w:hAnsi="Arial" w:cs="Arial"/>
          <w:sz w:val="24"/>
          <w:szCs w:val="24"/>
        </w:rPr>
        <w:t>. Acesso em: 19 jul. 2024.</w:t>
      </w:r>
    </w:p>
    <w:p w14:paraId="734967DD" w14:textId="77777777" w:rsidR="000715D0" w:rsidRPr="00444447" w:rsidRDefault="000715D0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606D22B6" w14:textId="61DD8416" w:rsidR="000715D0" w:rsidRPr="00444447" w:rsidRDefault="00C5546C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C5546C">
        <w:rPr>
          <w:rFonts w:ascii="Arial" w:hAnsi="Arial" w:cs="Arial"/>
          <w:sz w:val="24"/>
          <w:szCs w:val="24"/>
        </w:rPr>
        <w:t xml:space="preserve">FOUCAULT, Michel (2002). </w:t>
      </w:r>
      <w:r w:rsidRPr="007465C6">
        <w:rPr>
          <w:rFonts w:ascii="Arial" w:hAnsi="Arial" w:cs="Arial"/>
          <w:b/>
          <w:bCs/>
          <w:sz w:val="24"/>
          <w:szCs w:val="24"/>
        </w:rPr>
        <w:t>Em defesa da sociedade</w:t>
      </w:r>
      <w:r w:rsidR="007465C6" w:rsidRPr="007465C6">
        <w:rPr>
          <w:rFonts w:ascii="Arial" w:hAnsi="Arial" w:cs="Arial"/>
          <w:b/>
          <w:bCs/>
          <w:sz w:val="24"/>
          <w:szCs w:val="24"/>
        </w:rPr>
        <w:t>:</w:t>
      </w:r>
      <w:r w:rsidR="007465C6">
        <w:rPr>
          <w:rFonts w:ascii="Arial" w:hAnsi="Arial" w:cs="Arial"/>
          <w:sz w:val="24"/>
          <w:szCs w:val="24"/>
        </w:rPr>
        <w:t xml:space="preserve"> </w:t>
      </w:r>
      <w:r w:rsidRPr="00C5546C">
        <w:rPr>
          <w:rFonts w:ascii="Arial" w:hAnsi="Arial" w:cs="Arial"/>
          <w:sz w:val="24"/>
          <w:szCs w:val="24"/>
        </w:rPr>
        <w:t xml:space="preserve">curso no </w:t>
      </w:r>
      <w:proofErr w:type="spellStart"/>
      <w:r w:rsidRPr="00C5546C">
        <w:rPr>
          <w:rFonts w:ascii="Arial" w:hAnsi="Arial" w:cs="Arial"/>
          <w:sz w:val="24"/>
          <w:szCs w:val="24"/>
        </w:rPr>
        <w:t>Collège</w:t>
      </w:r>
      <w:proofErr w:type="spellEnd"/>
      <w:r w:rsidRPr="00C5546C">
        <w:rPr>
          <w:rFonts w:ascii="Arial" w:hAnsi="Arial" w:cs="Arial"/>
          <w:sz w:val="24"/>
          <w:szCs w:val="24"/>
        </w:rPr>
        <w:t xml:space="preserve"> de France (1975-76). São Paulo: Martins Fontes</w:t>
      </w:r>
      <w:r>
        <w:rPr>
          <w:rFonts w:ascii="Arial" w:hAnsi="Arial" w:cs="Arial"/>
          <w:sz w:val="24"/>
          <w:szCs w:val="24"/>
        </w:rPr>
        <w:t>, 2002.</w:t>
      </w:r>
    </w:p>
    <w:p w14:paraId="5341BF50" w14:textId="77777777" w:rsidR="00C5546C" w:rsidRDefault="00C5546C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4E542012" w14:textId="04F201F5" w:rsidR="00CA57BF" w:rsidRPr="00444447" w:rsidRDefault="00CA57BF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444447">
        <w:rPr>
          <w:rFonts w:ascii="Arial" w:hAnsi="Arial" w:cs="Arial"/>
          <w:sz w:val="24"/>
          <w:szCs w:val="24"/>
        </w:rPr>
        <w:t xml:space="preserve">FOUCAULT, Michel. </w:t>
      </w:r>
      <w:r w:rsidRPr="00444447">
        <w:rPr>
          <w:rFonts w:ascii="Arial" w:hAnsi="Arial" w:cs="Arial"/>
          <w:b/>
          <w:bCs/>
          <w:sz w:val="24"/>
          <w:szCs w:val="24"/>
        </w:rPr>
        <w:t>Nascimento da Biopolítica:</w:t>
      </w:r>
      <w:r w:rsidRPr="00444447">
        <w:rPr>
          <w:rFonts w:ascii="Arial" w:hAnsi="Arial" w:cs="Arial"/>
          <w:sz w:val="24"/>
          <w:szCs w:val="24"/>
        </w:rPr>
        <w:t xml:space="preserve"> curso dado no </w:t>
      </w:r>
      <w:proofErr w:type="spellStart"/>
      <w:r w:rsidRPr="00444447">
        <w:rPr>
          <w:rFonts w:ascii="Arial" w:hAnsi="Arial" w:cs="Arial"/>
          <w:sz w:val="24"/>
          <w:szCs w:val="24"/>
        </w:rPr>
        <w:t>Collège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de France (1978-1979). São Paulo: Martins Fontes, 2008.</w:t>
      </w:r>
    </w:p>
    <w:p w14:paraId="3BA8670A" w14:textId="77777777" w:rsidR="00C5546C" w:rsidRDefault="00C5546C" w:rsidP="00C5546C">
      <w:pPr>
        <w:spacing w:line="240" w:lineRule="auto"/>
        <w:ind w:firstLine="0"/>
        <w:jc w:val="left"/>
        <w:rPr>
          <w:rFonts w:ascii="Arial" w:eastAsia="Times New Roman" w:hAnsi="Arial" w:cs="Arial"/>
          <w:sz w:val="24"/>
          <w:szCs w:val="24"/>
        </w:rPr>
      </w:pPr>
    </w:p>
    <w:p w14:paraId="359168FF" w14:textId="0E0D9F64" w:rsidR="00C5546C" w:rsidRPr="00444447" w:rsidRDefault="00C5546C" w:rsidP="00C5546C">
      <w:pPr>
        <w:spacing w:line="240" w:lineRule="auto"/>
        <w:ind w:firstLine="0"/>
        <w:jc w:val="left"/>
        <w:rPr>
          <w:rFonts w:ascii="Arial" w:eastAsia="Times New Roman" w:hAnsi="Arial" w:cs="Arial"/>
          <w:sz w:val="24"/>
          <w:szCs w:val="24"/>
        </w:rPr>
      </w:pPr>
      <w:r w:rsidRPr="00444447">
        <w:rPr>
          <w:rFonts w:ascii="Arial" w:eastAsia="Times New Roman" w:hAnsi="Arial" w:cs="Arial"/>
          <w:sz w:val="24"/>
          <w:szCs w:val="24"/>
        </w:rPr>
        <w:t xml:space="preserve">FOUCAULT, Michel. </w:t>
      </w:r>
      <w:r w:rsidRPr="00444447">
        <w:rPr>
          <w:rFonts w:ascii="Arial" w:eastAsia="Times New Roman" w:hAnsi="Arial" w:cs="Arial"/>
          <w:b/>
          <w:bCs/>
          <w:sz w:val="24"/>
          <w:szCs w:val="24"/>
        </w:rPr>
        <w:t>Do governo dos vivos</w:t>
      </w:r>
      <w:r w:rsidRPr="00444447">
        <w:rPr>
          <w:rFonts w:ascii="Arial" w:eastAsia="Times New Roman" w:hAnsi="Arial" w:cs="Arial"/>
          <w:sz w:val="24"/>
          <w:szCs w:val="24"/>
        </w:rPr>
        <w:t>. 1ª edição. Martins Fontes: São Paulo, 2014.</w:t>
      </w:r>
    </w:p>
    <w:p w14:paraId="57A8854F" w14:textId="77777777" w:rsidR="002F62F9" w:rsidRPr="00444447" w:rsidRDefault="002F62F9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191C15E1" w14:textId="734F148B" w:rsidR="002F62F9" w:rsidRPr="00444447" w:rsidRDefault="002F62F9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444447">
        <w:rPr>
          <w:rFonts w:ascii="Arial" w:hAnsi="Arial" w:cs="Arial"/>
          <w:sz w:val="24"/>
          <w:szCs w:val="24"/>
        </w:rPr>
        <w:t xml:space="preserve">FOUCAULT, Michel. </w:t>
      </w:r>
      <w:r w:rsidRPr="00444447">
        <w:rPr>
          <w:rFonts w:ascii="Arial" w:hAnsi="Arial" w:cs="Arial"/>
          <w:b/>
          <w:bCs/>
          <w:sz w:val="24"/>
          <w:szCs w:val="24"/>
        </w:rPr>
        <w:t>Subjetividade e Verdade:</w:t>
      </w:r>
      <w:r w:rsidRPr="00444447">
        <w:rPr>
          <w:rFonts w:ascii="Arial" w:hAnsi="Arial" w:cs="Arial"/>
          <w:sz w:val="24"/>
          <w:szCs w:val="24"/>
        </w:rPr>
        <w:t xml:space="preserve"> curso no </w:t>
      </w:r>
      <w:proofErr w:type="spellStart"/>
      <w:r w:rsidRPr="00444447">
        <w:rPr>
          <w:rFonts w:ascii="Arial" w:hAnsi="Arial" w:cs="Arial"/>
          <w:sz w:val="24"/>
          <w:szCs w:val="24"/>
        </w:rPr>
        <w:t>Collège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 de France (1980-1981). São Paulo: Martins Fontes, 2016.</w:t>
      </w:r>
    </w:p>
    <w:p w14:paraId="36207386" w14:textId="77777777" w:rsidR="009554B5" w:rsidRPr="00444447" w:rsidRDefault="009554B5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1971EDF1" w14:textId="77777777" w:rsidR="00444B77" w:rsidRPr="00444447" w:rsidRDefault="00444B77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444447">
        <w:rPr>
          <w:rFonts w:ascii="Arial" w:hAnsi="Arial" w:cs="Arial"/>
          <w:sz w:val="24"/>
          <w:szCs w:val="24"/>
        </w:rPr>
        <w:t xml:space="preserve">FUNDAÇÃO LEMANN. </w:t>
      </w:r>
      <w:r w:rsidRPr="00444447">
        <w:rPr>
          <w:rFonts w:ascii="Arial" w:hAnsi="Arial" w:cs="Arial"/>
          <w:b/>
          <w:bCs/>
          <w:sz w:val="24"/>
          <w:szCs w:val="24"/>
        </w:rPr>
        <w:t xml:space="preserve">Ecossistema de Impacto. </w:t>
      </w:r>
      <w:r w:rsidRPr="00444447">
        <w:rPr>
          <w:rFonts w:ascii="Arial" w:hAnsi="Arial" w:cs="Arial"/>
          <w:sz w:val="24"/>
          <w:szCs w:val="24"/>
        </w:rPr>
        <w:t xml:space="preserve">São Paulo: Fundação Lemann, 2025. </w:t>
      </w:r>
      <w:hyperlink r:id="rId10" w:history="1">
        <w:r w:rsidRPr="00444447">
          <w:rPr>
            <w:rStyle w:val="Hyperlink"/>
            <w:rFonts w:ascii="Arial" w:hAnsi="Arial" w:cs="Arial"/>
            <w:sz w:val="24"/>
            <w:szCs w:val="24"/>
          </w:rPr>
          <w:t>https://fundacaolemann.org.br/parceiros/ecossistema/</w:t>
        </w:r>
      </w:hyperlink>
      <w:r w:rsidRPr="00444447">
        <w:rPr>
          <w:rFonts w:ascii="Arial" w:hAnsi="Arial" w:cs="Arial"/>
          <w:sz w:val="24"/>
          <w:szCs w:val="24"/>
        </w:rPr>
        <w:t>. Acesso em: 01 jan. 2025.</w:t>
      </w:r>
    </w:p>
    <w:p w14:paraId="333528FB" w14:textId="77777777" w:rsidR="00444B77" w:rsidRPr="00444447" w:rsidRDefault="00444B77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71302733" w14:textId="15ED560C" w:rsidR="00444B77" w:rsidRPr="00444447" w:rsidRDefault="00730464" w:rsidP="00E41532">
      <w:pPr>
        <w:spacing w:line="240" w:lineRule="auto"/>
        <w:ind w:firstLine="0"/>
        <w:jc w:val="left"/>
        <w:rPr>
          <w:rFonts w:ascii="Arial" w:eastAsia="Times New Roman" w:hAnsi="Arial" w:cs="Arial"/>
          <w:sz w:val="24"/>
          <w:szCs w:val="24"/>
        </w:rPr>
      </w:pPr>
      <w:r w:rsidRPr="00444447">
        <w:rPr>
          <w:rFonts w:ascii="Arial" w:eastAsia="Times New Roman" w:hAnsi="Arial" w:cs="Arial"/>
          <w:sz w:val="24"/>
          <w:szCs w:val="24"/>
        </w:rPr>
        <w:t xml:space="preserve">LAVAL, Christian. </w:t>
      </w:r>
      <w:r w:rsidRPr="00444447">
        <w:rPr>
          <w:rFonts w:ascii="Arial" w:eastAsia="Times New Roman" w:hAnsi="Arial" w:cs="Arial"/>
          <w:b/>
          <w:bCs/>
          <w:sz w:val="24"/>
          <w:szCs w:val="24"/>
        </w:rPr>
        <w:t xml:space="preserve">A escola não é uma empresa: </w:t>
      </w:r>
      <w:r w:rsidRPr="00444447">
        <w:rPr>
          <w:rFonts w:ascii="Arial" w:eastAsia="Times New Roman" w:hAnsi="Arial" w:cs="Arial"/>
          <w:sz w:val="24"/>
          <w:szCs w:val="24"/>
        </w:rPr>
        <w:t>o neoliberalismo em ataque ao ensino público. Tradução de André Telles. São Paulo: Boitempo, 2019.</w:t>
      </w:r>
    </w:p>
    <w:p w14:paraId="53B66800" w14:textId="77777777" w:rsidR="009554B5" w:rsidRPr="00444447" w:rsidRDefault="009554B5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1BF2AF85" w14:textId="77777777" w:rsidR="00E2782F" w:rsidRPr="00444447" w:rsidRDefault="00E2782F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444447">
        <w:rPr>
          <w:rFonts w:ascii="Arial" w:hAnsi="Arial" w:cs="Arial"/>
          <w:sz w:val="24"/>
          <w:szCs w:val="24"/>
        </w:rPr>
        <w:t xml:space="preserve">MICHETTI, </w:t>
      </w:r>
      <w:proofErr w:type="spellStart"/>
      <w:r w:rsidRPr="00444447">
        <w:rPr>
          <w:rFonts w:ascii="Arial" w:hAnsi="Arial" w:cs="Arial"/>
          <w:sz w:val="24"/>
          <w:szCs w:val="24"/>
        </w:rPr>
        <w:t>Miqueli</w:t>
      </w:r>
      <w:proofErr w:type="spellEnd"/>
      <w:r w:rsidRPr="00444447">
        <w:rPr>
          <w:rFonts w:ascii="Arial" w:hAnsi="Arial" w:cs="Arial"/>
          <w:sz w:val="24"/>
          <w:szCs w:val="24"/>
        </w:rPr>
        <w:t xml:space="preserve">. Entre a legitimação e a crítica: as disputas acerca da Base Nacional Comum Curricular. </w:t>
      </w:r>
      <w:r w:rsidRPr="00444447">
        <w:rPr>
          <w:rFonts w:ascii="Arial" w:hAnsi="Arial" w:cs="Arial"/>
          <w:b/>
          <w:bCs/>
          <w:sz w:val="24"/>
          <w:szCs w:val="24"/>
        </w:rPr>
        <w:t>Revista Brasileira de Ciências Sociais,</w:t>
      </w:r>
      <w:r w:rsidRPr="00444447">
        <w:rPr>
          <w:rFonts w:ascii="Arial" w:hAnsi="Arial" w:cs="Arial"/>
          <w:sz w:val="24"/>
          <w:szCs w:val="24"/>
        </w:rPr>
        <w:t xml:space="preserve"> São Paulo, v. 35, n. 102, p. 1-19, 2020. DOI: https://dx.doi.org/10.1590/3510221/ 2020. Disponível em: </w:t>
      </w:r>
      <w:hyperlink r:id="rId11" w:history="1">
        <w:r w:rsidRPr="00444447">
          <w:rPr>
            <w:rStyle w:val="Hyperlink"/>
            <w:rFonts w:ascii="Arial" w:hAnsi="Arial" w:cs="Arial"/>
            <w:sz w:val="24"/>
            <w:szCs w:val="24"/>
          </w:rPr>
          <w:t>https://www.scielo.br/j/rbcsoc/a/7NZC9VwjKWZKMv4SPQmTXPJ/?format=pdf</w:t>
        </w:r>
      </w:hyperlink>
      <w:r w:rsidRPr="00444447">
        <w:rPr>
          <w:rFonts w:ascii="Arial" w:hAnsi="Arial" w:cs="Arial"/>
          <w:sz w:val="24"/>
          <w:szCs w:val="24"/>
        </w:rPr>
        <w:t>. Acesso em: 03 jul. 2024.</w:t>
      </w:r>
    </w:p>
    <w:p w14:paraId="0BAC8021" w14:textId="77777777" w:rsidR="009554B5" w:rsidRPr="00444447" w:rsidRDefault="009554B5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168D1DF4" w14:textId="77777777" w:rsidR="00E86173" w:rsidRPr="00444447" w:rsidRDefault="00E86173" w:rsidP="00E41532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444447">
        <w:rPr>
          <w:rFonts w:ascii="Arial" w:hAnsi="Arial" w:cs="Arial"/>
          <w:sz w:val="24"/>
          <w:szCs w:val="24"/>
        </w:rPr>
        <w:t xml:space="preserve">TARLAU, Rebecca; MOELLER, Kathryn. O consenso por filantropia: como uma fundação privada estabeleceu a BNCC no Brasil. </w:t>
      </w:r>
      <w:r w:rsidRPr="00444447">
        <w:rPr>
          <w:rFonts w:ascii="Arial" w:hAnsi="Arial" w:cs="Arial"/>
          <w:b/>
          <w:bCs/>
          <w:sz w:val="24"/>
          <w:szCs w:val="24"/>
        </w:rPr>
        <w:t>Currículo sem Fronteiras</w:t>
      </w:r>
      <w:r w:rsidRPr="00444447">
        <w:rPr>
          <w:rFonts w:ascii="Arial" w:hAnsi="Arial" w:cs="Arial"/>
          <w:sz w:val="24"/>
          <w:szCs w:val="24"/>
        </w:rPr>
        <w:t xml:space="preserve">, v. 20, n. 2, p. 553-603, maio/ago. 2020. Disponível em: </w:t>
      </w:r>
      <w:hyperlink r:id="rId12" w:tgtFrame="_new" w:history="1">
        <w:r w:rsidRPr="00444447">
          <w:rPr>
            <w:rStyle w:val="Hyperlink"/>
            <w:rFonts w:ascii="Arial" w:hAnsi="Arial" w:cs="Arial"/>
            <w:sz w:val="24"/>
            <w:szCs w:val="24"/>
          </w:rPr>
          <w:t>https://www.curriculosemfronteiras.org/vol20iss2articles/tarlau-moeller.pdf</w:t>
        </w:r>
      </w:hyperlink>
      <w:r w:rsidRPr="00444447">
        <w:rPr>
          <w:rFonts w:ascii="Arial" w:hAnsi="Arial" w:cs="Arial"/>
          <w:sz w:val="24"/>
          <w:szCs w:val="24"/>
        </w:rPr>
        <w:t>. Acesso em: 19 jul. 2024.</w:t>
      </w:r>
    </w:p>
    <w:p w14:paraId="400A594F" w14:textId="77777777" w:rsidR="001E54C1" w:rsidRPr="006E30E4" w:rsidRDefault="001E54C1" w:rsidP="006E30E4">
      <w:pPr>
        <w:pStyle w:val="TtulosNoNumerados"/>
        <w:spacing w:line="240" w:lineRule="auto"/>
        <w:rPr>
          <w:b w:val="0"/>
          <w:bCs w:val="0"/>
        </w:rPr>
      </w:pPr>
    </w:p>
    <w:sectPr w:rsidR="001E54C1" w:rsidRPr="006E30E4" w:rsidSect="004C446D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AC6FF" w14:textId="77777777" w:rsidR="004A38D8" w:rsidRDefault="004A38D8" w:rsidP="00026BCD">
      <w:pPr>
        <w:spacing w:line="240" w:lineRule="auto"/>
      </w:pPr>
      <w:r>
        <w:separator/>
      </w:r>
    </w:p>
  </w:endnote>
  <w:endnote w:type="continuationSeparator" w:id="0">
    <w:p w14:paraId="04864401" w14:textId="77777777" w:rsidR="004A38D8" w:rsidRDefault="004A38D8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52108" w14:textId="77777777" w:rsidR="004A38D8" w:rsidRDefault="004A38D8" w:rsidP="00026BCD">
      <w:pPr>
        <w:spacing w:line="240" w:lineRule="auto"/>
      </w:pPr>
      <w:r>
        <w:separator/>
      </w:r>
    </w:p>
  </w:footnote>
  <w:footnote w:type="continuationSeparator" w:id="0">
    <w:p w14:paraId="27C491ED" w14:textId="77777777" w:rsidR="004A38D8" w:rsidRDefault="004A38D8" w:rsidP="00026BCD">
      <w:pPr>
        <w:spacing w:line="240" w:lineRule="auto"/>
      </w:pPr>
      <w:r>
        <w:continuationSeparator/>
      </w:r>
    </w:p>
  </w:footnote>
  <w:footnote w:id="1">
    <w:p w14:paraId="1A2F00AF" w14:textId="77777777" w:rsidR="00205F0D" w:rsidRDefault="00205F0D" w:rsidP="00205F0D">
      <w:pPr>
        <w:pStyle w:val="TtulosNoNumerados"/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>
        <w:rPr>
          <w:rFonts w:eastAsia="Arial"/>
          <w:b w:val="0"/>
          <w:bCs w:val="0"/>
          <w:sz w:val="22"/>
          <w:szCs w:val="22"/>
        </w:rPr>
        <w:t>Doutoranda em Sociologia e Ciência Política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>
        <w:rPr>
          <w:rFonts w:eastAsia="Arial"/>
          <w:b w:val="0"/>
          <w:bCs w:val="0"/>
          <w:sz w:val="22"/>
          <w:szCs w:val="22"/>
        </w:rPr>
        <w:t>Universidade Federal de Santa Catarina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>
        <w:rPr>
          <w:rFonts w:eastAsia="Arial"/>
          <w:b w:val="0"/>
          <w:bCs w:val="0"/>
          <w:sz w:val="22"/>
          <w:szCs w:val="22"/>
        </w:rPr>
        <w:t>Blumenau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>
        <w:rPr>
          <w:rFonts w:eastAsia="Arial"/>
          <w:b w:val="0"/>
          <w:bCs w:val="0"/>
          <w:sz w:val="22"/>
          <w:szCs w:val="22"/>
        </w:rPr>
        <w:t>Santa Catarina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>
        <w:rPr>
          <w:rFonts w:eastAsia="Arial"/>
          <w:b w:val="0"/>
          <w:bCs w:val="0"/>
          <w:sz w:val="22"/>
          <w:szCs w:val="22"/>
        </w:rPr>
        <w:t>Brasil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>
        <w:rPr>
          <w:rFonts w:eastAsia="Arial"/>
          <w:b w:val="0"/>
          <w:bCs w:val="0"/>
          <w:sz w:val="22"/>
          <w:szCs w:val="22"/>
        </w:rPr>
        <w:t>nandhamonteiro@hotmail.com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F27437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F27437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F27437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FDA56C6"/>
    <w:multiLevelType w:val="multilevel"/>
    <w:tmpl w:val="65D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7"/>
  </w:num>
  <w:num w:numId="3" w16cid:durableId="1085955489">
    <w:abstractNumId w:val="5"/>
  </w:num>
  <w:num w:numId="4" w16cid:durableId="425228222">
    <w:abstractNumId w:val="0"/>
  </w:num>
  <w:num w:numId="5" w16cid:durableId="1219895703">
    <w:abstractNumId w:val="6"/>
  </w:num>
  <w:num w:numId="6" w16cid:durableId="881675366">
    <w:abstractNumId w:val="1"/>
  </w:num>
  <w:num w:numId="7" w16cid:durableId="1310018532">
    <w:abstractNumId w:val="2"/>
  </w:num>
  <w:num w:numId="8" w16cid:durableId="10844954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04EAB"/>
    <w:rsid w:val="00017230"/>
    <w:rsid w:val="000251AB"/>
    <w:rsid w:val="00026BCD"/>
    <w:rsid w:val="000370D3"/>
    <w:rsid w:val="0004284F"/>
    <w:rsid w:val="00042954"/>
    <w:rsid w:val="00051DE5"/>
    <w:rsid w:val="00055BA2"/>
    <w:rsid w:val="00057443"/>
    <w:rsid w:val="000626D3"/>
    <w:rsid w:val="000715D0"/>
    <w:rsid w:val="00083ECD"/>
    <w:rsid w:val="0008414C"/>
    <w:rsid w:val="00091F4C"/>
    <w:rsid w:val="000B3107"/>
    <w:rsid w:val="000B3767"/>
    <w:rsid w:val="000C2311"/>
    <w:rsid w:val="000D4380"/>
    <w:rsid w:val="000D7B64"/>
    <w:rsid w:val="000E2279"/>
    <w:rsid w:val="000F3B0B"/>
    <w:rsid w:val="00116C61"/>
    <w:rsid w:val="00126DD2"/>
    <w:rsid w:val="00130609"/>
    <w:rsid w:val="00133DE8"/>
    <w:rsid w:val="00143DA4"/>
    <w:rsid w:val="0015196A"/>
    <w:rsid w:val="00154AF7"/>
    <w:rsid w:val="00163493"/>
    <w:rsid w:val="00172360"/>
    <w:rsid w:val="00194448"/>
    <w:rsid w:val="001A0291"/>
    <w:rsid w:val="001A1913"/>
    <w:rsid w:val="001A3BDA"/>
    <w:rsid w:val="001B0B31"/>
    <w:rsid w:val="001D23A0"/>
    <w:rsid w:val="001E54C1"/>
    <w:rsid w:val="001E75F3"/>
    <w:rsid w:val="001F6136"/>
    <w:rsid w:val="00205F0D"/>
    <w:rsid w:val="002132F2"/>
    <w:rsid w:val="00217CF3"/>
    <w:rsid w:val="002223E0"/>
    <w:rsid w:val="00245BED"/>
    <w:rsid w:val="002506BE"/>
    <w:rsid w:val="00250E5E"/>
    <w:rsid w:val="00251815"/>
    <w:rsid w:val="0029403C"/>
    <w:rsid w:val="00294F2B"/>
    <w:rsid w:val="00297730"/>
    <w:rsid w:val="002A6224"/>
    <w:rsid w:val="002D4387"/>
    <w:rsid w:val="002E5744"/>
    <w:rsid w:val="002F62F9"/>
    <w:rsid w:val="002F69B7"/>
    <w:rsid w:val="0030144E"/>
    <w:rsid w:val="0030158D"/>
    <w:rsid w:val="003063C9"/>
    <w:rsid w:val="003314AA"/>
    <w:rsid w:val="00343570"/>
    <w:rsid w:val="00386C1B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3F70AD"/>
    <w:rsid w:val="00403677"/>
    <w:rsid w:val="00435A4C"/>
    <w:rsid w:val="004371A8"/>
    <w:rsid w:val="00442C14"/>
    <w:rsid w:val="00444447"/>
    <w:rsid w:val="00444B77"/>
    <w:rsid w:val="00447064"/>
    <w:rsid w:val="004511AD"/>
    <w:rsid w:val="0045349E"/>
    <w:rsid w:val="00454912"/>
    <w:rsid w:val="00454FB8"/>
    <w:rsid w:val="004626C4"/>
    <w:rsid w:val="00483A93"/>
    <w:rsid w:val="004842D0"/>
    <w:rsid w:val="00485239"/>
    <w:rsid w:val="00485697"/>
    <w:rsid w:val="004A3195"/>
    <w:rsid w:val="004A38D8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A5DC6"/>
    <w:rsid w:val="005B32E9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D6C58"/>
    <w:rsid w:val="006E30E4"/>
    <w:rsid w:val="006E647F"/>
    <w:rsid w:val="006E7866"/>
    <w:rsid w:val="007016EA"/>
    <w:rsid w:val="00704890"/>
    <w:rsid w:val="00707214"/>
    <w:rsid w:val="00717678"/>
    <w:rsid w:val="00730464"/>
    <w:rsid w:val="00730DFF"/>
    <w:rsid w:val="00732D29"/>
    <w:rsid w:val="007465C6"/>
    <w:rsid w:val="00760B15"/>
    <w:rsid w:val="00762F25"/>
    <w:rsid w:val="0076389E"/>
    <w:rsid w:val="00777399"/>
    <w:rsid w:val="00777958"/>
    <w:rsid w:val="00786DC0"/>
    <w:rsid w:val="00790B0B"/>
    <w:rsid w:val="007917BB"/>
    <w:rsid w:val="007A1F67"/>
    <w:rsid w:val="007A3B15"/>
    <w:rsid w:val="007B3083"/>
    <w:rsid w:val="007B7881"/>
    <w:rsid w:val="007C257B"/>
    <w:rsid w:val="007D0EAE"/>
    <w:rsid w:val="007E2E87"/>
    <w:rsid w:val="007E33B8"/>
    <w:rsid w:val="007E486D"/>
    <w:rsid w:val="00805A8D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4B4D"/>
    <w:rsid w:val="008B711F"/>
    <w:rsid w:val="008C02E5"/>
    <w:rsid w:val="008C6DFB"/>
    <w:rsid w:val="008D1BF8"/>
    <w:rsid w:val="008E29B3"/>
    <w:rsid w:val="008F32E8"/>
    <w:rsid w:val="008F3595"/>
    <w:rsid w:val="008F3891"/>
    <w:rsid w:val="00900CFB"/>
    <w:rsid w:val="0090786F"/>
    <w:rsid w:val="00907E21"/>
    <w:rsid w:val="00915550"/>
    <w:rsid w:val="009173EC"/>
    <w:rsid w:val="009554B5"/>
    <w:rsid w:val="00965B62"/>
    <w:rsid w:val="00967631"/>
    <w:rsid w:val="009676AF"/>
    <w:rsid w:val="00971680"/>
    <w:rsid w:val="00974965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AF5946"/>
    <w:rsid w:val="00B2706C"/>
    <w:rsid w:val="00B31EAA"/>
    <w:rsid w:val="00B35ECD"/>
    <w:rsid w:val="00B47A4E"/>
    <w:rsid w:val="00B51971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15264"/>
    <w:rsid w:val="00C32593"/>
    <w:rsid w:val="00C5546C"/>
    <w:rsid w:val="00C8769A"/>
    <w:rsid w:val="00CA0B92"/>
    <w:rsid w:val="00CA57BF"/>
    <w:rsid w:val="00CA612A"/>
    <w:rsid w:val="00CC28BE"/>
    <w:rsid w:val="00CC3A42"/>
    <w:rsid w:val="00CD2AF8"/>
    <w:rsid w:val="00CD581C"/>
    <w:rsid w:val="00CD7E56"/>
    <w:rsid w:val="00CE7CFD"/>
    <w:rsid w:val="00CF0E79"/>
    <w:rsid w:val="00CF16B7"/>
    <w:rsid w:val="00CF427F"/>
    <w:rsid w:val="00D07AAE"/>
    <w:rsid w:val="00D12275"/>
    <w:rsid w:val="00D16DAA"/>
    <w:rsid w:val="00D17DEF"/>
    <w:rsid w:val="00D341E7"/>
    <w:rsid w:val="00D4622B"/>
    <w:rsid w:val="00D76D18"/>
    <w:rsid w:val="00D77336"/>
    <w:rsid w:val="00D86381"/>
    <w:rsid w:val="00D97213"/>
    <w:rsid w:val="00DA1797"/>
    <w:rsid w:val="00DC0714"/>
    <w:rsid w:val="00DC7E99"/>
    <w:rsid w:val="00DE30BE"/>
    <w:rsid w:val="00DF0283"/>
    <w:rsid w:val="00DF040B"/>
    <w:rsid w:val="00E044EA"/>
    <w:rsid w:val="00E05F28"/>
    <w:rsid w:val="00E2782F"/>
    <w:rsid w:val="00E31A9B"/>
    <w:rsid w:val="00E406F6"/>
    <w:rsid w:val="00E41532"/>
    <w:rsid w:val="00E57BDA"/>
    <w:rsid w:val="00E621B7"/>
    <w:rsid w:val="00E65BC9"/>
    <w:rsid w:val="00E73320"/>
    <w:rsid w:val="00E7355C"/>
    <w:rsid w:val="00E86173"/>
    <w:rsid w:val="00E90E2D"/>
    <w:rsid w:val="00E91D9C"/>
    <w:rsid w:val="00EC1F91"/>
    <w:rsid w:val="00ED4385"/>
    <w:rsid w:val="00ED5B22"/>
    <w:rsid w:val="00ED7BE5"/>
    <w:rsid w:val="00EE2639"/>
    <w:rsid w:val="00F07F43"/>
    <w:rsid w:val="00F26C7E"/>
    <w:rsid w:val="00F27CE0"/>
    <w:rsid w:val="00F32F47"/>
    <w:rsid w:val="00F46CF2"/>
    <w:rsid w:val="00F647DC"/>
    <w:rsid w:val="00F72FD3"/>
    <w:rsid w:val="00F766E0"/>
    <w:rsid w:val="00F775B7"/>
    <w:rsid w:val="00F87291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er.ufal.br/index.php/debateseducacao/article/view/17882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urriculosemfronteiras.org/vol20iss2articles/tarlau-moeller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lo.br/j/rbcsoc/a/7NZC9VwjKWZKMv4SPQmTXPJ/?format=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fundacaolemann.org.br/parceiros/ecossistem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ric.ed.gov/?id=EJ811346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2086</Words>
  <Characters>11270</Characters>
  <Application>Microsoft Office Word</Application>
  <DocSecurity>0</DocSecurity>
  <Lines>93</Lines>
  <Paragraphs>26</Paragraphs>
  <ScaleCrop>false</ScaleCrop>
  <Company/>
  <LinksUpToDate>false</LinksUpToDate>
  <CharactersWithSpaces>13330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Érica Monteiro</cp:lastModifiedBy>
  <cp:revision>2</cp:revision>
  <dcterms:created xsi:type="dcterms:W3CDTF">2025-10-28T13:36:00Z</dcterms:created>
  <dcterms:modified xsi:type="dcterms:W3CDTF">2025-10-28T13:36:00Z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