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A" w:rsidRPr="006B64E1" w:rsidRDefault="00C85466" w:rsidP="00CB2A36">
      <w:pPr>
        <w:spacing w:after="160" w:line="240" w:lineRule="auto"/>
      </w:pPr>
      <w:r w:rsidRPr="006B64E1">
        <w:rPr>
          <w:b/>
        </w:rPr>
        <w:t>O PERFIL EPIDEMIOLÓGICO DAS INTERNAÇÕES DO DESCOLAMENTO E DEFEITOS DA RETINA EM ALAGOAS, DE 2015 A 2021</w:t>
      </w:r>
      <w:r w:rsidR="00CB2A36" w:rsidRPr="006B64E1">
        <w:rPr>
          <w:b/>
        </w:rPr>
        <w:t>.</w:t>
      </w:r>
    </w:p>
    <w:p w:rsidR="00A0706A" w:rsidRPr="006B64E1" w:rsidRDefault="00C85466">
      <w:pPr>
        <w:spacing w:after="160" w:line="240" w:lineRule="auto"/>
        <w:rPr>
          <w:vertAlign w:val="superscript"/>
        </w:rPr>
      </w:pPr>
      <w:r w:rsidRPr="006B64E1">
        <w:t>Ivo Farias Gomes</w:t>
      </w:r>
      <w:r w:rsidRPr="006B64E1">
        <w:rPr>
          <w:vertAlign w:val="superscript"/>
        </w:rPr>
        <w:t>1</w:t>
      </w:r>
      <w:r w:rsidRPr="006B64E1">
        <w:t>; Antônio Vinícius Barros Martin</w:t>
      </w:r>
      <w:r w:rsidRPr="006B64E1">
        <w:rPr>
          <w:vertAlign w:val="superscript"/>
        </w:rPr>
        <w:t>2</w:t>
      </w:r>
      <w:r w:rsidRPr="006B64E1">
        <w:t>; Victor Manoel Teixeira De Holanda Mendonça</w:t>
      </w:r>
      <w:r w:rsidRPr="006B64E1">
        <w:rPr>
          <w:vertAlign w:val="superscript"/>
        </w:rPr>
        <w:t>2</w:t>
      </w:r>
      <w:r w:rsidRPr="006B64E1">
        <w:t>; Ingrid Maria Barbosa Santos</w:t>
      </w:r>
      <w:r w:rsidRPr="006B64E1">
        <w:rPr>
          <w:vertAlign w:val="superscript"/>
        </w:rPr>
        <w:t>2</w:t>
      </w:r>
      <w:r w:rsidRPr="006B64E1">
        <w:t>; Bruno Nobre Lins Coronado</w:t>
      </w:r>
      <w:r w:rsidRPr="006B64E1">
        <w:rPr>
          <w:vertAlign w:val="superscript"/>
        </w:rPr>
        <w:t>3</w:t>
      </w:r>
      <w:r w:rsidRPr="006B64E1">
        <w:t xml:space="preserve">; Nicolaas Stefan </w:t>
      </w:r>
      <w:proofErr w:type="spellStart"/>
      <w:r w:rsidRPr="006B64E1">
        <w:t>Gosse</w:t>
      </w:r>
      <w:proofErr w:type="spellEnd"/>
      <w:r w:rsidRPr="006B64E1">
        <w:t xml:space="preserve"> Vale</w:t>
      </w:r>
      <w:r w:rsidRPr="006B64E1">
        <w:rPr>
          <w:vertAlign w:val="superscript"/>
        </w:rPr>
        <w:t>3</w:t>
      </w:r>
      <w:r w:rsidRPr="006B64E1">
        <w:t>; Daniela Sampaio Silva Gonçalves</w:t>
      </w:r>
      <w:r w:rsidRPr="006B64E1">
        <w:rPr>
          <w:vertAlign w:val="superscript"/>
        </w:rPr>
        <w:t>3</w:t>
      </w:r>
    </w:p>
    <w:p w:rsidR="00A0706A" w:rsidRPr="006B64E1" w:rsidRDefault="00C85466" w:rsidP="00CB2A36">
      <w:pPr>
        <w:spacing w:line="240" w:lineRule="auto"/>
        <w:jc w:val="left"/>
        <w:rPr>
          <w:vertAlign w:val="superscript"/>
        </w:rPr>
      </w:pPr>
      <w:r w:rsidRPr="006B64E1">
        <w:rPr>
          <w:vertAlign w:val="superscript"/>
        </w:rPr>
        <w:t>1</w:t>
      </w:r>
      <w:r w:rsidRPr="006B64E1">
        <w:t>Discente da Universidade Federal de Alagoas</w:t>
      </w:r>
    </w:p>
    <w:p w:rsidR="00A0706A" w:rsidRPr="006B64E1" w:rsidRDefault="00C85466" w:rsidP="00CB2A36">
      <w:pPr>
        <w:spacing w:line="240" w:lineRule="auto"/>
        <w:jc w:val="left"/>
      </w:pPr>
      <w:r w:rsidRPr="006B64E1">
        <w:rPr>
          <w:vertAlign w:val="superscript"/>
        </w:rPr>
        <w:t>2</w:t>
      </w:r>
      <w:r w:rsidRPr="006B64E1">
        <w:t xml:space="preserve">Discente do Centro Universitário </w:t>
      </w:r>
      <w:proofErr w:type="spellStart"/>
      <w:r w:rsidRPr="006B64E1">
        <w:t>Cesmac</w:t>
      </w:r>
      <w:proofErr w:type="spellEnd"/>
      <w:r w:rsidRPr="006B64E1">
        <w:br/>
      </w:r>
      <w:r w:rsidRPr="006B64E1">
        <w:rPr>
          <w:vertAlign w:val="superscript"/>
        </w:rPr>
        <w:t>3</w:t>
      </w:r>
      <w:r w:rsidRPr="006B64E1">
        <w:t xml:space="preserve">Docente do Centro Universitário </w:t>
      </w:r>
      <w:proofErr w:type="spellStart"/>
      <w:r w:rsidRPr="006B64E1">
        <w:t>Cesmac</w:t>
      </w:r>
      <w:proofErr w:type="spellEnd"/>
    </w:p>
    <w:p w:rsidR="00A0706A" w:rsidRPr="006B64E1" w:rsidRDefault="00C85466" w:rsidP="00CB2A36">
      <w:pPr>
        <w:spacing w:line="240" w:lineRule="auto"/>
        <w:jc w:val="left"/>
      </w:pPr>
      <w:r w:rsidRPr="006B64E1">
        <w:t>ivo.gomes@famed.ufal.br; bruno.coronado@cesmac.edu.br</w:t>
      </w:r>
    </w:p>
    <w:p w:rsidR="00A0706A" w:rsidRPr="006B64E1" w:rsidRDefault="00A0706A">
      <w:pPr>
        <w:spacing w:line="240" w:lineRule="auto"/>
      </w:pPr>
    </w:p>
    <w:p w:rsidR="00A0706A" w:rsidRPr="006B64E1" w:rsidRDefault="00C85466">
      <w:pPr>
        <w:spacing w:after="160" w:line="240" w:lineRule="auto"/>
        <w:rPr>
          <w:b/>
        </w:rPr>
      </w:pPr>
      <w:bookmarkStart w:id="0" w:name="_GoBack"/>
      <w:r w:rsidRPr="006B64E1">
        <w:rPr>
          <w:b/>
          <w:u w:val="single"/>
        </w:rPr>
        <w:t>Introdução:</w:t>
      </w:r>
      <w:r w:rsidRPr="006B64E1">
        <w:t xml:space="preserve"> Há várias patologias relacionadas à retina, uma das principais é o descolamento de retina (DR), o qual é definido como a separação entre a retina </w:t>
      </w:r>
      <w:proofErr w:type="spellStart"/>
      <w:r w:rsidRPr="006B64E1">
        <w:t>neurossensorial</w:t>
      </w:r>
      <w:proofErr w:type="spellEnd"/>
      <w:r w:rsidRPr="006B64E1">
        <w:t xml:space="preserve"> e o epitélio pigmentar da retina. O líquido </w:t>
      </w:r>
      <w:proofErr w:type="spellStart"/>
      <w:r w:rsidRPr="006B64E1">
        <w:t>subretiniano</w:t>
      </w:r>
      <w:proofErr w:type="spellEnd"/>
      <w:r w:rsidRPr="006B64E1">
        <w:t xml:space="preserve"> é acumulado entre essas duas camadas, deslocando a retina. Isto resulta em uma distorção na visão e cegueira no campo de visão correspondente. A intervenção deve ser imediata para evitar danos permanentes à retina. Os principais tipos de DR são: o </w:t>
      </w:r>
      <w:proofErr w:type="spellStart"/>
      <w:r w:rsidRPr="006B64E1">
        <w:t>regmatogênico</w:t>
      </w:r>
      <w:proofErr w:type="spellEnd"/>
      <w:r w:rsidRPr="006B64E1">
        <w:t xml:space="preserve">, o </w:t>
      </w:r>
      <w:proofErr w:type="spellStart"/>
      <w:r w:rsidRPr="006B64E1">
        <w:t>tracional</w:t>
      </w:r>
      <w:proofErr w:type="spellEnd"/>
      <w:r w:rsidRPr="006B64E1">
        <w:t xml:space="preserve">, o </w:t>
      </w:r>
      <w:proofErr w:type="spellStart"/>
      <w:r w:rsidRPr="006B64E1">
        <w:t>exsudativo</w:t>
      </w:r>
      <w:proofErr w:type="spellEnd"/>
      <w:r w:rsidRPr="006B64E1">
        <w:t xml:space="preserve"> e o </w:t>
      </w:r>
      <w:proofErr w:type="spellStart"/>
      <w:r w:rsidRPr="006B64E1">
        <w:t>tracional-regmatogênico</w:t>
      </w:r>
      <w:proofErr w:type="spellEnd"/>
      <w:r w:rsidRPr="006B64E1">
        <w:t xml:space="preserve"> combinado. </w:t>
      </w:r>
      <w:r w:rsidRPr="006B64E1">
        <w:rPr>
          <w:b/>
          <w:u w:val="single"/>
        </w:rPr>
        <w:t>Objetivo:</w:t>
      </w:r>
      <w:r w:rsidRPr="006B64E1">
        <w:rPr>
          <w:b/>
        </w:rPr>
        <w:t xml:space="preserve"> </w:t>
      </w:r>
      <w:r w:rsidRPr="006B64E1">
        <w:t xml:space="preserve">Traçar um perfil epidemiológico dos portadores de descolamento e defeitos da retina em Alagoas. </w:t>
      </w:r>
      <w:r w:rsidRPr="006B64E1">
        <w:rPr>
          <w:b/>
          <w:u w:val="single"/>
        </w:rPr>
        <w:t>Metodologia:</w:t>
      </w:r>
      <w:r w:rsidRPr="006B64E1">
        <w:t xml:space="preserve"> Trata-se de um estudo epidemiológico descritivo, cujos dados foram obtidos por meio de consulta à base de dados do Sistema de Informações Hospitalares do SUS (SIH/SUS), disponibilizados pelo Departamento de Informática do Sistema Único de Saúde (DATASUS), no endereço eletrônico http://www.datasus.gov.br, referentes ao período de 2015</w:t>
      </w:r>
      <w:r w:rsidRPr="006B64E1">
        <w:rPr>
          <w:color w:val="FF0000"/>
        </w:rPr>
        <w:t xml:space="preserve"> </w:t>
      </w:r>
      <w:r w:rsidRPr="006B64E1">
        <w:t>a 2021. A população em estudo foi constituída por indivíduos internados com de</w:t>
      </w:r>
      <w:r w:rsidR="00CB2A36" w:rsidRPr="006B64E1">
        <w:t>scolamento e defeitos de retina</w:t>
      </w:r>
      <w:r w:rsidRPr="006B64E1">
        <w:t xml:space="preserve"> (CID-10: H330, H331, H332, H333, H334, H335). Os dados obtidos foram organizados em novas tabelas e analisados estatisticamente. </w:t>
      </w:r>
      <w:r w:rsidRPr="006B64E1">
        <w:rPr>
          <w:b/>
          <w:u w:val="single"/>
        </w:rPr>
        <w:t>Resultados:</w:t>
      </w:r>
      <w:r w:rsidRPr="006B64E1">
        <w:rPr>
          <w:color w:val="FF0000"/>
        </w:rPr>
        <w:t xml:space="preserve"> </w:t>
      </w:r>
      <w:r w:rsidRPr="006B64E1">
        <w:t xml:space="preserve">Do total de 3767 internações por descolamento e defeitos da retina no período de 2015 a 2021 em Alagoas, 98,56% foram atendimentos que não representavam urgências, ou seja, eletivos. No que diz respeito ao sexo, 53,27% dos pacientes internados eram homens, enquanto que 46,72% representou o percentual de mulheres. Em relação à faixa etária, pôde-se observar que os pacientes entre 50 e 59 anos apresentaram o maior número de internações em decorrência dessa patologia, representando cerca 29,94% do total de internados. Ademais, no que tange à raça, foi observado que 79,10% dos atendimentos foram realizados na população parda. </w:t>
      </w:r>
      <w:r w:rsidRPr="006B64E1">
        <w:rPr>
          <w:b/>
          <w:u w:val="single"/>
        </w:rPr>
        <w:t>Conclusões:</w:t>
      </w:r>
      <w:r w:rsidRPr="006B64E1">
        <w:t xml:space="preserve"> Percebe-se no presente estudo, que por ser uma doença não dolorosa, o índice de procura não chega a ser expressivo no campo da urgência, fazendo um remanejo para o campo eletivo. Contudo, é uma problemática de enorme destaque pelo seu processo irreversível e potencial grau de cegueira.</w:t>
      </w:r>
    </w:p>
    <w:bookmarkEnd w:id="0"/>
    <w:p w:rsidR="00A0706A" w:rsidRPr="006B64E1" w:rsidRDefault="00A0706A">
      <w:pPr>
        <w:spacing w:line="240" w:lineRule="auto"/>
        <w:rPr>
          <w:b/>
        </w:rPr>
      </w:pPr>
    </w:p>
    <w:p w:rsidR="00A0706A" w:rsidRPr="006B64E1" w:rsidRDefault="00C85466">
      <w:pPr>
        <w:spacing w:line="240" w:lineRule="auto"/>
        <w:rPr>
          <w:b/>
        </w:rPr>
      </w:pPr>
      <w:r w:rsidRPr="006B64E1">
        <w:rPr>
          <w:b/>
        </w:rPr>
        <w:t xml:space="preserve">Palavras-chave: </w:t>
      </w:r>
      <w:r w:rsidRPr="006B64E1">
        <w:t>Retina. Epidemiologia. Oftalmologia.</w:t>
      </w:r>
    </w:p>
    <w:p w:rsidR="00A0706A" w:rsidRPr="006B64E1" w:rsidRDefault="00A0706A">
      <w:pPr>
        <w:spacing w:after="160" w:line="240" w:lineRule="auto"/>
        <w:rPr>
          <w:b/>
        </w:rPr>
      </w:pPr>
    </w:p>
    <w:p w:rsidR="00CB2A36" w:rsidRPr="006B64E1" w:rsidRDefault="00CB2A36">
      <w:pPr>
        <w:spacing w:after="160" w:line="240" w:lineRule="auto"/>
        <w:rPr>
          <w:b/>
        </w:rPr>
      </w:pPr>
    </w:p>
    <w:p w:rsidR="00CB2A36" w:rsidRPr="006B64E1" w:rsidRDefault="00CB2A36">
      <w:pPr>
        <w:spacing w:after="160" w:line="240" w:lineRule="auto"/>
        <w:rPr>
          <w:b/>
        </w:rPr>
      </w:pPr>
    </w:p>
    <w:p w:rsidR="00CB2A36" w:rsidRPr="006B64E1" w:rsidRDefault="00CB2A36">
      <w:pPr>
        <w:spacing w:after="160" w:line="240" w:lineRule="auto"/>
        <w:rPr>
          <w:b/>
        </w:rPr>
      </w:pPr>
    </w:p>
    <w:p w:rsidR="00CB2A36" w:rsidRPr="006B64E1" w:rsidRDefault="00CB2A36">
      <w:pPr>
        <w:spacing w:after="160" w:line="240" w:lineRule="auto"/>
        <w:rPr>
          <w:b/>
        </w:rPr>
      </w:pPr>
    </w:p>
    <w:p w:rsidR="00CB2A36" w:rsidRPr="006B64E1" w:rsidRDefault="00CB2A36">
      <w:pPr>
        <w:spacing w:after="160" w:line="240" w:lineRule="auto"/>
        <w:rPr>
          <w:b/>
        </w:rPr>
      </w:pPr>
    </w:p>
    <w:p w:rsidR="00A0706A" w:rsidRPr="006B64E1" w:rsidRDefault="00C85466">
      <w:pPr>
        <w:spacing w:after="160" w:line="240" w:lineRule="auto"/>
        <w:rPr>
          <w:b/>
        </w:rPr>
      </w:pPr>
      <w:r w:rsidRPr="006B64E1">
        <w:rPr>
          <w:b/>
        </w:rPr>
        <w:lastRenderedPageBreak/>
        <w:t>REFERÊNCIAS BIBLIOGRÁFICAS</w:t>
      </w:r>
    </w:p>
    <w:p w:rsidR="00A0706A" w:rsidRPr="006B64E1" w:rsidRDefault="00C85466">
      <w:pPr>
        <w:numPr>
          <w:ilvl w:val="0"/>
          <w:numId w:val="1"/>
        </w:numPr>
        <w:spacing w:before="240" w:line="240" w:lineRule="auto"/>
        <w:rPr>
          <w:color w:val="222222"/>
          <w:highlight w:val="white"/>
        </w:rPr>
      </w:pPr>
      <w:r w:rsidRPr="006B64E1">
        <w:rPr>
          <w:rFonts w:eastAsia="Roboto"/>
          <w:color w:val="222222"/>
          <w:highlight w:val="white"/>
        </w:rPr>
        <w:t xml:space="preserve">KANSKI, Jack J. </w:t>
      </w:r>
      <w:r w:rsidRPr="006B64E1">
        <w:rPr>
          <w:rFonts w:eastAsia="Roboto"/>
          <w:i/>
          <w:color w:val="222222"/>
          <w:highlight w:val="white"/>
        </w:rPr>
        <w:t>et al</w:t>
      </w:r>
      <w:r w:rsidRPr="006B64E1">
        <w:rPr>
          <w:rFonts w:eastAsia="Roboto"/>
          <w:color w:val="222222"/>
          <w:highlight w:val="white"/>
        </w:rPr>
        <w:t xml:space="preserve">. </w:t>
      </w:r>
      <w:r w:rsidRPr="006B64E1">
        <w:rPr>
          <w:rFonts w:eastAsia="Roboto"/>
          <w:b/>
          <w:color w:val="222222"/>
          <w:highlight w:val="white"/>
        </w:rPr>
        <w:t>Oftalmologia clínica</w:t>
      </w:r>
      <w:r w:rsidRPr="006B64E1">
        <w:rPr>
          <w:rFonts w:eastAsia="Roboto"/>
          <w:color w:val="222222"/>
          <w:highlight w:val="white"/>
        </w:rPr>
        <w:t xml:space="preserve">: Uma abordagem sistemática. 7. ed. Rio de Janeiro: </w:t>
      </w:r>
      <w:proofErr w:type="spellStart"/>
      <w:r w:rsidRPr="006B64E1">
        <w:rPr>
          <w:rFonts w:eastAsia="Roboto"/>
          <w:color w:val="222222"/>
          <w:highlight w:val="white"/>
        </w:rPr>
        <w:t>Elsevier</w:t>
      </w:r>
      <w:proofErr w:type="spellEnd"/>
      <w:r w:rsidRPr="006B64E1">
        <w:rPr>
          <w:rFonts w:eastAsia="Roboto"/>
          <w:color w:val="222222"/>
          <w:highlight w:val="white"/>
        </w:rPr>
        <w:t>, 2012. 920 p. ISBN 978-85-352-4555-4</w:t>
      </w:r>
      <w:r w:rsidR="00E07E93" w:rsidRPr="006B64E1">
        <w:rPr>
          <w:rFonts w:eastAsia="Roboto"/>
          <w:color w:val="222222"/>
          <w:highlight w:val="white"/>
        </w:rPr>
        <w:t>.</w:t>
      </w:r>
    </w:p>
    <w:p w:rsidR="00A0706A" w:rsidRPr="006B64E1" w:rsidRDefault="00C85466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 w:rsidRPr="006B64E1">
        <w:rPr>
          <w:color w:val="222222"/>
          <w:highlight w:val="white"/>
        </w:rPr>
        <w:t xml:space="preserve">TORTORA, GERARD J. </w:t>
      </w:r>
      <w:r w:rsidRPr="006B64E1">
        <w:rPr>
          <w:b/>
          <w:color w:val="222222"/>
          <w:highlight w:val="white"/>
        </w:rPr>
        <w:t>Princípios de anatomia e fisiologia</w:t>
      </w:r>
      <w:r w:rsidRPr="006B64E1">
        <w:rPr>
          <w:color w:val="222222"/>
          <w:highlight w:val="white"/>
        </w:rPr>
        <w:t xml:space="preserve"> / Gerard J. </w:t>
      </w:r>
      <w:proofErr w:type="spellStart"/>
      <w:r w:rsidRPr="006B64E1">
        <w:rPr>
          <w:color w:val="222222"/>
          <w:highlight w:val="white"/>
        </w:rPr>
        <w:t>Tortora</w:t>
      </w:r>
      <w:proofErr w:type="spellEnd"/>
      <w:r w:rsidRPr="006B64E1">
        <w:rPr>
          <w:color w:val="222222"/>
          <w:highlight w:val="white"/>
        </w:rPr>
        <w:t xml:space="preserve">, Bryan </w:t>
      </w:r>
      <w:proofErr w:type="spellStart"/>
      <w:r w:rsidRPr="006B64E1">
        <w:rPr>
          <w:color w:val="222222"/>
          <w:highlight w:val="white"/>
        </w:rPr>
        <w:t>Derrickson</w:t>
      </w:r>
      <w:proofErr w:type="spellEnd"/>
      <w:r w:rsidRPr="006B64E1">
        <w:rPr>
          <w:color w:val="222222"/>
          <w:highlight w:val="white"/>
        </w:rPr>
        <w:t xml:space="preserve">; </w:t>
      </w:r>
      <w:proofErr w:type="gramStart"/>
      <w:r w:rsidRPr="006B64E1">
        <w:rPr>
          <w:color w:val="222222"/>
          <w:highlight w:val="white"/>
        </w:rPr>
        <w:t>tradução</w:t>
      </w:r>
      <w:proofErr w:type="gramEnd"/>
      <w:r w:rsidRPr="006B64E1">
        <w:rPr>
          <w:color w:val="222222"/>
          <w:highlight w:val="white"/>
        </w:rPr>
        <w:t xml:space="preserve"> Ana Cavalcanti C. Botelho... [et al.]. – 14. ed. – Rio de Janeiro: Guanabara Koogan, 2016. </w:t>
      </w:r>
      <w:r w:rsidRPr="006B64E1">
        <w:rPr>
          <w:rFonts w:eastAsia="Roboto"/>
          <w:color w:val="222222"/>
          <w:highlight w:val="white"/>
        </w:rPr>
        <w:t>653 p. ISBN 978-85-277-2885-0.</w:t>
      </w:r>
    </w:p>
    <w:p w:rsidR="00A0706A" w:rsidRPr="006B64E1" w:rsidRDefault="00C85466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 w:rsidRPr="006B64E1">
        <w:rPr>
          <w:color w:val="222222"/>
          <w:highlight w:val="white"/>
        </w:rPr>
        <w:t xml:space="preserve">MICHEL, R.; WILKINSON, C.; RICE, T. </w:t>
      </w:r>
      <w:proofErr w:type="spellStart"/>
      <w:r w:rsidRPr="006B64E1">
        <w:rPr>
          <w:color w:val="222222"/>
          <w:highlight w:val="white"/>
        </w:rPr>
        <w:t>Retinal</w:t>
      </w:r>
      <w:proofErr w:type="spellEnd"/>
      <w:r w:rsidRPr="006B64E1">
        <w:rPr>
          <w:color w:val="222222"/>
          <w:highlight w:val="white"/>
        </w:rPr>
        <w:t xml:space="preserve"> </w:t>
      </w:r>
      <w:proofErr w:type="spellStart"/>
      <w:r w:rsidRPr="006B64E1">
        <w:rPr>
          <w:color w:val="222222"/>
          <w:highlight w:val="white"/>
        </w:rPr>
        <w:t>detachment</w:t>
      </w:r>
      <w:proofErr w:type="spellEnd"/>
      <w:r w:rsidRPr="006B64E1">
        <w:rPr>
          <w:color w:val="222222"/>
          <w:highlight w:val="white"/>
        </w:rPr>
        <w:t xml:space="preserve">. </w:t>
      </w:r>
      <w:proofErr w:type="spellStart"/>
      <w:r w:rsidRPr="006B64E1">
        <w:rPr>
          <w:b/>
          <w:color w:val="222222"/>
          <w:highlight w:val="white"/>
        </w:rPr>
        <w:t>St</w:t>
      </w:r>
      <w:proofErr w:type="spellEnd"/>
      <w:r w:rsidRPr="006B64E1">
        <w:rPr>
          <w:b/>
          <w:color w:val="222222"/>
          <w:highlight w:val="white"/>
        </w:rPr>
        <w:t xml:space="preserve"> Louis: CV </w:t>
      </w:r>
      <w:proofErr w:type="spellStart"/>
      <w:r w:rsidRPr="006B64E1">
        <w:rPr>
          <w:b/>
          <w:color w:val="222222"/>
          <w:highlight w:val="white"/>
        </w:rPr>
        <w:t>Mosby</w:t>
      </w:r>
      <w:proofErr w:type="spellEnd"/>
      <w:r w:rsidRPr="006B64E1">
        <w:rPr>
          <w:color w:val="222222"/>
          <w:highlight w:val="white"/>
        </w:rPr>
        <w:t>, v. 117, 1990.</w:t>
      </w:r>
    </w:p>
    <w:p w:rsidR="00A0706A" w:rsidRPr="006B64E1" w:rsidRDefault="00C85466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 w:rsidRPr="006B64E1">
        <w:rPr>
          <w:color w:val="222222"/>
          <w:highlight w:val="white"/>
        </w:rPr>
        <w:t xml:space="preserve">HARWERTH, Ronald S.; QUIGLEY, Harry A. Defeitos visuais de campo e perdas de células gânglios de retina em pacientes com glaucoma. </w:t>
      </w:r>
      <w:r w:rsidRPr="006B64E1">
        <w:rPr>
          <w:b/>
          <w:color w:val="222222"/>
          <w:highlight w:val="white"/>
        </w:rPr>
        <w:t>Arquivos de oftalmologia</w:t>
      </w:r>
      <w:r w:rsidRPr="006B64E1">
        <w:rPr>
          <w:color w:val="222222"/>
          <w:highlight w:val="white"/>
        </w:rPr>
        <w:t>, v. 124, n. 6, p. 853-859, 2006.</w:t>
      </w:r>
    </w:p>
    <w:p w:rsidR="00A0706A" w:rsidRPr="006B64E1" w:rsidRDefault="00C85466">
      <w:pPr>
        <w:numPr>
          <w:ilvl w:val="0"/>
          <w:numId w:val="1"/>
        </w:numPr>
        <w:spacing w:after="240" w:line="240" w:lineRule="auto"/>
        <w:rPr>
          <w:color w:val="222222"/>
          <w:highlight w:val="white"/>
        </w:rPr>
      </w:pPr>
      <w:r w:rsidRPr="006B64E1">
        <w:rPr>
          <w:color w:val="222222"/>
          <w:highlight w:val="white"/>
        </w:rPr>
        <w:t xml:space="preserve">D'AMICO, Donald J. </w:t>
      </w:r>
      <w:proofErr w:type="spellStart"/>
      <w:r w:rsidRPr="006B64E1">
        <w:rPr>
          <w:color w:val="222222"/>
          <w:highlight w:val="white"/>
        </w:rPr>
        <w:t>Primary</w:t>
      </w:r>
      <w:proofErr w:type="spellEnd"/>
      <w:r w:rsidRPr="006B64E1">
        <w:rPr>
          <w:color w:val="222222"/>
          <w:highlight w:val="white"/>
        </w:rPr>
        <w:t xml:space="preserve"> </w:t>
      </w:r>
      <w:proofErr w:type="spellStart"/>
      <w:r w:rsidRPr="006B64E1">
        <w:rPr>
          <w:color w:val="222222"/>
          <w:highlight w:val="white"/>
        </w:rPr>
        <w:t>retinal</w:t>
      </w:r>
      <w:proofErr w:type="spellEnd"/>
      <w:r w:rsidRPr="006B64E1">
        <w:rPr>
          <w:color w:val="222222"/>
          <w:highlight w:val="white"/>
        </w:rPr>
        <w:t xml:space="preserve"> </w:t>
      </w:r>
      <w:proofErr w:type="spellStart"/>
      <w:r w:rsidRPr="006B64E1">
        <w:rPr>
          <w:color w:val="222222"/>
          <w:highlight w:val="white"/>
        </w:rPr>
        <w:t>detachment</w:t>
      </w:r>
      <w:proofErr w:type="spellEnd"/>
      <w:r w:rsidRPr="006B64E1">
        <w:rPr>
          <w:color w:val="222222"/>
          <w:highlight w:val="white"/>
        </w:rPr>
        <w:t xml:space="preserve">. </w:t>
      </w:r>
      <w:r w:rsidRPr="006B64E1">
        <w:rPr>
          <w:b/>
          <w:color w:val="222222"/>
          <w:highlight w:val="white"/>
        </w:rPr>
        <w:t xml:space="preserve">New </w:t>
      </w:r>
      <w:proofErr w:type="spellStart"/>
      <w:r w:rsidRPr="006B64E1">
        <w:rPr>
          <w:b/>
          <w:color w:val="222222"/>
          <w:highlight w:val="white"/>
        </w:rPr>
        <w:t>England</w:t>
      </w:r>
      <w:proofErr w:type="spellEnd"/>
      <w:r w:rsidRPr="006B64E1">
        <w:rPr>
          <w:b/>
          <w:color w:val="222222"/>
          <w:highlight w:val="white"/>
        </w:rPr>
        <w:t xml:space="preserve"> </w:t>
      </w:r>
      <w:proofErr w:type="spellStart"/>
      <w:r w:rsidRPr="006B64E1">
        <w:rPr>
          <w:b/>
          <w:color w:val="222222"/>
          <w:highlight w:val="white"/>
        </w:rPr>
        <w:t>Journal</w:t>
      </w:r>
      <w:proofErr w:type="spellEnd"/>
      <w:r w:rsidRPr="006B64E1">
        <w:rPr>
          <w:b/>
          <w:color w:val="222222"/>
          <w:highlight w:val="white"/>
        </w:rPr>
        <w:t xml:space="preserve"> </w:t>
      </w:r>
      <w:proofErr w:type="spellStart"/>
      <w:proofErr w:type="gramStart"/>
      <w:r w:rsidRPr="006B64E1">
        <w:rPr>
          <w:b/>
          <w:color w:val="222222"/>
          <w:highlight w:val="white"/>
        </w:rPr>
        <w:t>of</w:t>
      </w:r>
      <w:proofErr w:type="spellEnd"/>
      <w:r w:rsidRPr="006B64E1">
        <w:rPr>
          <w:b/>
          <w:color w:val="222222"/>
          <w:highlight w:val="white"/>
        </w:rPr>
        <w:t xml:space="preserve"> Medicine</w:t>
      </w:r>
      <w:proofErr w:type="gramEnd"/>
      <w:r w:rsidRPr="006B64E1">
        <w:rPr>
          <w:color w:val="222222"/>
          <w:highlight w:val="white"/>
        </w:rPr>
        <w:t>, v. 359, n. 22, p. 2346-2354, 2008.</w:t>
      </w:r>
    </w:p>
    <w:p w:rsidR="00A0706A" w:rsidRPr="006B64E1" w:rsidRDefault="00A0706A">
      <w:pPr>
        <w:spacing w:line="240" w:lineRule="auto"/>
        <w:ind w:left="720"/>
        <w:rPr>
          <w:color w:val="222222"/>
          <w:highlight w:val="white"/>
        </w:rPr>
      </w:pPr>
    </w:p>
    <w:p w:rsidR="00A0706A" w:rsidRPr="006B64E1" w:rsidRDefault="00A0706A">
      <w:pPr>
        <w:spacing w:line="240" w:lineRule="auto"/>
        <w:ind w:left="720"/>
        <w:rPr>
          <w:color w:val="222222"/>
          <w:highlight w:val="white"/>
        </w:rPr>
      </w:pPr>
    </w:p>
    <w:p w:rsidR="00A0706A" w:rsidRPr="006B64E1" w:rsidRDefault="00A0706A">
      <w:pPr>
        <w:spacing w:line="240" w:lineRule="auto"/>
        <w:ind w:left="720"/>
        <w:rPr>
          <w:color w:val="222222"/>
          <w:highlight w:val="white"/>
        </w:rPr>
      </w:pPr>
    </w:p>
    <w:p w:rsidR="00A0706A" w:rsidRPr="006B64E1" w:rsidRDefault="00A0706A">
      <w:pPr>
        <w:spacing w:line="240" w:lineRule="auto"/>
        <w:ind w:left="720"/>
        <w:rPr>
          <w:color w:val="222222"/>
          <w:highlight w:val="white"/>
        </w:rPr>
      </w:pPr>
    </w:p>
    <w:p w:rsidR="00A0706A" w:rsidRPr="006B64E1" w:rsidRDefault="00A0706A">
      <w:pPr>
        <w:spacing w:after="160" w:line="240" w:lineRule="auto"/>
        <w:rPr>
          <w:b/>
        </w:rPr>
      </w:pPr>
    </w:p>
    <w:sectPr w:rsidR="00A0706A" w:rsidRPr="006B64E1" w:rsidSect="00B913E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59" w:rsidRDefault="00752459">
      <w:pPr>
        <w:spacing w:line="240" w:lineRule="auto"/>
      </w:pPr>
      <w:r>
        <w:separator/>
      </w:r>
    </w:p>
  </w:endnote>
  <w:endnote w:type="continuationSeparator" w:id="0">
    <w:p w:rsidR="00752459" w:rsidRDefault="00752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charset w:val="00"/>
    <w:family w:val="swiss"/>
    <w:pitch w:val="variable"/>
    <w:sig w:usb0="00000000" w:usb1="5200FDFF" w:usb2="0A042021" w:usb3="00000000" w:csb0="000001BF" w:csb1="00000000"/>
  </w:font>
  <w:font w:name="Rotis SemiSans Std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A" w:rsidRDefault="00C85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l="0" t="0" r="0" b="0"/>
              <wp:wrapNone/>
              <wp:docPr id="746732730" name="Retângulo 746732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A0706A" w:rsidRDefault="00A0706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46732730" o:spid="_x0000_s1026" style="position:absolute;left:0;text-align:left;margin-left:-34pt;margin-top:-1pt;width:489.3pt;height: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" fillcolor="#f7c02e" stroked="f">
              <v:textbox inset="2.53958mm,2.53958mm,2.53958mm,2.53958mm">
                <w:txbxContent>
                  <w:p w:rsidR="00A0706A" w:rsidRDefault="00A0706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A0706A" w:rsidRDefault="00A07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A" w:rsidRDefault="00C854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A0706A" w:rsidRDefault="00A07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59" w:rsidRDefault="00752459">
      <w:pPr>
        <w:spacing w:line="240" w:lineRule="auto"/>
      </w:pPr>
      <w:r>
        <w:separator/>
      </w:r>
    </w:p>
  </w:footnote>
  <w:footnote w:type="continuationSeparator" w:id="0">
    <w:p w:rsidR="00752459" w:rsidRDefault="00752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A" w:rsidRDefault="00A070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0"/>
      <w:tblW w:w="9084" w:type="dxa"/>
      <w:tblInd w:w="0" w:type="dxa"/>
      <w:tblLayout w:type="fixed"/>
      <w:tblLook w:val="0600" w:firstRow="0" w:lastRow="0" w:firstColumn="0" w:lastColumn="0" w:noHBand="1" w:noVBand="1"/>
    </w:tblPr>
    <w:tblGrid>
      <w:gridCol w:w="3028"/>
      <w:gridCol w:w="3028"/>
      <w:gridCol w:w="3028"/>
    </w:tblGrid>
    <w:tr w:rsidR="00A0706A" w:rsidTr="00CB2A36">
      <w:trPr>
        <w:trHeight w:val="997"/>
      </w:trPr>
      <w:tc>
        <w:tcPr>
          <w:tcW w:w="3028" w:type="dxa"/>
        </w:tcPr>
        <w:p w:rsidR="00A0706A" w:rsidRDefault="00A070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3028" w:type="dxa"/>
        </w:tcPr>
        <w:p w:rsidR="00A0706A" w:rsidRDefault="00C85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</w:tcPr>
        <w:p w:rsidR="00A0706A" w:rsidRDefault="00A070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A0706A" w:rsidRDefault="00A07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A" w:rsidRDefault="00C85466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A31"/>
    <w:multiLevelType w:val="multilevel"/>
    <w:tmpl w:val="10BE9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A"/>
    <w:rsid w:val="00546944"/>
    <w:rsid w:val="006B64E1"/>
    <w:rsid w:val="00752459"/>
    <w:rsid w:val="00767EC6"/>
    <w:rsid w:val="009938F5"/>
    <w:rsid w:val="00A0706A"/>
    <w:rsid w:val="00B913EF"/>
    <w:rsid w:val="00C85466"/>
    <w:rsid w:val="00CB2A36"/>
    <w:rsid w:val="00E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D8BEF-2EA8-4B90-8EE9-C56A85B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TemPe6m/5WXHTb62Q8DFmL4+w==">AMUW2mW25R47jo3FzvuK0psNxZs8SIJuUj18AsH9q4Ua23odeF8iBug0nMwDJY0bOKyyBe0Uj2vh1YFBMteMG0Ty88IOEXkz/bjwFhXmNysEVkt3z1hN1gI=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EE2113-ADE7-4BC3-8ABB-0F1953B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Ivo</cp:lastModifiedBy>
  <cp:revision>7</cp:revision>
  <dcterms:created xsi:type="dcterms:W3CDTF">2022-09-23T15:20:00Z</dcterms:created>
  <dcterms:modified xsi:type="dcterms:W3CDTF">2022-10-19T23:54:00Z</dcterms:modified>
</cp:coreProperties>
</file>