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E01C" w14:textId="77777777" w:rsidR="00E153D0" w:rsidRDefault="00E153D0" w:rsidP="00E153D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3D0">
        <w:rPr>
          <w:rFonts w:ascii="Times New Roman" w:eastAsia="Times New Roman" w:hAnsi="Times New Roman" w:cs="Times New Roman"/>
          <w:b/>
          <w:bCs/>
          <w:sz w:val="24"/>
          <w:szCs w:val="24"/>
        </w:rPr>
        <w:t>Avaliação da sobrecarga dos cuidadores de crianças diagnosticadas com câncer: revisão de literatura</w:t>
      </w:r>
    </w:p>
    <w:p w14:paraId="3A4D2630" w14:textId="77777777" w:rsidR="001A3984" w:rsidRPr="00E153D0" w:rsidRDefault="001A3984" w:rsidP="00E153D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7ED93" w14:textId="77777777" w:rsidR="00E153D0" w:rsidRPr="00E153D0" w:rsidRDefault="00E153D0" w:rsidP="00E1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3D0">
        <w:rPr>
          <w:rFonts w:ascii="Times New Roman" w:hAnsi="Times New Roman" w:cs="Times New Roman"/>
          <w:sz w:val="24"/>
          <w:szCs w:val="24"/>
        </w:rPr>
        <w:t xml:space="preserve">Tuanny Monte Brito¹*;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Alyson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Samuel de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Braga¹; Isabela Cristina de Araújo Monte²; </w:t>
      </w:r>
    </w:p>
    <w:p w14:paraId="1A31E411" w14:textId="77777777" w:rsidR="00E153D0" w:rsidRPr="00E153D0" w:rsidRDefault="00E153D0" w:rsidP="00E153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Pernambuco. Faculdade de Enfermagem Nossa Senhora das Graças, Curso de Enfermagem – Recife – </w:t>
      </w:r>
      <w:proofErr w:type="gramStart"/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</w:t>
      </w:r>
      <w:proofErr w:type="gramEnd"/>
    </w:p>
    <w:p w14:paraId="0707147B" w14:textId="77777777" w:rsidR="00E153D0" w:rsidRPr="00E153D0" w:rsidRDefault="00E153D0" w:rsidP="00E153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Salgado de Oliveira, Enfermeira. Recife – PE</w:t>
      </w:r>
    </w:p>
    <w:p w14:paraId="35A95DEB" w14:textId="77777777" w:rsidR="00E153D0" w:rsidRPr="00E153D0" w:rsidRDefault="00E153D0" w:rsidP="00E153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15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E153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tuannymonte@hotmail.com</w:t>
        </w:r>
      </w:hyperlink>
    </w:p>
    <w:p w14:paraId="7A604584" w14:textId="77777777" w:rsidR="00DB4524" w:rsidRPr="00E153D0" w:rsidRDefault="00DB4524" w:rsidP="00E153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EAA94" w14:textId="2EAD9C64" w:rsidR="00E153D0" w:rsidRDefault="00E153D0" w:rsidP="001A39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153D0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Introdução: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O câncer é considerado como uma doença das mais debilitantes e agressivas, definida como um processo de multiplicação de células anormais. Não costuma ser frequente em crianças além de que, nesse caso, costuma apresentar sintomatologia bastante inespecífica. Quando se define o quadro clínico e o tratamento é iniciado, uma série de mudanças acontece desde o aspecto social, físico e até mesmo psicológico. O medo e a insegurança, além de grandes interferências na rotina, alimentação ou mesmo ocorrência de episódios depressivos começam a ser cada vez mais frequentes. O tratamento que embora objetiva viabilizar melhor recuperação e regressão da doença, vem acompanhado de uma gama de efeitos colaterais. Num contexto como esse, a família da criança compartilha inevitavelmente do processo, absorvendo impactos trazidos pelo câncer, dentre os quais a sobrecarga do cuidado prestado à criança.</w:t>
      </w:r>
      <w:r w:rsidRPr="00E1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Objetivo: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Avaliar a sobrecarga </w:t>
      </w:r>
      <w:proofErr w:type="spellStart"/>
      <w:r w:rsidRPr="00E153D0">
        <w:rPr>
          <w:rFonts w:ascii="Times New Roman" w:eastAsia="Times New Roman" w:hAnsi="Times New Roman" w:cs="Times New Roman"/>
          <w:sz w:val="24"/>
          <w:szCs w:val="24"/>
        </w:rPr>
        <w:t>experienciada</w:t>
      </w:r>
      <w:proofErr w:type="spellEnd"/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por cuidadores de crianças com câncer e seus fatores associados. </w:t>
      </w:r>
      <w:r w:rsidRPr="00E153D0">
        <w:rPr>
          <w:rFonts w:ascii="Times New Roman" w:eastAsia="Times New Roman" w:hAnsi="Times New Roman" w:cs="Times New Roman"/>
          <w:b/>
          <w:bCs/>
          <w:sz w:val="24"/>
          <w:szCs w:val="24"/>
        </w:rPr>
        <w:t>Métodos: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Trata-se de uma revisão de literatura, elaborada em setembro de 2020, utilizando </w:t>
      </w:r>
      <w:proofErr w:type="gramStart"/>
      <w:r w:rsidRPr="00E153D0">
        <w:rPr>
          <w:rFonts w:ascii="Times New Roman" w:eastAsia="Times New Roman" w:hAnsi="Times New Roman" w:cs="Times New Roman"/>
          <w:sz w:val="24"/>
          <w:szCs w:val="24"/>
        </w:rPr>
        <w:t>as bases de dados Latino-Americano</w:t>
      </w:r>
      <w:proofErr w:type="gramEnd"/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e do Caribe de Informação em Ciências da Saúde (LILACS) e </w:t>
      </w:r>
      <w:r w:rsidRPr="00E153D0">
        <w:rPr>
          <w:rFonts w:ascii="Times New Roman" w:eastAsia="Times New Roman" w:hAnsi="Times New Roman" w:cs="Times New Roman"/>
          <w:color w:val="252525"/>
          <w:sz w:val="24"/>
          <w:szCs w:val="24"/>
        </w:rPr>
        <w:t>Base de Dados Enfermagem (BDENF)</w:t>
      </w:r>
      <w:r w:rsidR="001A3984">
        <w:rPr>
          <w:rFonts w:ascii="Times New Roman" w:eastAsia="Times New Roman" w:hAnsi="Times New Roman" w:cs="Times New Roman"/>
          <w:color w:val="252525"/>
          <w:sz w:val="24"/>
          <w:szCs w:val="24"/>
        </w:rPr>
        <w:t>, com os descritores Criança, Câncer e Cuidadores</w:t>
      </w:r>
      <w:r w:rsidRPr="00E153D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Foram definidos como critérios de inclusão: artigos cient</w:t>
      </w:r>
      <w:r w:rsidR="00C34993">
        <w:rPr>
          <w:rFonts w:ascii="Times New Roman" w:eastAsia="Times New Roman" w:hAnsi="Times New Roman" w:cs="Times New Roman"/>
          <w:sz w:val="24"/>
          <w:szCs w:val="24"/>
        </w:rPr>
        <w:t>íficos publicados em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português e espanhol, com recorte temporal de publicação entre 2015 a 2020. </w:t>
      </w:r>
      <w:r w:rsidRPr="00E1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Resultados: 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Dos 18 artigos obtidos na LILACS, dois foram excluídos por se tratarem de dissertação; Nos resultados, foi percebido que </w:t>
      </w:r>
      <w:proofErr w:type="gramStart"/>
      <w:r w:rsidRPr="00E153D0">
        <w:rPr>
          <w:rFonts w:ascii="Times New Roman" w:eastAsia="Times New Roman" w:hAnsi="Times New Roman" w:cs="Times New Roman"/>
          <w:sz w:val="24"/>
          <w:szCs w:val="24"/>
        </w:rPr>
        <w:t>estresse,</w:t>
      </w:r>
      <w:proofErr w:type="gramEnd"/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alterações nos padrões nutricionais, tensão do papel de cuidador e medo prevaleceram nas queixas dos familiares e responsáveis. Referente ao perfil, o sexo predominante dos acompanhant</w:t>
      </w:r>
      <w:r w:rsidR="001A3984">
        <w:rPr>
          <w:rFonts w:ascii="Times New Roman" w:eastAsia="Times New Roman" w:hAnsi="Times New Roman" w:cs="Times New Roman"/>
          <w:sz w:val="24"/>
          <w:szCs w:val="24"/>
        </w:rPr>
        <w:t xml:space="preserve">es foi o feminino, mulheres 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casadas, </w:t>
      </w:r>
      <w:r w:rsidR="001A3984">
        <w:rPr>
          <w:rFonts w:ascii="Times New Roman" w:eastAsia="Times New Roman" w:hAnsi="Times New Roman" w:cs="Times New Roman"/>
          <w:sz w:val="24"/>
          <w:szCs w:val="24"/>
        </w:rPr>
        <w:t xml:space="preserve">que não trabalhavam para 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poder dedicar-se exclusivamente ao seu familiar. </w:t>
      </w:r>
      <w:r w:rsidR="001A3984">
        <w:rPr>
          <w:rFonts w:ascii="Times New Roman" w:eastAsia="Times New Roman" w:hAnsi="Times New Roman" w:cs="Times New Roman"/>
          <w:sz w:val="24"/>
          <w:szCs w:val="24"/>
        </w:rPr>
        <w:t xml:space="preserve">Apesar de mostrar 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ser um agravante na qualidade de vida. Por outro lado, um dos principais fatores que contribuíram para uma menor sensação de tensão foi ter um acesso melhorado para 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orientações referentes à como cuidar das crianças. Além disto, dividir com outro parente as responsabilidades inerentes </w:t>
      </w:r>
      <w:proofErr w:type="gramStart"/>
      <w:r w:rsidRPr="00E153D0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tarefas do dia a dia, também foi benéfico. Um fator que exacerba o nível de estresse, segundo os resultados avaliados, foi </w:t>
      </w:r>
      <w:proofErr w:type="gramStart"/>
      <w:r w:rsidRPr="00E153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questão da distância entre a moradia da família e do local da unidade de acompanh</w:t>
      </w:r>
      <w:r w:rsidR="00C34993">
        <w:rPr>
          <w:rFonts w:ascii="Times New Roman" w:eastAsia="Times New Roman" w:hAnsi="Times New Roman" w:cs="Times New Roman"/>
          <w:sz w:val="24"/>
          <w:szCs w:val="24"/>
        </w:rPr>
        <w:t xml:space="preserve">amento da criança, essa </w:t>
      </w:r>
      <w:proofErr w:type="spellStart"/>
      <w:r w:rsidR="00C34993">
        <w:rPr>
          <w:rFonts w:ascii="Times New Roman" w:eastAsia="Times New Roman" w:hAnsi="Times New Roman" w:cs="Times New Roman"/>
          <w:sz w:val="24"/>
          <w:szCs w:val="24"/>
        </w:rPr>
        <w:t>aproximidade</w:t>
      </w:r>
      <w:proofErr w:type="spellEnd"/>
      <w:r w:rsidR="00C34993">
        <w:rPr>
          <w:rFonts w:ascii="Times New Roman" w:eastAsia="Times New Roman" w:hAnsi="Times New Roman" w:cs="Times New Roman"/>
          <w:sz w:val="24"/>
          <w:szCs w:val="24"/>
        </w:rPr>
        <w:t xml:space="preserve"> viabiliza o fortalecimento da rede de apoio, fator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 xml:space="preserve"> condicionante para a diminuição da sobrecarga do cuidador. Vale salientar que aspecto socioeconômico também se mostra associado a maior ou menor vulnerabilidade do cuidador, ou seja, quanto menor a renda, maior se torna a sobrecarga e menor é a qualidade de vida dos cuidadores e familiares. </w:t>
      </w:r>
      <w:r w:rsidRPr="00E1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Conclusão: </w:t>
      </w:r>
      <w:r w:rsidRPr="00E153D0">
        <w:rPr>
          <w:rFonts w:ascii="Times New Roman" w:eastAsia="Times New Roman" w:hAnsi="Times New Roman" w:cs="Times New Roman"/>
          <w:sz w:val="24"/>
          <w:szCs w:val="24"/>
        </w:rPr>
        <w:t>Percebeu-se que muitos cuidadores e familiares partilham das dificuldades vividas pelas crianças sob sua tutela. A sobrecarga é um problema real, cujos reflexos podem ser aferidos através dos níveis de qualidade de vida e de saúde, no qual deve ser minimizado em conjunto aos profissionais de saúde de forma multiprofissional. O diagnóstico da doença altera toda a estrutura familiar, e sentir-se apoiado nesse difícil momento é extremamente importante para o indivíduo doente, mas também seus familiares.</w:t>
      </w:r>
    </w:p>
    <w:bookmarkEnd w:id="0"/>
    <w:p w14:paraId="0DF28101" w14:textId="0B11D20F" w:rsidR="001A3984" w:rsidRDefault="001A3984" w:rsidP="001A39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84"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984">
        <w:rPr>
          <w:rFonts w:ascii="Times New Roman" w:eastAsia="Times New Roman" w:hAnsi="Times New Roman" w:cs="Times New Roman"/>
          <w:sz w:val="24"/>
          <w:szCs w:val="24"/>
        </w:rPr>
        <w:t>Criança; Câncer; Cuidadores.</w:t>
      </w:r>
    </w:p>
    <w:p w14:paraId="05DAA065" w14:textId="77777777" w:rsidR="001A3984" w:rsidRPr="001A3984" w:rsidRDefault="001A3984" w:rsidP="001A39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DE83F" w14:textId="2E6B531A" w:rsidR="00164781" w:rsidRPr="00E153D0" w:rsidRDefault="003A0652" w:rsidP="00E153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3D0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E153D0" w:rsidRPr="00E153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0A1B9B" w14:textId="3C62C50A" w:rsidR="00E153D0" w:rsidRPr="00E153D0" w:rsidRDefault="00E153D0" w:rsidP="00E153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D0">
        <w:rPr>
          <w:rFonts w:ascii="Times New Roman" w:hAnsi="Times New Roman" w:cs="Times New Roman"/>
          <w:sz w:val="24"/>
          <w:szCs w:val="24"/>
        </w:rPr>
        <w:t xml:space="preserve">ROCHA </w:t>
      </w:r>
      <w:proofErr w:type="gramStart"/>
      <w:r w:rsidRPr="00E153D0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r w:rsidRPr="00E153D0">
        <w:rPr>
          <w:rFonts w:ascii="Times New Roman" w:hAnsi="Times New Roman" w:cs="Times New Roman"/>
          <w:i/>
          <w:sz w:val="24"/>
          <w:szCs w:val="24"/>
        </w:rPr>
        <w:t>et al</w:t>
      </w:r>
      <w:r w:rsidRPr="00E153D0">
        <w:rPr>
          <w:rFonts w:ascii="Times New Roman" w:hAnsi="Times New Roman" w:cs="Times New Roman"/>
          <w:sz w:val="24"/>
          <w:szCs w:val="24"/>
        </w:rPr>
        <w:t xml:space="preserve">. Social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câncer.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Rev</w:t>
      </w:r>
      <w:proofErr w:type="spellEnd"/>
      <w:r w:rsidRPr="00C34993">
        <w:rPr>
          <w:rFonts w:ascii="Times New Roman" w:hAnsi="Times New Roman" w:cs="Times New Roman"/>
          <w:b/>
          <w:sz w:val="24"/>
          <w:szCs w:val="24"/>
        </w:rPr>
        <w:t xml:space="preserve"> Gaúcha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Enferm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[Internet]. 2016</w:t>
      </w:r>
    </w:p>
    <w:p w14:paraId="3CD1E2D9" w14:textId="1EBAA40F" w:rsidR="00E153D0" w:rsidRPr="00E153D0" w:rsidRDefault="00E153D0" w:rsidP="00E153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D0">
        <w:rPr>
          <w:rFonts w:ascii="Times New Roman" w:hAnsi="Times New Roman" w:cs="Times New Roman"/>
          <w:sz w:val="24"/>
          <w:szCs w:val="24"/>
        </w:rPr>
        <w:t xml:space="preserve">SALJUGHI M. </w:t>
      </w:r>
      <w:proofErr w:type="gramStart"/>
      <w:r w:rsidRPr="00E153D0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E153D0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Pr="00E15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SelfEncouragement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Imam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Ali Hospital,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Zahedan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>, In 2015</w:t>
      </w:r>
      <w:r w:rsidRPr="00C349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Asian</w:t>
      </w:r>
      <w:proofErr w:type="spellEnd"/>
      <w:r w:rsidRPr="00C34993">
        <w:rPr>
          <w:rFonts w:ascii="Times New Roman" w:hAnsi="Times New Roman" w:cs="Times New Roman"/>
          <w:b/>
          <w:sz w:val="24"/>
          <w:szCs w:val="24"/>
        </w:rPr>
        <w:t xml:space="preserve"> Pacific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C34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34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  <w:r w:rsidRPr="00C34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Prevention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[Internet]. 2017</w:t>
      </w:r>
    </w:p>
    <w:p w14:paraId="5693AA41" w14:textId="457713AA" w:rsidR="00E153D0" w:rsidRPr="00E153D0" w:rsidRDefault="00E153D0" w:rsidP="00E153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3D0">
        <w:rPr>
          <w:rFonts w:ascii="Times New Roman" w:hAnsi="Times New Roman" w:cs="Times New Roman"/>
          <w:sz w:val="24"/>
          <w:szCs w:val="24"/>
        </w:rPr>
        <w:t xml:space="preserve">GUIRADO G. </w:t>
      </w:r>
      <w:proofErr w:type="gramStart"/>
      <w:r w:rsidRPr="00E153D0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E153D0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Pr="00E153D0">
        <w:rPr>
          <w:rFonts w:ascii="Times New Roman" w:hAnsi="Times New Roman" w:cs="Times New Roman"/>
          <w:sz w:val="24"/>
          <w:szCs w:val="24"/>
        </w:rPr>
        <w:t xml:space="preserve"> Uso do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SelfReporting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0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(SRQ-20) para determinação dos sintomas físicos e psicoemocionais em funcionários de uma indústria metalúrgica do Vale do Paraíba/SP. </w:t>
      </w:r>
      <w:proofErr w:type="spellStart"/>
      <w:proofErr w:type="gramStart"/>
      <w:r w:rsidRPr="00C34993">
        <w:rPr>
          <w:rFonts w:ascii="Times New Roman" w:hAnsi="Times New Roman" w:cs="Times New Roman"/>
          <w:b/>
          <w:sz w:val="24"/>
          <w:szCs w:val="24"/>
        </w:rPr>
        <w:t>Cad</w:t>
      </w:r>
      <w:proofErr w:type="spellEnd"/>
      <w:proofErr w:type="gramEnd"/>
      <w:r w:rsidRPr="00C34993">
        <w:rPr>
          <w:rFonts w:ascii="Times New Roman" w:hAnsi="Times New Roman" w:cs="Times New Roman"/>
          <w:b/>
          <w:sz w:val="24"/>
          <w:szCs w:val="24"/>
        </w:rPr>
        <w:t xml:space="preserve"> Saúde </w:t>
      </w:r>
      <w:proofErr w:type="spellStart"/>
      <w:r w:rsidRPr="00C34993">
        <w:rPr>
          <w:rFonts w:ascii="Times New Roman" w:hAnsi="Times New Roman" w:cs="Times New Roman"/>
          <w:b/>
          <w:sz w:val="24"/>
          <w:szCs w:val="24"/>
        </w:rPr>
        <w:t>Colet</w:t>
      </w:r>
      <w:proofErr w:type="spellEnd"/>
      <w:r w:rsidRPr="00E153D0">
        <w:rPr>
          <w:rFonts w:ascii="Times New Roman" w:hAnsi="Times New Roman" w:cs="Times New Roman"/>
          <w:sz w:val="24"/>
          <w:szCs w:val="24"/>
        </w:rPr>
        <w:t xml:space="preserve"> [Internet]. 2016</w:t>
      </w:r>
    </w:p>
    <w:p w14:paraId="7462F848" w14:textId="50C1C890" w:rsidR="004A32BC" w:rsidRPr="00E153D0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E153D0" w:rsidSect="00DB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1679C" w14:textId="77777777" w:rsidR="002B17D4" w:rsidRDefault="002B17D4" w:rsidP="00343A77">
      <w:pPr>
        <w:spacing w:after="0" w:line="240" w:lineRule="auto"/>
      </w:pPr>
      <w:r>
        <w:separator/>
      </w:r>
    </w:p>
  </w:endnote>
  <w:endnote w:type="continuationSeparator" w:id="0">
    <w:p w14:paraId="6F758CB9" w14:textId="77777777" w:rsidR="002B17D4" w:rsidRDefault="002B17D4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5E4B" w14:textId="77777777" w:rsidR="002B17D4" w:rsidRDefault="002B17D4" w:rsidP="00343A77">
      <w:pPr>
        <w:spacing w:after="0" w:line="240" w:lineRule="auto"/>
      </w:pPr>
      <w:r>
        <w:separator/>
      </w:r>
    </w:p>
  </w:footnote>
  <w:footnote w:type="continuationSeparator" w:id="0">
    <w:p w14:paraId="435DEB81" w14:textId="77777777" w:rsidR="002B17D4" w:rsidRDefault="002B17D4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2B17D4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2B17D4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2B17D4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A3984"/>
    <w:rsid w:val="001C574E"/>
    <w:rsid w:val="002471C3"/>
    <w:rsid w:val="00266FC4"/>
    <w:rsid w:val="002725D9"/>
    <w:rsid w:val="00280B8E"/>
    <w:rsid w:val="002B17D4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720D0"/>
    <w:rsid w:val="00B81803"/>
    <w:rsid w:val="00B82666"/>
    <w:rsid w:val="00B97B0B"/>
    <w:rsid w:val="00BA6C5C"/>
    <w:rsid w:val="00BD3375"/>
    <w:rsid w:val="00BF0C45"/>
    <w:rsid w:val="00BF2D44"/>
    <w:rsid w:val="00C072EE"/>
    <w:rsid w:val="00C34993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153D0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nnymonte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BE6E-D62F-413E-BEB6-AF34300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Tuanny Monte Brito</cp:lastModifiedBy>
  <cp:revision>4</cp:revision>
  <dcterms:created xsi:type="dcterms:W3CDTF">2020-09-17T00:11:00Z</dcterms:created>
  <dcterms:modified xsi:type="dcterms:W3CDTF">2020-09-17T01:43:00Z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