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645B" w14:textId="0E94419F" w:rsidR="00390C0D" w:rsidRPr="00390C0D" w:rsidRDefault="00390C0D" w:rsidP="00892CA9">
      <w:pPr>
        <w:tabs>
          <w:tab w:val="left" w:pos="5955"/>
        </w:tabs>
        <w:ind w:firstLine="0"/>
      </w:pPr>
    </w:p>
    <w:p w14:paraId="2591950B" w14:textId="68A629A1" w:rsidR="009B4393" w:rsidRPr="008F3891" w:rsidRDefault="008562B7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5143EC0" w14:textId="4180A3A4" w:rsidR="000B3107" w:rsidRDefault="000B3107" w:rsidP="00026BCD">
      <w:pPr>
        <w:jc w:val="center"/>
        <w:rPr>
          <w:rFonts w:ascii="Arial" w:hAnsi="Arial" w:cs="Arial"/>
          <w:sz w:val="24"/>
          <w:szCs w:val="24"/>
        </w:rPr>
      </w:pP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5EB4D84D" w14:textId="11695300" w:rsidR="0491D5EE" w:rsidRPr="001F6136" w:rsidRDefault="2BF74FE8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Grupo de Trabalho (GT): </w:t>
      </w:r>
      <w:r w:rsidR="00C8647D">
        <w:rPr>
          <w:rFonts w:ascii="Arial" w:hAnsi="Arial" w:cs="Arial"/>
          <w:sz w:val="24"/>
          <w:szCs w:val="24"/>
        </w:rPr>
        <w:t>8 – Novas Tecnologias na Educação</w:t>
      </w:r>
    </w:p>
    <w:p w14:paraId="6990960F" w14:textId="510B201E" w:rsidR="0491D5EE" w:rsidRPr="001F6136" w:rsidRDefault="0491D5EE" w:rsidP="001F6136">
      <w:pPr>
        <w:rPr>
          <w:rFonts w:ascii="Arial" w:hAnsi="Arial" w:cs="Arial"/>
          <w:sz w:val="24"/>
          <w:szCs w:val="24"/>
        </w:rPr>
      </w:pPr>
    </w:p>
    <w:p w14:paraId="7E19E27C" w14:textId="10A1F142" w:rsidR="00251815" w:rsidRPr="001F6136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Modalidade d</w:t>
      </w:r>
      <w:r w:rsidR="64F49340" w:rsidRPr="001F6136">
        <w:rPr>
          <w:rFonts w:ascii="Arial" w:hAnsi="Arial" w:cs="Arial"/>
          <w:sz w:val="24"/>
          <w:szCs w:val="24"/>
        </w:rPr>
        <w:t xml:space="preserve">o </w:t>
      </w:r>
      <w:r w:rsidR="52EB1B39" w:rsidRPr="001F6136">
        <w:rPr>
          <w:rFonts w:ascii="Arial" w:hAnsi="Arial" w:cs="Arial"/>
          <w:sz w:val="24"/>
          <w:szCs w:val="24"/>
        </w:rPr>
        <w:t>trabalho</w:t>
      </w:r>
      <w:r w:rsidR="5A2C2FA2" w:rsidRPr="001F6136">
        <w:rPr>
          <w:rFonts w:ascii="Arial" w:hAnsi="Arial" w:cs="Arial"/>
          <w:sz w:val="24"/>
          <w:szCs w:val="24"/>
        </w:rPr>
        <w:t>:</w:t>
      </w:r>
      <w:r w:rsidR="261990A4" w:rsidRPr="001F6136">
        <w:rPr>
          <w:rFonts w:ascii="Arial" w:hAnsi="Arial" w:cs="Arial"/>
          <w:sz w:val="24"/>
          <w:szCs w:val="24"/>
        </w:rPr>
        <w:t xml:space="preserve"> [</w:t>
      </w:r>
      <w:r w:rsidR="052D4632" w:rsidRPr="001F6136">
        <w:rPr>
          <w:rFonts w:ascii="Arial" w:hAnsi="Arial" w:cs="Arial"/>
          <w:sz w:val="24"/>
          <w:szCs w:val="24"/>
        </w:rPr>
        <w:t>comunicação</w:t>
      </w:r>
      <w:r w:rsidR="1427526F" w:rsidRPr="001F6136">
        <w:rPr>
          <w:rFonts w:ascii="Arial" w:hAnsi="Arial" w:cs="Arial"/>
          <w:sz w:val="24"/>
          <w:szCs w:val="24"/>
        </w:rPr>
        <w:t xml:space="preserve"> oral</w:t>
      </w:r>
      <w:r w:rsidR="261990A4" w:rsidRPr="001F6136">
        <w:rPr>
          <w:rFonts w:ascii="Arial" w:hAnsi="Arial" w:cs="Arial"/>
          <w:sz w:val="24"/>
          <w:szCs w:val="24"/>
        </w:rPr>
        <w:t>]</w:t>
      </w:r>
    </w:p>
    <w:p w14:paraId="76D235B2" w14:textId="580693E4" w:rsidR="77D603DC" w:rsidRPr="001F6136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2FB124AE" w:rsidR="110062EF" w:rsidRPr="001F6136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Formato de apresentação: [presencial]</w:t>
      </w:r>
    </w:p>
    <w:p w14:paraId="5191CADF" w14:textId="5F803C52" w:rsidR="0491D5EE" w:rsidRDefault="0491D5EE" w:rsidP="00E73320">
      <w:pPr>
        <w:pStyle w:val="Texto"/>
      </w:pPr>
    </w:p>
    <w:p w14:paraId="5A1B1E66" w14:textId="0D07DA59" w:rsidR="78AE189E" w:rsidRPr="00C8647D" w:rsidRDefault="00C8647D" w:rsidP="003B3B70">
      <w:pPr>
        <w:spacing w:line="360" w:lineRule="auto"/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  <w:r w:rsidRPr="00C8647D">
        <w:rPr>
          <w:rFonts w:ascii="Arial" w:hAnsi="Arial" w:cs="Arial"/>
          <w:b/>
          <w:bCs/>
          <w:sz w:val="24"/>
          <w:szCs w:val="24"/>
        </w:rPr>
        <w:t xml:space="preserve">TECNOLOGIAS </w:t>
      </w:r>
      <w:r w:rsidR="00376646">
        <w:rPr>
          <w:rFonts w:ascii="Arial" w:hAnsi="Arial" w:cs="Arial"/>
          <w:b/>
          <w:bCs/>
          <w:sz w:val="24"/>
          <w:szCs w:val="24"/>
        </w:rPr>
        <w:t>DO VÍDEO</w:t>
      </w:r>
      <w:r w:rsidRPr="00C8647D">
        <w:rPr>
          <w:rFonts w:ascii="Arial" w:hAnsi="Arial" w:cs="Arial"/>
          <w:b/>
          <w:bCs/>
          <w:sz w:val="24"/>
          <w:szCs w:val="24"/>
        </w:rPr>
        <w:t xml:space="preserve"> NA CURRICULARIZAÇÃO DA EXTENSÃO </w:t>
      </w:r>
      <w:r w:rsidR="003B3B70">
        <w:rPr>
          <w:rFonts w:ascii="Arial" w:hAnsi="Arial" w:cs="Arial"/>
          <w:b/>
          <w:bCs/>
          <w:sz w:val="24"/>
          <w:szCs w:val="24"/>
        </w:rPr>
        <w:t>NO ENSINO DE</w:t>
      </w:r>
      <w:r w:rsidRPr="00C8647D">
        <w:rPr>
          <w:rFonts w:ascii="Arial" w:hAnsi="Arial" w:cs="Arial"/>
          <w:b/>
          <w:bCs/>
          <w:sz w:val="24"/>
          <w:szCs w:val="24"/>
        </w:rPr>
        <w:t xml:space="preserve"> PUBLICIDADE E PROPAGANDA</w:t>
      </w:r>
    </w:p>
    <w:p w14:paraId="7DC4BC66" w14:textId="45D29196" w:rsidR="00A161E5" w:rsidRPr="00E6200E" w:rsidRDefault="00C8647D" w:rsidP="004C446D">
      <w:pPr>
        <w:pStyle w:val="Autoria"/>
        <w:rPr>
          <w:sz w:val="24"/>
        </w:rPr>
      </w:pPr>
      <w:r w:rsidRPr="00E6200E">
        <w:rPr>
          <w:sz w:val="24"/>
        </w:rPr>
        <w:t>Rafael José Bona</w:t>
      </w:r>
      <w:r w:rsidR="00A161E5" w:rsidRPr="00E6200E">
        <w:rPr>
          <w:sz w:val="24"/>
          <w:vertAlign w:val="superscript"/>
        </w:rPr>
        <w:footnoteReference w:id="1"/>
      </w:r>
    </w:p>
    <w:p w14:paraId="26B4B1F4" w14:textId="159013E1" w:rsidR="00A161E5" w:rsidRPr="00E6200E" w:rsidRDefault="00C8647D" w:rsidP="004C446D">
      <w:pPr>
        <w:pStyle w:val="Autoria"/>
        <w:rPr>
          <w:sz w:val="24"/>
        </w:rPr>
      </w:pPr>
      <w:r w:rsidRPr="00E6200E">
        <w:rPr>
          <w:sz w:val="24"/>
        </w:rPr>
        <w:t>Leandro Werner Ribeiro</w:t>
      </w:r>
      <w:r w:rsidR="00A161E5" w:rsidRPr="00E6200E">
        <w:rPr>
          <w:rStyle w:val="Refdenotaderodap"/>
          <w:sz w:val="24"/>
        </w:rPr>
        <w:footnoteReference w:id="2"/>
      </w:r>
      <w:r w:rsidR="00A161E5" w:rsidRPr="00E6200E">
        <w:rPr>
          <w:sz w:val="24"/>
        </w:rPr>
        <w:t xml:space="preserve"> </w:t>
      </w:r>
    </w:p>
    <w:p w14:paraId="2C83ACE6" w14:textId="6979ACEB" w:rsidR="00A161E5" w:rsidRPr="00E6200E" w:rsidRDefault="00E6200E" w:rsidP="004C446D">
      <w:pPr>
        <w:pStyle w:val="Autoria"/>
        <w:rPr>
          <w:sz w:val="24"/>
        </w:rPr>
      </w:pPr>
      <w:r w:rsidRPr="00E6200E">
        <w:rPr>
          <w:rFonts w:eastAsia="Arial"/>
          <w:sz w:val="24"/>
        </w:rPr>
        <w:t xml:space="preserve">Maria Vitória </w:t>
      </w:r>
      <w:proofErr w:type="spellStart"/>
      <w:r w:rsidRPr="00E6200E">
        <w:rPr>
          <w:rFonts w:eastAsia="Arial"/>
          <w:sz w:val="24"/>
        </w:rPr>
        <w:t>Setter</w:t>
      </w:r>
      <w:proofErr w:type="spellEnd"/>
      <w:r w:rsidR="00A161E5" w:rsidRPr="00E6200E">
        <w:rPr>
          <w:rStyle w:val="Refdenotaderodap"/>
          <w:sz w:val="24"/>
        </w:rPr>
        <w:footnoteReference w:id="3"/>
      </w:r>
    </w:p>
    <w:p w14:paraId="4F47D999" w14:textId="77777777" w:rsidR="00DF040B" w:rsidRPr="00C8647D" w:rsidRDefault="00DF040B" w:rsidP="00E73320">
      <w:pPr>
        <w:pStyle w:val="Texto"/>
      </w:pPr>
    </w:p>
    <w:p w14:paraId="7783C2E5" w14:textId="3B574039" w:rsidR="00BB3206" w:rsidRPr="00C8647D" w:rsidRDefault="00BD0F6C" w:rsidP="00442C14">
      <w:pPr>
        <w:pStyle w:val="Resumo"/>
      </w:pPr>
      <w:r w:rsidRPr="00C8647D">
        <w:rPr>
          <w:b/>
          <w:bCs/>
        </w:rPr>
        <w:t xml:space="preserve">PALAVRAS-CHAVE: </w:t>
      </w:r>
      <w:r w:rsidR="00C8647D">
        <w:t>Extensão</w:t>
      </w:r>
      <w:r w:rsidR="004C0B6D">
        <w:t>,</w:t>
      </w:r>
      <w:r w:rsidR="00C8647D">
        <w:t xml:space="preserve"> Tecnologias</w:t>
      </w:r>
      <w:r w:rsidR="004C0B6D">
        <w:t>,</w:t>
      </w:r>
      <w:r w:rsidR="00C8647D">
        <w:t xml:space="preserve"> Vídeo</w:t>
      </w:r>
      <w:r w:rsidR="004C0B6D">
        <w:t>,</w:t>
      </w:r>
      <w:r w:rsidR="00C8647D">
        <w:t xml:space="preserve"> Publicidade</w:t>
      </w:r>
      <w:r w:rsidR="00D40431">
        <w:t>, Educação</w:t>
      </w:r>
      <w:r w:rsidR="00C8647D">
        <w:t>.</w:t>
      </w:r>
    </w:p>
    <w:p w14:paraId="0D8854D0" w14:textId="77777777" w:rsidR="00C8647D" w:rsidRPr="00C8647D" w:rsidRDefault="00C8647D" w:rsidP="00C8647D">
      <w:pPr>
        <w:spacing w:line="360" w:lineRule="auto"/>
        <w:ind w:firstLine="0"/>
        <w:rPr>
          <w:rFonts w:ascii="Arial" w:hAnsi="Arial" w:cs="Arial"/>
          <w:b/>
          <w:bCs/>
          <w:sz w:val="24"/>
          <w:szCs w:val="24"/>
        </w:rPr>
      </w:pPr>
    </w:p>
    <w:p w14:paraId="422A7B04" w14:textId="5DC1D9F7" w:rsidR="00C8647D" w:rsidRPr="00C8647D" w:rsidRDefault="00C8647D" w:rsidP="00C8647D">
      <w:pPr>
        <w:spacing w:line="360" w:lineRule="auto"/>
        <w:ind w:firstLine="0"/>
        <w:rPr>
          <w:rFonts w:ascii="Arial" w:hAnsi="Arial" w:cs="Arial"/>
          <w:b/>
          <w:bCs/>
          <w:sz w:val="24"/>
          <w:szCs w:val="24"/>
        </w:rPr>
      </w:pPr>
      <w:r w:rsidRPr="00C8647D">
        <w:rPr>
          <w:rFonts w:ascii="Arial" w:hAnsi="Arial" w:cs="Arial"/>
          <w:b/>
          <w:bCs/>
          <w:sz w:val="24"/>
          <w:szCs w:val="24"/>
        </w:rPr>
        <w:t>1 INTRODUÇÃO</w:t>
      </w:r>
    </w:p>
    <w:p w14:paraId="72BE1EEB" w14:textId="77777777" w:rsidR="00C8647D" w:rsidRPr="00A829DF" w:rsidRDefault="00C8647D" w:rsidP="00C8647D">
      <w:pPr>
        <w:spacing w:line="36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extensão universitária integra as três funções básicas da universidade, junto ao ensino e à pesquisa, e tem como propósito aproximar o conhecimento acadêmico das demandas sociais. Por meio dela, ocorre uma troca entre saberes científicos e populares, fortalecendo tanto a formação cidadã dos estudantes quanto o desenvolvimento social, cultural e econômico das comunidades. Conforme destacam </w:t>
      </w:r>
      <w:proofErr w:type="spellStart"/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Carborani</w:t>
      </w:r>
      <w:proofErr w:type="spellEnd"/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Pereira (2007), a extensão promove a inserção da universidade em seu contexto regional, articulando ensino e pesquisa às necessidades da sociedade e estimulando o exercício da cidadania.</w:t>
      </w:r>
    </w:p>
    <w:p w14:paraId="02B50EBE" w14:textId="77777777" w:rsidR="00C8647D" w:rsidRPr="00A829DF" w:rsidRDefault="00C8647D" w:rsidP="00C8647D">
      <w:pPr>
        <w:spacing w:line="36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curricularização da extensão, que consiste em incluir as ações extensionistas na estrutura curricular dos cursos de graduação, representa um avanço importante na educação superior. Ao torná-la parte obrigatória da formação, garante-se que os estudantes vivenciem experiências reais e contribuam com transformações sociais, </w:t>
      </w:r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ampliando sua consciência crítica e compromisso profissional. Nesse sentido, a Resolução nº 7/2018 do Conselho Nacional de Educação estabelece que pelo menos 10% da carga horária dos cursos de graduação seja destinada à extensão, de forma integrada ao ensino e à pesquisa. O documento entende a extensão como processo educativo e interdisciplinar voltado à formação cidadã e à interação transformadora entre universidade e sociedade (Brasil, 2018).</w:t>
      </w:r>
    </w:p>
    <w:p w14:paraId="77033BC1" w14:textId="611C7AB8" w:rsidR="00C8647D" w:rsidRPr="00A829DF" w:rsidRDefault="00C8647D" w:rsidP="00C8647D">
      <w:pPr>
        <w:spacing w:line="36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Na Universidade Regional de Blumenau (Furb),</w:t>
      </w:r>
      <w:r w:rsidR="00E620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37664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em</w:t>
      </w:r>
      <w:r w:rsidR="00E620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Blumenau/SC, Brasil,</w:t>
      </w:r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 curso de Publicidade e Propaganda, criado em 1991, realiza atividades extensionistas desde os anos </w:t>
      </w:r>
      <w:r w:rsidR="00E6200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de </w:t>
      </w:r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2000. Entre elas, destaca-se o projeto Comunica Furb, criado em 2018, cujo objetivo é divulgar, por meio de vídeos, ações de ensino, pesquisa e extensão da universidade. Vinculado à disciplina Produção e Linguagem Audiovisual Publicitária, o projeto integra a curricularização da extensão prevista no Projeto Pedagógico do Curso aprovado em 2023, em execução desde 2024/1.</w:t>
      </w:r>
    </w:p>
    <w:p w14:paraId="521845D0" w14:textId="77777777" w:rsidR="00C8647D" w:rsidRPr="00A829DF" w:rsidRDefault="00C8647D" w:rsidP="00C8647D">
      <w:pPr>
        <w:spacing w:line="36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Comunica Furb produz conteúdos audiovisuais com fins educativos e publicitários, publicados no YouTube, promovendo a visibilidade dos cursos e projetos da universidade. A iniciativa estimula o trabalho interdisciplinar e o aprendizado prático dos estudantes, que participam de todas as etapas de produção</w:t>
      </w:r>
      <w:r w:rsidRPr="00C8647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com tecnologias de vídeo acessíveis</w:t>
      </w:r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O presente relato aborda a experiência de curricularização da extensão realizada no segundo semestre de 2024, na disciplina Produção e Linguagem Audiovisual Publicitária, por meio da produção de vídeos educativos sobre doação de sangue em Blumenau. A proposta teve como base dados do projeto de extensão Focus (2023/2) e integra as ações do Comunica Furb.</w:t>
      </w:r>
    </w:p>
    <w:p w14:paraId="083B204C" w14:textId="77777777" w:rsidR="00C8647D" w:rsidRPr="00C8647D" w:rsidRDefault="00C8647D" w:rsidP="00C8647D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</w:p>
    <w:p w14:paraId="5F52AE04" w14:textId="43919BDB" w:rsidR="00C8647D" w:rsidRPr="00C8647D" w:rsidRDefault="00C8647D" w:rsidP="00C8647D">
      <w:pPr>
        <w:spacing w:line="360" w:lineRule="auto"/>
        <w:ind w:firstLine="0"/>
        <w:rPr>
          <w:rFonts w:ascii="Arial" w:hAnsi="Arial" w:cs="Arial"/>
          <w:b/>
          <w:bCs/>
          <w:sz w:val="24"/>
          <w:szCs w:val="24"/>
        </w:rPr>
      </w:pPr>
      <w:r w:rsidRPr="00C8647D">
        <w:rPr>
          <w:rFonts w:ascii="Arial" w:hAnsi="Arial" w:cs="Arial"/>
          <w:b/>
          <w:bCs/>
          <w:sz w:val="24"/>
          <w:szCs w:val="24"/>
        </w:rPr>
        <w:t>2 REVISÃO DE LITERATURA</w:t>
      </w:r>
    </w:p>
    <w:p w14:paraId="01EAC851" w14:textId="77777777" w:rsidR="00C8647D" w:rsidRPr="00A829DF" w:rsidRDefault="00C8647D" w:rsidP="00C8647D">
      <w:pPr>
        <w:spacing w:line="36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realização de uma produção audiovisual depende diretamente do cumprimento do que foi definido na etapa de pré-produção. Como destaca </w:t>
      </w:r>
      <w:proofErr w:type="spellStart"/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Kellison</w:t>
      </w:r>
      <w:proofErr w:type="spellEnd"/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(2012), o audiovisual exerce influência significativa na cultura, moldando comportamentos, disseminando ideias e afetando a forma como as pessoas percebem o mundo. Por isso, o planejamento cuidadoso de uma produção não se restringe à sua organização técnica, mas envolve também a responsabilidade sobre o impacto cultural e social que pode gerar.</w:t>
      </w:r>
    </w:p>
    <w:p w14:paraId="27137E61" w14:textId="77777777" w:rsidR="00C8647D" w:rsidRPr="00A829DF" w:rsidRDefault="00C8647D" w:rsidP="00C8647D">
      <w:pPr>
        <w:spacing w:line="36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Na área da publicidade, os vídeos publicitários têm passado por transformações constantes em sua linguagem e formato. De acordo com </w:t>
      </w:r>
      <w:proofErr w:type="spellStart"/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Elin</w:t>
      </w:r>
      <w:proofErr w:type="spellEnd"/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</w:t>
      </w:r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Lapides (2006), esse tipo de produção se caracteriza pela brevidade e pelo caráter persuasivo, podendo ser dividido em três categorias principais: vídeos voltados à venda, à construção de imagem e à utilidade pública. Apesar das diferenças, todos compartilham o propósito de informar, convencer e motivar o espectador à ação, seja pela compra de um produto ou pela adesão a uma causa.</w:t>
      </w:r>
    </w:p>
    <w:p w14:paraId="31E41680" w14:textId="77777777" w:rsidR="00C8647D" w:rsidRPr="00A829DF" w:rsidRDefault="00C8647D" w:rsidP="00C8647D">
      <w:pPr>
        <w:spacing w:line="36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Entre esses formatos, o anúncio de utilidade pública tem papel relevante ao abordar questões de interesse coletivo. Conforme Saldanha e Bastos (2019), ele busca comunicar de forma clara e direta temas que promovam a conscientização social, incentivando atitudes que beneficiem o indivíduo e a comunidade. Trata-se de uma modalidade de comunicação pública, voltada à educação, à orientação e à mobilização da sociedade em torno de causas sociais.</w:t>
      </w:r>
    </w:p>
    <w:p w14:paraId="163FED04" w14:textId="2FF299E9" w:rsidR="00C8647D" w:rsidRPr="00A829DF" w:rsidRDefault="00C8647D" w:rsidP="00C8647D">
      <w:pPr>
        <w:spacing w:line="36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Campanhas audiovisuais </w:t>
      </w:r>
      <w:r w:rsidR="0037664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sobre doação de sangue </w:t>
      </w:r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exploram emoções como empatia e solidariedade, contando histórias de pessoas que dependem das doações e despertando o engajamento do espectador. A difusão desses conteúdos em plataformas digitais, como o YouTube, amplia o alcance das mensagens e facilita o envolvimento dos usuários. Ao destacar o impacto positivo da doação e valorizar o gesto solidário, essas campanhas contribuem para a continuidade do ato de doar e inspiram novos participantes, reforçando o papel do audiovisual como ferramenta de mobilização social e transformação de atitudes (</w:t>
      </w:r>
      <w:proofErr w:type="spellStart"/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Carbornar</w:t>
      </w:r>
      <w:proofErr w:type="spellEnd"/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; Oliveira, 2014).</w:t>
      </w:r>
    </w:p>
    <w:p w14:paraId="2D7474FE" w14:textId="77777777" w:rsidR="00C8647D" w:rsidRPr="00C8647D" w:rsidRDefault="00C8647D" w:rsidP="00C8647D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</w:p>
    <w:p w14:paraId="3D546EC4" w14:textId="57D81FEC" w:rsidR="00C8647D" w:rsidRPr="00C8647D" w:rsidRDefault="00C8647D" w:rsidP="00C8647D">
      <w:pPr>
        <w:spacing w:line="360" w:lineRule="auto"/>
        <w:ind w:firstLine="0"/>
        <w:rPr>
          <w:rFonts w:ascii="Arial" w:hAnsi="Arial" w:cs="Arial"/>
          <w:b/>
          <w:bCs/>
          <w:sz w:val="24"/>
          <w:szCs w:val="24"/>
        </w:rPr>
      </w:pPr>
      <w:r w:rsidRPr="00C8647D">
        <w:rPr>
          <w:rFonts w:ascii="Arial" w:hAnsi="Arial" w:cs="Arial"/>
          <w:b/>
          <w:bCs/>
          <w:sz w:val="24"/>
          <w:szCs w:val="24"/>
        </w:rPr>
        <w:t>3 PROCEDIMENTOS METODOLÓGICOS</w:t>
      </w:r>
    </w:p>
    <w:p w14:paraId="6B2A2201" w14:textId="77777777" w:rsidR="00C8647D" w:rsidRPr="00A829DF" w:rsidRDefault="00C8647D" w:rsidP="00C8647D">
      <w:pPr>
        <w:spacing w:line="36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estudo apresenta uma pesquisa documental de abordagem qualitativa, que descreve uma experiência de extensão universitária no campo da publicidade. A atividade foi realizada no segundo semestre de 2024 com 57 estudantes, divididos em duas turmas da disciplina de Produção e Linguagem Audiovisual Publicitária, organizados em equipes de quatro a cinco integrantes. Cada grupo produziu um vídeo de até cinco minutos sobre a doação de sangue, baseado nos dados do projeto de extensão Focus, desenvolvido em 2023/2 com o tema “Pulso coletivo: o que você pensa sobre doação de sangue?”. Os vídeos deveriam incluir depoimentos de moradores de Blumenau e incentivar a doação.</w:t>
      </w:r>
    </w:p>
    <w:p w14:paraId="4A67612C" w14:textId="0AF81EE9" w:rsidR="00C8647D" w:rsidRPr="00A829DF" w:rsidRDefault="00C8647D" w:rsidP="00C8647D">
      <w:pPr>
        <w:spacing w:line="36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Criado em 2003, o Focus é um projeto de extensão do curso de Publicidade e Propaganda da Furb que realiza pesquisas sobre consumo e comportamento na cidade, abordando temas diversos como religiosidade, segurança e Oktoberfest</w:t>
      </w:r>
      <w:r w:rsidR="0037664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37664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Blumenau</w:t>
      </w:r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Em 2023, investigou as motivações e barreiras relacionadas à doação de sangue no Vale do Itajaí. O estudo envolveu professores e alunos dos cursos de Publicidade e</w:t>
      </w:r>
      <w:r w:rsidR="0037664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Propaganda e de</w:t>
      </w:r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Jornalismo, com apoio de bolsistas do </w:t>
      </w:r>
      <w:proofErr w:type="spellStart"/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Uniedu</w:t>
      </w:r>
      <w:proofErr w:type="spellEnd"/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e coletou cerca de 600 entrevistas (Jornalismo Furb, 2023).</w:t>
      </w:r>
    </w:p>
    <w:p w14:paraId="7B07A288" w14:textId="1D129758" w:rsidR="00C8647D" w:rsidRPr="00A829DF" w:rsidRDefault="00C8647D" w:rsidP="00C8647D">
      <w:pPr>
        <w:spacing w:line="36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atividade prática foi desenvolvida ao longo de três encontros, totalizando 12 horas-aula. Na primeira etapa, os dados do Focus foram apresentados, e as equipes elaboraram roteiros baseados nas informações da pesquisa, que foram avaliados e discutidos em painéis criativos. Na segunda, os alunos realizaram as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gravações</w:t>
      </w:r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em estúdio e em locações externas, muitas vezes fora do horário de aula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utilizando seus próprios smartphones ou câmeras do laboratório de vídeo</w:t>
      </w:r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Na terceira, dedicaram-se à edição dos vídeos no software </w:t>
      </w:r>
      <w:proofErr w:type="spellStart"/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DaVinci</w:t>
      </w:r>
      <w:proofErr w:type="spellEnd"/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Resolve, finalizando e publicando o material no canal Comunica Furb, no YouTube. A escolha da plataforma reforça seu papel como meio de divulgação científica e educativa, pela ampla difusão e acessibilidade de seus conteúdos (Fontes, 2021).</w:t>
      </w:r>
    </w:p>
    <w:p w14:paraId="6EF33B88" w14:textId="77777777" w:rsidR="00C8647D" w:rsidRPr="00C8647D" w:rsidRDefault="00C8647D" w:rsidP="00C8647D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</w:p>
    <w:p w14:paraId="043FC1A0" w14:textId="47D9E552" w:rsidR="00C8647D" w:rsidRPr="00C8647D" w:rsidRDefault="00C8647D" w:rsidP="00C8647D">
      <w:pPr>
        <w:spacing w:line="360" w:lineRule="auto"/>
        <w:ind w:firstLine="0"/>
        <w:rPr>
          <w:rFonts w:ascii="Arial" w:hAnsi="Arial" w:cs="Arial"/>
          <w:b/>
          <w:bCs/>
          <w:sz w:val="24"/>
          <w:szCs w:val="24"/>
        </w:rPr>
      </w:pPr>
      <w:r w:rsidRPr="00C8647D">
        <w:rPr>
          <w:rFonts w:ascii="Arial" w:hAnsi="Arial" w:cs="Arial"/>
          <w:b/>
          <w:bCs/>
          <w:sz w:val="24"/>
          <w:szCs w:val="24"/>
        </w:rPr>
        <w:t>4 RESULTADOS</w:t>
      </w:r>
    </w:p>
    <w:p w14:paraId="1CF3DC49" w14:textId="77777777" w:rsidR="00C8647D" w:rsidRPr="00A829DF" w:rsidRDefault="00C8647D" w:rsidP="00C8647D">
      <w:pPr>
        <w:spacing w:line="36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turma foi dividida em 14 grupos, cada um responsável por criar um vídeo sobre doação de sangue, explorando diferentes linguagens e estratégias de comunicação. Essa diversidade de abordagens permitiu aos estudantes experimentar formatos variados e compreender como adaptar mensagens a públicos e objetivos distintos.</w:t>
      </w:r>
    </w:p>
    <w:p w14:paraId="5256A918" w14:textId="77777777" w:rsidR="00C8647D" w:rsidRPr="00A829DF" w:rsidRDefault="00C8647D" w:rsidP="00C8647D">
      <w:pPr>
        <w:spacing w:line="36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As produções resultaram em 14 vídeos com estilos próprios, que variaram entre documentários, informativos e conceituais. As narrativas combinaram depoimentos, dados estatísticos e elementos visuais capazes de informar e sensibilizar o espectador sobre a importância da doação. Muitos vídeos iniciam com cenas de Blumenau, como a Prefeitura, a Praça Victor Konder e a Rua XV de Novembro, estabelecendo vínculo com a comunidade local e reforçando o caráter regional das produções. Alunos atuaram como apresentadores, conduzindo entrevistas e transições narrativas.</w:t>
      </w:r>
    </w:p>
    <w:p w14:paraId="61A1EFFC" w14:textId="77777777" w:rsidR="00C8647D" w:rsidRPr="00A829DF" w:rsidRDefault="00C8647D" w:rsidP="00C8647D">
      <w:pPr>
        <w:spacing w:line="36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Os vídeos reuniram relatos de doadores e beneficiários, destacando emoções e impactos pessoais. Em alguns casos, os dados do projeto Focus foram integrados às falas por meio de animações e </w:t>
      </w:r>
      <w:proofErr w:type="spellStart"/>
      <w:r w:rsidRPr="003B3B70">
        <w:rPr>
          <w:rFonts w:ascii="Arial" w:eastAsia="Times New Roman" w:hAnsi="Arial" w:cs="Arial"/>
          <w:i/>
          <w:iCs/>
          <w:color w:val="000000"/>
          <w:sz w:val="24"/>
          <w:szCs w:val="24"/>
          <w:lang w:eastAsia="pt-BR"/>
        </w:rPr>
        <w:t>letterings</w:t>
      </w:r>
      <w:proofErr w:type="spellEnd"/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, intensificando o conteúdo informativo. Diferentes recursos narrativos também foram explorados, como o uso de perguntas provocativas ou contrastes geracionais, por exemplo, o medo do HIV nas décadas de </w:t>
      </w:r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1980 e 1990 em comparação às dificuldades de tempo enfrentadas pelos jovens de hoje.</w:t>
      </w:r>
    </w:p>
    <w:p w14:paraId="1C807077" w14:textId="77777777" w:rsidR="00C8647D" w:rsidRPr="00A829DF" w:rsidRDefault="00C8647D" w:rsidP="00C8647D">
      <w:pPr>
        <w:spacing w:line="36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Cada produção encerrou-se com uma chamada à ação, incentivando o engajamento e ressaltando que qualquer pessoa pode salvar vidas. Esses vídeos se enquadram na categoria de anúncios de utilidade pública, conforme </w:t>
      </w:r>
      <w:proofErr w:type="spellStart"/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Elin</w:t>
      </w:r>
      <w:proofErr w:type="spellEnd"/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Lapides (2006), ao promoverem causas sociais por meio de produções sem fins lucrativos.</w:t>
      </w:r>
    </w:p>
    <w:p w14:paraId="06673783" w14:textId="77777777" w:rsidR="00C8647D" w:rsidRPr="00A829DF" w:rsidRDefault="00C8647D" w:rsidP="00C8647D">
      <w:pPr>
        <w:spacing w:line="36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experiência reforçou a formação prática dos estudantes e sua capacidade de trabalhar em equipe, integrando criatividade e responsabilidade social. A curricularização da extensão, por meio do projeto Comunica Furb, fortaleceu o vínculo entre universidade e comunidade, ampliando o aprendizado e a consciência sobre o papel transformador da publicidade. Essa vivência contribui para a formação de profissionais mais sensíveis, críticos e comprometidos com o impacto social de sua atuação.</w:t>
      </w:r>
    </w:p>
    <w:p w14:paraId="40C94B7F" w14:textId="77777777" w:rsidR="00C8647D" w:rsidRPr="00C8647D" w:rsidRDefault="00C8647D" w:rsidP="00C8647D">
      <w:pPr>
        <w:spacing w:line="360" w:lineRule="auto"/>
        <w:ind w:firstLine="709"/>
        <w:rPr>
          <w:rFonts w:ascii="Arial" w:hAnsi="Arial" w:cs="Arial"/>
          <w:b/>
          <w:bCs/>
          <w:sz w:val="24"/>
          <w:szCs w:val="24"/>
        </w:rPr>
      </w:pPr>
    </w:p>
    <w:p w14:paraId="1EE8BBE5" w14:textId="33392D27" w:rsidR="00C8647D" w:rsidRPr="00C8647D" w:rsidRDefault="00C8647D" w:rsidP="00C8647D">
      <w:pPr>
        <w:spacing w:line="360" w:lineRule="auto"/>
        <w:ind w:firstLine="0"/>
        <w:rPr>
          <w:rFonts w:ascii="Arial" w:hAnsi="Arial" w:cs="Arial"/>
          <w:b/>
          <w:bCs/>
          <w:sz w:val="24"/>
          <w:szCs w:val="24"/>
        </w:rPr>
      </w:pPr>
      <w:r w:rsidRPr="00C8647D">
        <w:rPr>
          <w:rFonts w:ascii="Arial" w:hAnsi="Arial" w:cs="Arial"/>
          <w:b/>
          <w:bCs/>
          <w:sz w:val="24"/>
          <w:szCs w:val="24"/>
        </w:rPr>
        <w:t>5 CONSIDERAÇÕES</w:t>
      </w:r>
    </w:p>
    <w:p w14:paraId="617CF790" w14:textId="77777777" w:rsidR="00C8647D" w:rsidRPr="00A829DF" w:rsidRDefault="00C8647D" w:rsidP="00C8647D">
      <w:pPr>
        <w:spacing w:line="36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inserção de práticas audiovisuais no ensino de Publicidade e Propaganda mostra-se fundamental por alinhar a formação acadêmica às exigências do mercado contemporâneo. A realização de produções em vídeo, como as voltadas à doação de sangue, favorece o desenvolvimento de competências técnicas, criativas e comunicacionais em contextos reais, preparando os estudantes para atuar de forma crítica e inovadora na era digital.</w:t>
      </w:r>
    </w:p>
    <w:p w14:paraId="12323212" w14:textId="77777777" w:rsidR="00C8647D" w:rsidRPr="00A829DF" w:rsidRDefault="00C8647D" w:rsidP="00C8647D">
      <w:pPr>
        <w:spacing w:line="36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participação em campanhas de interesse público também se revela uma experiência enriquecedora, ao estimular a reflexão sobre responsabilidades sociais e o potencial transformador da publicidade. Por meio dessas ações, os acadêmicos vivenciam o impacto positivo da comunicação na promoção do bem coletivo, fortalecendo tanto sua formação ética quanto profissional.</w:t>
      </w:r>
    </w:p>
    <w:p w14:paraId="2AB79F74" w14:textId="77777777" w:rsidR="00C8647D" w:rsidRPr="00A829DF" w:rsidRDefault="00C8647D" w:rsidP="00C8647D">
      <w:pPr>
        <w:spacing w:line="360" w:lineRule="auto"/>
        <w:ind w:firstLine="709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829DF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Sugere-se que futuras produções explorem outras temáticas de relevância social, como saúde mental, sustentabilidade e inclusão, bem como experimentem diferentes formatos e meios de difusão. Tais iniciativas podem ampliar o alcance das mensagens e consolidar a integração entre universidade e comunidade, contribuindo para uma prática publicitária mais sensível, participativa e comprometida com a transformação social.</w:t>
      </w:r>
    </w:p>
    <w:p w14:paraId="616CE07B" w14:textId="77777777" w:rsidR="00C8647D" w:rsidRPr="00C8647D" w:rsidRDefault="00C8647D" w:rsidP="00C8647D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</w:p>
    <w:p w14:paraId="28ECC97E" w14:textId="77777777" w:rsidR="00C8647D" w:rsidRPr="00C8647D" w:rsidRDefault="00C8647D" w:rsidP="00C8647D">
      <w:pPr>
        <w:spacing w:line="360" w:lineRule="auto"/>
        <w:ind w:firstLine="0"/>
        <w:rPr>
          <w:rFonts w:ascii="Arial" w:hAnsi="Arial" w:cs="Arial"/>
          <w:b/>
          <w:bCs/>
          <w:sz w:val="24"/>
          <w:szCs w:val="24"/>
        </w:rPr>
      </w:pPr>
      <w:r w:rsidRPr="00C8647D">
        <w:rPr>
          <w:rFonts w:ascii="Arial" w:hAnsi="Arial" w:cs="Arial"/>
          <w:b/>
          <w:bCs/>
          <w:sz w:val="24"/>
          <w:szCs w:val="24"/>
        </w:rPr>
        <w:lastRenderedPageBreak/>
        <w:t xml:space="preserve">REFERÊNCIAS </w:t>
      </w:r>
    </w:p>
    <w:p w14:paraId="1EFAB573" w14:textId="77777777" w:rsidR="00C8647D" w:rsidRPr="00C8647D" w:rsidRDefault="00C8647D" w:rsidP="00C8647D">
      <w:pPr>
        <w:spacing w:line="240" w:lineRule="auto"/>
        <w:ind w:firstLine="0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14:paraId="130FCBFB" w14:textId="77777777" w:rsidR="00C8647D" w:rsidRPr="00C8647D" w:rsidRDefault="00C8647D" w:rsidP="00C8647D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C8647D">
        <w:rPr>
          <w:rFonts w:ascii="Arial" w:hAnsi="Arial" w:cs="Arial"/>
          <w:sz w:val="24"/>
          <w:szCs w:val="24"/>
        </w:rPr>
        <w:t xml:space="preserve">BRASIL. Ministério da Educação. Conselho Nacional de Educação. Câmara de Educação Superior. Resolução nº 7, de 18 de dezembro de 2018. Estabelece as Diretrizes para a Extensão na Educação Superior Brasileira. </w:t>
      </w:r>
      <w:r w:rsidRPr="00C8647D">
        <w:rPr>
          <w:rFonts w:ascii="Arial" w:hAnsi="Arial" w:cs="Arial"/>
          <w:b/>
          <w:bCs/>
          <w:sz w:val="24"/>
          <w:szCs w:val="24"/>
        </w:rPr>
        <w:t>Diário Oficial da União</w:t>
      </w:r>
      <w:r w:rsidRPr="00C8647D">
        <w:rPr>
          <w:rFonts w:ascii="Arial" w:hAnsi="Arial" w:cs="Arial"/>
          <w:sz w:val="24"/>
          <w:szCs w:val="24"/>
        </w:rPr>
        <w:t>, Brasília, DF, 19 dez. 2018.</w:t>
      </w:r>
    </w:p>
    <w:p w14:paraId="60110F6F" w14:textId="77777777" w:rsidR="00C8647D" w:rsidRPr="00C8647D" w:rsidRDefault="00C8647D" w:rsidP="00C8647D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</w:p>
    <w:p w14:paraId="0989F875" w14:textId="77777777" w:rsidR="00C8647D" w:rsidRPr="00C8647D" w:rsidRDefault="00C8647D" w:rsidP="00C8647D">
      <w:pPr>
        <w:spacing w:line="240" w:lineRule="auto"/>
        <w:ind w:firstLine="0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 w:rsidRPr="00C8647D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CARBONARI, M. E. E.; PEREIRA, A. C. A extensão universitária no Brasil, do assistencialismo à sustentabilidade. </w:t>
      </w:r>
      <w:r w:rsidRPr="00C8647D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  <w:t>Revista de Educação</w:t>
      </w:r>
      <w:r w:rsidRPr="00C8647D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, v. 10, n. 10, p. 23-28, 2007.</w:t>
      </w:r>
    </w:p>
    <w:p w14:paraId="0D0D5FE6" w14:textId="77777777" w:rsidR="00C8647D" w:rsidRPr="00C8647D" w:rsidRDefault="00C8647D" w:rsidP="00C8647D">
      <w:pPr>
        <w:spacing w:line="240" w:lineRule="auto"/>
        <w:ind w:firstLine="0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14:paraId="5524A14B" w14:textId="77777777" w:rsidR="00C8647D" w:rsidRPr="00C8647D" w:rsidRDefault="00C8647D" w:rsidP="00C8647D">
      <w:pPr>
        <w:spacing w:line="240" w:lineRule="auto"/>
        <w:ind w:firstLine="0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 w:rsidRPr="00C8647D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CARBORNAR, V. M.; OLIVEIRA, E. B. Rolezinho no </w:t>
      </w:r>
      <w:proofErr w:type="spellStart"/>
      <w:r w:rsidRPr="00C8647D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Hemepar</w:t>
      </w:r>
      <w:proofErr w:type="spellEnd"/>
      <w:r w:rsidRPr="00C8647D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: a publicidade social em favor da doação de sangue. </w:t>
      </w:r>
      <w:r w:rsidRPr="00C8647D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  <w:t>Dito Efeito</w:t>
      </w:r>
      <w:r w:rsidRPr="00C8647D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, v. 5, n. 6, p. 1-13, jan./jun. 2014.</w:t>
      </w:r>
    </w:p>
    <w:p w14:paraId="794C908F" w14:textId="77777777" w:rsidR="00C8647D" w:rsidRPr="00C8647D" w:rsidRDefault="00C8647D" w:rsidP="00C8647D">
      <w:pPr>
        <w:spacing w:line="240" w:lineRule="auto"/>
        <w:ind w:firstLine="0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14:paraId="0952C7BF" w14:textId="77777777" w:rsidR="00C8647D" w:rsidRPr="00C8647D" w:rsidRDefault="00C8647D" w:rsidP="00C8647D">
      <w:pPr>
        <w:spacing w:line="240" w:lineRule="auto"/>
        <w:ind w:firstLine="0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 w:rsidRPr="00C8647D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ELIN, L.; LAPIDES, A. </w:t>
      </w:r>
      <w:r w:rsidRPr="00C8647D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  <w:t>O comercial de televisão</w:t>
      </w:r>
      <w:r w:rsidRPr="00C8647D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: planejamento e produção. São Paulo: Bossa Nova, 2006.</w:t>
      </w:r>
    </w:p>
    <w:p w14:paraId="47C59F5C" w14:textId="77777777" w:rsidR="00C8647D" w:rsidRPr="00C8647D" w:rsidRDefault="00C8647D" w:rsidP="00C8647D">
      <w:pPr>
        <w:spacing w:line="240" w:lineRule="auto"/>
        <w:ind w:firstLine="0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14:paraId="037F7660" w14:textId="77777777" w:rsidR="00C8647D" w:rsidRPr="00C8647D" w:rsidRDefault="00C8647D" w:rsidP="00C8647D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C8647D">
        <w:rPr>
          <w:rFonts w:ascii="Arial" w:hAnsi="Arial" w:cs="Arial"/>
          <w:sz w:val="24"/>
          <w:szCs w:val="24"/>
        </w:rPr>
        <w:t>FONTES, D. T. M. Uma comparação das visualizações e inscrições em canais brasileiros de divulgação científica e de pseudociência no YouTube. </w:t>
      </w:r>
      <w:proofErr w:type="spellStart"/>
      <w:r w:rsidRPr="00C8647D">
        <w:rPr>
          <w:rFonts w:ascii="Arial" w:hAnsi="Arial" w:cs="Arial"/>
          <w:b/>
          <w:bCs/>
          <w:sz w:val="24"/>
          <w:szCs w:val="24"/>
        </w:rPr>
        <w:t>Journal</w:t>
      </w:r>
      <w:proofErr w:type="spellEnd"/>
      <w:r w:rsidRPr="00C8647D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C8647D">
        <w:rPr>
          <w:rFonts w:ascii="Arial" w:hAnsi="Arial" w:cs="Arial"/>
          <w:b/>
          <w:bCs/>
          <w:sz w:val="24"/>
          <w:szCs w:val="24"/>
        </w:rPr>
        <w:t>of</w:t>
      </w:r>
      <w:proofErr w:type="spellEnd"/>
      <w:r w:rsidRPr="00C8647D">
        <w:rPr>
          <w:rFonts w:ascii="Arial" w:hAnsi="Arial" w:cs="Arial"/>
          <w:b/>
          <w:bCs/>
          <w:sz w:val="24"/>
          <w:szCs w:val="24"/>
        </w:rPr>
        <w:t xml:space="preserve"> Science Communication</w:t>
      </w:r>
      <w:r w:rsidRPr="00C8647D">
        <w:rPr>
          <w:rFonts w:ascii="Arial" w:hAnsi="Arial" w:cs="Arial"/>
          <w:sz w:val="24"/>
          <w:szCs w:val="24"/>
        </w:rPr>
        <w:t xml:space="preserve">, 4(1), A01, p. 1-22, 2021. </w:t>
      </w:r>
    </w:p>
    <w:p w14:paraId="4BECEE35" w14:textId="77777777" w:rsidR="00C8647D" w:rsidRPr="00C8647D" w:rsidRDefault="00C8647D" w:rsidP="00C8647D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</w:p>
    <w:p w14:paraId="5B7B3CF8" w14:textId="77777777" w:rsidR="00C8647D" w:rsidRPr="00C8647D" w:rsidRDefault="00C8647D" w:rsidP="00C8647D">
      <w:pPr>
        <w:spacing w:line="240" w:lineRule="auto"/>
        <w:ind w:firstLine="0"/>
        <w:rPr>
          <w:rFonts w:ascii="Arial" w:eastAsia="Times New Roman" w:hAnsi="Arial" w:cs="Arial"/>
          <w:color w:val="000000" w:themeColor="text1"/>
          <w:sz w:val="24"/>
          <w:szCs w:val="24"/>
          <w:lang w:val="en-US" w:eastAsia="pt-BR"/>
        </w:rPr>
      </w:pPr>
      <w:r w:rsidRPr="00C8647D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JORNALISMO FURB. </w:t>
      </w:r>
      <w:r w:rsidRPr="00C8647D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lang w:eastAsia="pt-BR"/>
        </w:rPr>
        <w:t xml:space="preserve">Focus </w:t>
      </w:r>
      <w:r w:rsidRPr="00C8647D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  <w:t xml:space="preserve">identifica perfil e motivações das pessoas que doam sangue: </w:t>
      </w:r>
      <w:r w:rsidRPr="00C8647D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60% nunca doaram. [30/11/2023]. Disponível em: </w:t>
      </w:r>
      <w:hyperlink r:id="rId8" w:anchor=":~:text=O%20estudo%20identificou%20que%2061,confiam%20no%20trabalho%20do%20Hemocentro" w:history="1">
        <w:r w:rsidRPr="00C8647D">
          <w:rPr>
            <w:rStyle w:val="Hyperlink"/>
            <w:rFonts w:ascii="Arial" w:hAnsi="Arial" w:cs="Arial"/>
            <w:sz w:val="24"/>
            <w:szCs w:val="24"/>
          </w:rPr>
          <w:t>https://www.furb.br/pt/noticias/focus-identifica-perfil-e-motivacoes-das-pessoas-que-doam-sangue-60-nunca-doaram#:~:text=O%20estudo%20identificou%20que%2061,confiam%20no%20trabalho%20do%20Hemocentro</w:t>
        </w:r>
      </w:hyperlink>
      <w:r w:rsidRPr="00C8647D">
        <w:rPr>
          <w:rFonts w:ascii="Arial" w:hAnsi="Arial" w:cs="Arial"/>
          <w:sz w:val="24"/>
          <w:szCs w:val="24"/>
        </w:rPr>
        <w:t>.</w:t>
      </w:r>
      <w:r w:rsidRPr="00C8647D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Pr="00C8647D">
        <w:rPr>
          <w:rFonts w:ascii="Arial" w:eastAsia="Times New Roman" w:hAnsi="Arial" w:cs="Arial"/>
          <w:color w:val="000000" w:themeColor="text1"/>
          <w:sz w:val="24"/>
          <w:szCs w:val="24"/>
          <w:lang w:val="en-US" w:eastAsia="pt-BR"/>
        </w:rPr>
        <w:t>Acesso</w:t>
      </w:r>
      <w:proofErr w:type="spellEnd"/>
      <w:r w:rsidRPr="00C8647D">
        <w:rPr>
          <w:rFonts w:ascii="Arial" w:eastAsia="Times New Roman" w:hAnsi="Arial" w:cs="Arial"/>
          <w:color w:val="000000" w:themeColor="text1"/>
          <w:sz w:val="24"/>
          <w:szCs w:val="24"/>
          <w:lang w:val="en-US" w:eastAsia="pt-BR"/>
        </w:rPr>
        <w:t xml:space="preserve"> </w:t>
      </w:r>
      <w:proofErr w:type="spellStart"/>
      <w:r w:rsidRPr="00C8647D">
        <w:rPr>
          <w:rFonts w:ascii="Arial" w:eastAsia="Times New Roman" w:hAnsi="Arial" w:cs="Arial"/>
          <w:color w:val="000000" w:themeColor="text1"/>
          <w:sz w:val="24"/>
          <w:szCs w:val="24"/>
          <w:lang w:val="en-US" w:eastAsia="pt-BR"/>
        </w:rPr>
        <w:t>em</w:t>
      </w:r>
      <w:proofErr w:type="spellEnd"/>
      <w:r w:rsidRPr="00C8647D">
        <w:rPr>
          <w:rFonts w:ascii="Arial" w:eastAsia="Times New Roman" w:hAnsi="Arial" w:cs="Arial"/>
          <w:color w:val="000000" w:themeColor="text1"/>
          <w:sz w:val="24"/>
          <w:szCs w:val="24"/>
          <w:lang w:val="en-US" w:eastAsia="pt-BR"/>
        </w:rPr>
        <w:t>: 22 set. 2025.</w:t>
      </w:r>
    </w:p>
    <w:p w14:paraId="21DEEE81" w14:textId="77777777" w:rsidR="00C8647D" w:rsidRPr="00C8647D" w:rsidRDefault="00C8647D" w:rsidP="00C8647D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C8647D">
        <w:rPr>
          <w:rFonts w:ascii="Arial" w:eastAsia="Times New Roman" w:hAnsi="Arial" w:cs="Arial"/>
          <w:color w:val="000000" w:themeColor="text1"/>
          <w:sz w:val="24"/>
          <w:szCs w:val="24"/>
          <w:lang w:val="en-US" w:eastAsia="pt-BR"/>
        </w:rPr>
        <w:br/>
      </w:r>
      <w:r w:rsidRPr="00C8647D">
        <w:rPr>
          <w:rFonts w:ascii="Arial" w:hAnsi="Arial" w:cs="Arial"/>
          <w:sz w:val="24"/>
          <w:szCs w:val="24"/>
          <w:lang w:val="en-US"/>
        </w:rPr>
        <w:t xml:space="preserve">KELLISON, C. </w:t>
      </w:r>
      <w:r w:rsidRPr="00C8647D">
        <w:rPr>
          <w:rFonts w:ascii="Arial" w:hAnsi="Arial" w:cs="Arial"/>
          <w:b/>
          <w:bCs/>
          <w:sz w:val="24"/>
          <w:szCs w:val="24"/>
          <w:lang w:val="en-US"/>
        </w:rPr>
        <w:t>Producing for TV and video</w:t>
      </w:r>
      <w:r w:rsidRPr="00C8647D">
        <w:rPr>
          <w:rFonts w:ascii="Arial" w:hAnsi="Arial" w:cs="Arial"/>
          <w:sz w:val="24"/>
          <w:szCs w:val="24"/>
          <w:lang w:val="en-US"/>
        </w:rPr>
        <w:t xml:space="preserve">: a real-world approach. </w:t>
      </w:r>
      <w:r w:rsidRPr="00C8647D">
        <w:rPr>
          <w:rFonts w:ascii="Arial" w:hAnsi="Arial" w:cs="Arial"/>
          <w:sz w:val="24"/>
          <w:szCs w:val="24"/>
        </w:rPr>
        <w:t xml:space="preserve">New York: </w:t>
      </w:r>
      <w:proofErr w:type="spellStart"/>
      <w:r w:rsidRPr="00C8647D">
        <w:rPr>
          <w:rFonts w:ascii="Arial" w:hAnsi="Arial" w:cs="Arial"/>
          <w:sz w:val="24"/>
          <w:szCs w:val="24"/>
        </w:rPr>
        <w:t>Routledge</w:t>
      </w:r>
      <w:proofErr w:type="spellEnd"/>
      <w:r w:rsidRPr="00C8647D">
        <w:rPr>
          <w:rFonts w:ascii="Arial" w:hAnsi="Arial" w:cs="Arial"/>
          <w:sz w:val="24"/>
          <w:szCs w:val="24"/>
        </w:rPr>
        <w:t>, 2012.</w:t>
      </w:r>
    </w:p>
    <w:p w14:paraId="0070A0BC" w14:textId="77777777" w:rsidR="00C8647D" w:rsidRPr="00C8647D" w:rsidRDefault="00C8647D" w:rsidP="00C8647D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</w:p>
    <w:p w14:paraId="7BD305EA" w14:textId="77777777" w:rsidR="00C8647D" w:rsidRPr="00C8647D" w:rsidRDefault="00C8647D" w:rsidP="00C8647D">
      <w:pPr>
        <w:spacing w:line="240" w:lineRule="auto"/>
        <w:ind w:firstLine="0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 w:rsidRPr="00C8647D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SALDANHA, P. G.; BASTOS, P. N. Publicidade social de interesse público (PIP) e o engajamento político, uma antítese à publicidade de utilidade pública (PUP) governamental. </w:t>
      </w:r>
      <w:r w:rsidRPr="00C8647D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  <w:t xml:space="preserve">Revista </w:t>
      </w:r>
      <w:proofErr w:type="spellStart"/>
      <w:r w:rsidRPr="00C8647D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  <w:t>Eptic</w:t>
      </w:r>
      <w:proofErr w:type="spellEnd"/>
      <w:r w:rsidRPr="00C8647D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, v. 21, n. 3, p. 25-43, set./dez. 2019.</w:t>
      </w:r>
    </w:p>
    <w:p w14:paraId="6996D5FF" w14:textId="77777777" w:rsidR="00C8647D" w:rsidRPr="00C8647D" w:rsidRDefault="00C8647D" w:rsidP="00C8647D">
      <w:pPr>
        <w:spacing w:line="36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</w:p>
    <w:p w14:paraId="5A9C83E8" w14:textId="77777777" w:rsidR="00C8647D" w:rsidRPr="00C8647D" w:rsidRDefault="00C8647D" w:rsidP="00C8647D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417D472E" w14:textId="77777777" w:rsidR="00C8647D" w:rsidRPr="00C8647D" w:rsidRDefault="00C8647D" w:rsidP="00C8647D">
      <w:pPr>
        <w:pStyle w:val="Bibliografia"/>
        <w:rPr>
          <w:rFonts w:ascii="Arial" w:hAnsi="Arial" w:cs="Arial"/>
        </w:rPr>
      </w:pPr>
    </w:p>
    <w:p w14:paraId="4D45BADC" w14:textId="7F677D12" w:rsidR="00DF040B" w:rsidRPr="00CD581C" w:rsidRDefault="00DF040B" w:rsidP="00DF040B">
      <w:pPr>
        <w:pStyle w:val="TtulosNoNumerados"/>
      </w:pPr>
    </w:p>
    <w:sectPr w:rsidR="00DF040B" w:rsidRPr="00CD581C" w:rsidSect="004C446D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BA7F15" w14:textId="77777777" w:rsidR="00F92191" w:rsidRDefault="00F92191" w:rsidP="00026BCD">
      <w:pPr>
        <w:spacing w:line="240" w:lineRule="auto"/>
      </w:pPr>
      <w:r>
        <w:separator/>
      </w:r>
    </w:p>
  </w:endnote>
  <w:endnote w:type="continuationSeparator" w:id="0">
    <w:p w14:paraId="7ED0E913" w14:textId="77777777" w:rsidR="00F92191" w:rsidRDefault="00F92191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4CB68DF" w14:paraId="341C6369" w14:textId="77777777" w:rsidTr="34CB68DF">
      <w:trPr>
        <w:trHeight w:val="300"/>
      </w:trPr>
      <w:tc>
        <w:tcPr>
          <w:tcW w:w="3020" w:type="dxa"/>
        </w:tcPr>
        <w:p w14:paraId="4C427AE1" w14:textId="55D69C5B" w:rsidR="34CB68DF" w:rsidRDefault="34CB68DF" w:rsidP="00892CA9">
          <w:pPr>
            <w:pStyle w:val="Cabealho"/>
            <w:ind w:firstLine="0"/>
            <w:jc w:val="left"/>
          </w:pPr>
        </w:p>
      </w:tc>
      <w:tc>
        <w:tcPr>
          <w:tcW w:w="3020" w:type="dxa"/>
        </w:tcPr>
        <w:p w14:paraId="1F882C10" w14:textId="75714668" w:rsidR="34CB68DF" w:rsidRDefault="34CB68DF" w:rsidP="34CB68DF">
          <w:pPr>
            <w:pStyle w:val="Cabealho"/>
            <w:jc w:val="center"/>
          </w:pPr>
        </w:p>
      </w:tc>
      <w:tc>
        <w:tcPr>
          <w:tcW w:w="3020" w:type="dxa"/>
        </w:tcPr>
        <w:p w14:paraId="7034633D" w14:textId="6DDB480C" w:rsidR="34CB68DF" w:rsidRDefault="34CB68DF" w:rsidP="34CB68DF">
          <w:pPr>
            <w:pStyle w:val="Cabealho"/>
            <w:ind w:right="-115"/>
            <w:jc w:val="right"/>
          </w:pPr>
        </w:p>
      </w:tc>
    </w:tr>
  </w:tbl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D7071C" w14:textId="77777777" w:rsidR="00F92191" w:rsidRDefault="00F92191" w:rsidP="00026BCD">
      <w:pPr>
        <w:spacing w:line="240" w:lineRule="auto"/>
      </w:pPr>
      <w:r>
        <w:separator/>
      </w:r>
    </w:p>
  </w:footnote>
  <w:footnote w:type="continuationSeparator" w:id="0">
    <w:p w14:paraId="692F412C" w14:textId="77777777" w:rsidR="00F92191" w:rsidRDefault="00F92191" w:rsidP="00026BCD">
      <w:pPr>
        <w:spacing w:line="240" w:lineRule="auto"/>
      </w:pPr>
      <w:r>
        <w:continuationSeparator/>
      </w:r>
    </w:p>
  </w:footnote>
  <w:footnote w:id="1">
    <w:p w14:paraId="547BCA90" w14:textId="7CD6FD52" w:rsidR="00A161E5" w:rsidRPr="00E6200E" w:rsidRDefault="00A161E5" w:rsidP="00194448">
      <w:pPr>
        <w:pStyle w:val="Textodenotaderodap"/>
        <w:ind w:firstLine="0"/>
      </w:pPr>
      <w:r w:rsidRPr="00E6200E">
        <w:rPr>
          <w:rStyle w:val="Refdenotaderodap"/>
          <w:rFonts w:ascii="Arial" w:eastAsia="Arial" w:hAnsi="Arial" w:cs="Arial"/>
        </w:rPr>
        <w:footnoteRef/>
      </w:r>
      <w:r w:rsidRPr="00E6200E">
        <w:rPr>
          <w:rFonts w:ascii="Arial" w:eastAsia="Arial" w:hAnsi="Arial" w:cs="Arial"/>
        </w:rPr>
        <w:t xml:space="preserve"> </w:t>
      </w:r>
      <w:r w:rsidR="00DF040B" w:rsidRPr="00E6200E">
        <w:rPr>
          <w:rFonts w:ascii="Arial" w:eastAsia="Arial" w:hAnsi="Arial" w:cs="Arial"/>
        </w:rPr>
        <w:t xml:space="preserve"> </w:t>
      </w:r>
      <w:r w:rsidR="00C8647D" w:rsidRPr="00E6200E">
        <w:rPr>
          <w:rFonts w:ascii="Arial" w:eastAsia="Arial" w:hAnsi="Arial" w:cs="Arial"/>
        </w:rPr>
        <w:t>Doutor em Comunicação e Linguagens</w:t>
      </w:r>
      <w:r w:rsidR="001D3E32">
        <w:rPr>
          <w:rFonts w:ascii="Arial" w:eastAsia="Arial" w:hAnsi="Arial" w:cs="Arial"/>
        </w:rPr>
        <w:t xml:space="preserve"> (UTP)</w:t>
      </w:r>
      <w:r w:rsidR="00DF040B" w:rsidRPr="00E6200E">
        <w:rPr>
          <w:rFonts w:ascii="Arial" w:eastAsia="Arial" w:hAnsi="Arial" w:cs="Arial"/>
        </w:rPr>
        <w:t xml:space="preserve">, </w:t>
      </w:r>
      <w:r w:rsidR="00C8647D" w:rsidRPr="00E6200E">
        <w:rPr>
          <w:rFonts w:ascii="Arial" w:eastAsia="Arial" w:hAnsi="Arial" w:cs="Arial"/>
        </w:rPr>
        <w:t>Universidade Regional de Blumenau</w:t>
      </w:r>
      <w:r w:rsidR="00DF040B" w:rsidRPr="00E6200E">
        <w:rPr>
          <w:rFonts w:ascii="Arial" w:eastAsia="Arial" w:hAnsi="Arial" w:cs="Arial"/>
        </w:rPr>
        <w:t xml:space="preserve">, </w:t>
      </w:r>
      <w:r w:rsidR="00C8647D" w:rsidRPr="00E6200E">
        <w:rPr>
          <w:rFonts w:ascii="Arial" w:eastAsia="Arial" w:hAnsi="Arial" w:cs="Arial"/>
        </w:rPr>
        <w:t>Blumenau</w:t>
      </w:r>
      <w:r w:rsidR="00DF040B" w:rsidRPr="00E6200E">
        <w:rPr>
          <w:rFonts w:ascii="Arial" w:eastAsia="Arial" w:hAnsi="Arial" w:cs="Arial"/>
        </w:rPr>
        <w:t xml:space="preserve">, </w:t>
      </w:r>
      <w:r w:rsidR="00C8647D" w:rsidRPr="00E6200E">
        <w:rPr>
          <w:rFonts w:ascii="Arial" w:eastAsia="Arial" w:hAnsi="Arial" w:cs="Arial"/>
        </w:rPr>
        <w:t>SC</w:t>
      </w:r>
      <w:r w:rsidR="00DF040B" w:rsidRPr="00E6200E">
        <w:rPr>
          <w:rFonts w:ascii="Arial" w:eastAsia="Arial" w:hAnsi="Arial" w:cs="Arial"/>
        </w:rPr>
        <w:t xml:space="preserve">, </w:t>
      </w:r>
      <w:r w:rsidR="00C8647D" w:rsidRPr="00E6200E">
        <w:rPr>
          <w:rFonts w:ascii="Arial" w:eastAsia="Arial" w:hAnsi="Arial" w:cs="Arial"/>
        </w:rPr>
        <w:t>Brasil</w:t>
      </w:r>
      <w:r w:rsidR="00DF040B" w:rsidRPr="00E6200E">
        <w:rPr>
          <w:rFonts w:ascii="Arial" w:eastAsia="Arial" w:hAnsi="Arial" w:cs="Arial"/>
        </w:rPr>
        <w:t xml:space="preserve">, </w:t>
      </w:r>
      <w:hyperlink r:id="rId1" w:history="1">
        <w:r w:rsidR="00C8647D" w:rsidRPr="00E6200E">
          <w:rPr>
            <w:rStyle w:val="Hyperlink"/>
            <w:rFonts w:ascii="Arial" w:eastAsia="Arial" w:hAnsi="Arial" w:cs="Arial"/>
          </w:rPr>
          <w:t>rbona@furb.br</w:t>
        </w:r>
      </w:hyperlink>
      <w:r w:rsidR="00C8647D" w:rsidRPr="00E6200E">
        <w:rPr>
          <w:rFonts w:ascii="Arial" w:eastAsia="Arial" w:hAnsi="Arial" w:cs="Arial"/>
        </w:rPr>
        <w:t xml:space="preserve"> </w:t>
      </w:r>
    </w:p>
  </w:footnote>
  <w:footnote w:id="2">
    <w:p w14:paraId="6D2413CF" w14:textId="00EA2A98" w:rsidR="00A161E5" w:rsidRPr="00E6200E" w:rsidRDefault="00A161E5" w:rsidP="00194448">
      <w:pPr>
        <w:pStyle w:val="Textodenotaderodap"/>
        <w:ind w:firstLine="0"/>
      </w:pPr>
      <w:r w:rsidRPr="00E6200E">
        <w:rPr>
          <w:rStyle w:val="Refdenotaderodap"/>
          <w:rFonts w:ascii="Arial" w:eastAsia="Arial" w:hAnsi="Arial" w:cs="Arial"/>
        </w:rPr>
        <w:footnoteRef/>
      </w:r>
      <w:r w:rsidRPr="00E6200E">
        <w:rPr>
          <w:rFonts w:ascii="Arial" w:eastAsia="Arial" w:hAnsi="Arial" w:cs="Arial"/>
        </w:rPr>
        <w:t xml:space="preserve">  </w:t>
      </w:r>
      <w:r w:rsidR="00C8647D" w:rsidRPr="00E6200E">
        <w:rPr>
          <w:rFonts w:ascii="Arial" w:eastAsia="Arial" w:hAnsi="Arial" w:cs="Arial"/>
        </w:rPr>
        <w:t>Doutor em Design e Expressão Gráfica</w:t>
      </w:r>
      <w:r w:rsidR="001D3E32">
        <w:rPr>
          <w:rFonts w:ascii="Arial" w:eastAsia="Arial" w:hAnsi="Arial" w:cs="Arial"/>
        </w:rPr>
        <w:t xml:space="preserve"> (UFSC)</w:t>
      </w:r>
      <w:r w:rsidRPr="00E6200E">
        <w:rPr>
          <w:rFonts w:ascii="Arial" w:eastAsia="Arial" w:hAnsi="Arial" w:cs="Arial"/>
        </w:rPr>
        <w:t xml:space="preserve">, </w:t>
      </w:r>
      <w:r w:rsidR="00C8647D" w:rsidRPr="00E6200E">
        <w:rPr>
          <w:rFonts w:ascii="Arial" w:eastAsia="Arial" w:hAnsi="Arial" w:cs="Arial"/>
        </w:rPr>
        <w:t>Universidade Regional de Blumenau, Blumenau, SC, Brasil</w:t>
      </w:r>
      <w:r w:rsidRPr="00E6200E">
        <w:rPr>
          <w:rFonts w:ascii="Arial" w:eastAsia="Arial" w:hAnsi="Arial" w:cs="Arial"/>
        </w:rPr>
        <w:t xml:space="preserve">, </w:t>
      </w:r>
      <w:hyperlink r:id="rId2" w:history="1">
        <w:r w:rsidR="00C8647D" w:rsidRPr="00E6200E">
          <w:rPr>
            <w:rStyle w:val="Hyperlink"/>
            <w:rFonts w:ascii="Arial" w:eastAsia="Arial" w:hAnsi="Arial" w:cs="Arial"/>
          </w:rPr>
          <w:t>lwribeiro@furb.br</w:t>
        </w:r>
      </w:hyperlink>
      <w:r w:rsidR="00C8647D" w:rsidRPr="00E6200E">
        <w:rPr>
          <w:rFonts w:ascii="Arial" w:eastAsia="Arial" w:hAnsi="Arial" w:cs="Arial"/>
        </w:rPr>
        <w:t xml:space="preserve"> </w:t>
      </w:r>
    </w:p>
  </w:footnote>
  <w:footnote w:id="3">
    <w:p w14:paraId="5F25C380" w14:textId="610A78D5" w:rsidR="00A161E5" w:rsidRDefault="00A161E5" w:rsidP="00194448">
      <w:pPr>
        <w:pStyle w:val="Textodenotaderodap"/>
        <w:ind w:firstLine="0"/>
      </w:pPr>
      <w:r w:rsidRPr="00E6200E">
        <w:rPr>
          <w:rStyle w:val="Refdenotaderodap"/>
          <w:rFonts w:ascii="Arial" w:eastAsia="Arial" w:hAnsi="Arial" w:cs="Arial"/>
        </w:rPr>
        <w:footnoteRef/>
      </w:r>
      <w:r w:rsidRPr="00E6200E">
        <w:rPr>
          <w:rFonts w:ascii="Arial" w:eastAsia="Arial" w:hAnsi="Arial" w:cs="Arial"/>
        </w:rPr>
        <w:t xml:space="preserve">  </w:t>
      </w:r>
      <w:r w:rsidR="00E6200E" w:rsidRPr="00E6200E">
        <w:rPr>
          <w:rFonts w:ascii="Arial" w:eastAsia="Arial" w:hAnsi="Arial" w:cs="Arial"/>
        </w:rPr>
        <w:t>Graduanda em Publicidade e Propaganda</w:t>
      </w:r>
      <w:r w:rsidR="001D3E32">
        <w:rPr>
          <w:rFonts w:ascii="Arial" w:eastAsia="Arial" w:hAnsi="Arial" w:cs="Arial"/>
        </w:rPr>
        <w:t xml:space="preserve"> (Furb)</w:t>
      </w:r>
      <w:r w:rsidR="00E6200E" w:rsidRPr="00E6200E">
        <w:rPr>
          <w:rFonts w:ascii="Arial" w:eastAsia="Arial" w:hAnsi="Arial" w:cs="Arial"/>
        </w:rPr>
        <w:t>, Universidade Regional de Blumenau, Blumenau, SC, Brasil</w:t>
      </w:r>
      <w:r w:rsidR="00E6200E">
        <w:rPr>
          <w:rFonts w:ascii="Arial" w:eastAsia="Arial" w:hAnsi="Arial" w:cs="Arial"/>
        </w:rPr>
        <w:t xml:space="preserve">, </w:t>
      </w:r>
      <w:hyperlink r:id="rId3" w:history="1">
        <w:r w:rsidR="00E6200E" w:rsidRPr="004E78EB">
          <w:rPr>
            <w:rStyle w:val="Hyperlink"/>
            <w:rFonts w:ascii="Arial" w:eastAsia="Arial" w:hAnsi="Arial" w:cs="Arial"/>
          </w:rPr>
          <w:t>mvsetter@furb.br</w:t>
        </w:r>
      </w:hyperlink>
      <w:r w:rsidR="00E6200E">
        <w:rPr>
          <w:rFonts w:ascii="Arial" w:eastAsia="Arial" w:hAnsi="Arial" w:cs="Aria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4C0B6D">
    <w:pPr>
      <w:pStyle w:val="Cabealho"/>
    </w:pPr>
    <w:r>
      <w:rPr>
        <w:noProof/>
      </w:rPr>
    </w:r>
    <w:r w:rsidR="004C0B6D"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alt="" style="position:absolute;left:0;text-align:left;margin-left:0;margin-top:0;width:452.8pt;height:640.45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4CB68DF" w14:paraId="361B309D" w14:textId="77777777" w:rsidTr="34CB68DF">
      <w:trPr>
        <w:trHeight w:val="300"/>
      </w:trPr>
      <w:tc>
        <w:tcPr>
          <w:tcW w:w="3020" w:type="dxa"/>
        </w:tcPr>
        <w:p w14:paraId="41E4DFF2" w14:textId="356FBE85" w:rsidR="34CB68DF" w:rsidRDefault="34CB68DF" w:rsidP="34CB68DF">
          <w:pPr>
            <w:pStyle w:val="Cabealho"/>
            <w:ind w:left="-115"/>
            <w:jc w:val="left"/>
          </w:pPr>
        </w:p>
      </w:tc>
      <w:tc>
        <w:tcPr>
          <w:tcW w:w="3020" w:type="dxa"/>
        </w:tcPr>
        <w:p w14:paraId="27B5DE16" w14:textId="2896992E" w:rsidR="34CB68DF" w:rsidRDefault="34CB68DF" w:rsidP="34CB68DF">
          <w:pPr>
            <w:pStyle w:val="Cabealho"/>
            <w:jc w:val="center"/>
          </w:pPr>
        </w:p>
      </w:tc>
      <w:tc>
        <w:tcPr>
          <w:tcW w:w="3020" w:type="dxa"/>
        </w:tcPr>
        <w:p w14:paraId="19B8502F" w14:textId="31FE771D" w:rsidR="34CB68DF" w:rsidRDefault="34CB68DF" w:rsidP="34CB68DF">
          <w:pPr>
            <w:pStyle w:val="Cabealho"/>
            <w:ind w:right="-115"/>
            <w:jc w:val="right"/>
          </w:pPr>
        </w:p>
      </w:tc>
    </w:tr>
  </w:tbl>
  <w:p w14:paraId="0483C001" w14:textId="2506663A" w:rsidR="34CB68DF" w:rsidRDefault="004C0B6D" w:rsidP="34CB68DF">
    <w:pPr>
      <w:pStyle w:val="Cabealho"/>
    </w:pPr>
    <w:r>
      <w:rPr>
        <w:noProof/>
      </w:rPr>
    </w:r>
    <w:r w:rsidR="004C0B6D"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alt="" style="position:absolute;left:0;text-align:left;margin-left:-73.45pt;margin-top:-75.1pt;width:571.45pt;height:829.4pt;z-index:-251658238;mso-wrap-edited:f;mso-width-percent:0;mso-height-percent:0;mso-position-horizontal-relative:margin;mso-position-vertical-relative:margin;mso-width-percent:0;mso-height-percent:0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4C0B6D">
    <w:pPr>
      <w:pStyle w:val="Cabealho"/>
    </w:pPr>
    <w:r>
      <w:rPr>
        <w:noProof/>
      </w:rPr>
    </w:r>
    <w:r w:rsidR="004C0B6D"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alt="" style="position:absolute;left:0;text-align:left;margin-left:0;margin-top:0;width:452.8pt;height:640.4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3"/>
  </w:num>
  <w:num w:numId="2" w16cid:durableId="1066029037">
    <w:abstractNumId w:val="6"/>
  </w:num>
  <w:num w:numId="3" w16cid:durableId="1085955489">
    <w:abstractNumId w:val="4"/>
  </w:num>
  <w:num w:numId="4" w16cid:durableId="425228222">
    <w:abstractNumId w:val="0"/>
  </w:num>
  <w:num w:numId="5" w16cid:durableId="1219895703">
    <w:abstractNumId w:val="5"/>
  </w:num>
  <w:num w:numId="6" w16cid:durableId="881675366">
    <w:abstractNumId w:val="1"/>
  </w:num>
  <w:num w:numId="7" w16cid:durableId="1310018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251AB"/>
    <w:rsid w:val="00026BCD"/>
    <w:rsid w:val="0004284F"/>
    <w:rsid w:val="00042954"/>
    <w:rsid w:val="0004452C"/>
    <w:rsid w:val="00055BA2"/>
    <w:rsid w:val="00057443"/>
    <w:rsid w:val="00083ECD"/>
    <w:rsid w:val="0008414C"/>
    <w:rsid w:val="00091F4C"/>
    <w:rsid w:val="000A0247"/>
    <w:rsid w:val="000B3107"/>
    <w:rsid w:val="000B3767"/>
    <w:rsid w:val="00116C61"/>
    <w:rsid w:val="00126DD2"/>
    <w:rsid w:val="00133DE8"/>
    <w:rsid w:val="00143DA4"/>
    <w:rsid w:val="0015196A"/>
    <w:rsid w:val="00154AF7"/>
    <w:rsid w:val="00163493"/>
    <w:rsid w:val="00172360"/>
    <w:rsid w:val="00194448"/>
    <w:rsid w:val="001A1913"/>
    <w:rsid w:val="001A3BDA"/>
    <w:rsid w:val="001B0B31"/>
    <w:rsid w:val="001D23A0"/>
    <w:rsid w:val="001D3E32"/>
    <w:rsid w:val="001E75F3"/>
    <w:rsid w:val="001F6136"/>
    <w:rsid w:val="00217CF3"/>
    <w:rsid w:val="002506BE"/>
    <w:rsid w:val="00251815"/>
    <w:rsid w:val="0029403C"/>
    <w:rsid w:val="00297730"/>
    <w:rsid w:val="002A6224"/>
    <w:rsid w:val="002D4387"/>
    <w:rsid w:val="002E5744"/>
    <w:rsid w:val="0030144E"/>
    <w:rsid w:val="0030158D"/>
    <w:rsid w:val="003063C9"/>
    <w:rsid w:val="00376646"/>
    <w:rsid w:val="00390C0D"/>
    <w:rsid w:val="00391E0A"/>
    <w:rsid w:val="00391F87"/>
    <w:rsid w:val="003A16B9"/>
    <w:rsid w:val="003A53FB"/>
    <w:rsid w:val="003B2FAA"/>
    <w:rsid w:val="003B3B70"/>
    <w:rsid w:val="003B5B9D"/>
    <w:rsid w:val="003B6045"/>
    <w:rsid w:val="003D08B6"/>
    <w:rsid w:val="003E279A"/>
    <w:rsid w:val="003F1BFE"/>
    <w:rsid w:val="003F656B"/>
    <w:rsid w:val="00403677"/>
    <w:rsid w:val="00435A4C"/>
    <w:rsid w:val="004371A8"/>
    <w:rsid w:val="00442C14"/>
    <w:rsid w:val="00454912"/>
    <w:rsid w:val="00483A93"/>
    <w:rsid w:val="00485239"/>
    <w:rsid w:val="00485697"/>
    <w:rsid w:val="004B0EE5"/>
    <w:rsid w:val="004C0B6D"/>
    <w:rsid w:val="004C0FF1"/>
    <w:rsid w:val="004C10A5"/>
    <w:rsid w:val="004C446D"/>
    <w:rsid w:val="004D022B"/>
    <w:rsid w:val="00501902"/>
    <w:rsid w:val="00522804"/>
    <w:rsid w:val="00526D12"/>
    <w:rsid w:val="00531E8C"/>
    <w:rsid w:val="0057474E"/>
    <w:rsid w:val="00576DF9"/>
    <w:rsid w:val="00597F8A"/>
    <w:rsid w:val="005A2B0A"/>
    <w:rsid w:val="005C5724"/>
    <w:rsid w:val="005C58D8"/>
    <w:rsid w:val="005D3A9E"/>
    <w:rsid w:val="005F7065"/>
    <w:rsid w:val="0060173B"/>
    <w:rsid w:val="006017C1"/>
    <w:rsid w:val="006032B4"/>
    <w:rsid w:val="006306D9"/>
    <w:rsid w:val="00646D7A"/>
    <w:rsid w:val="0068327B"/>
    <w:rsid w:val="00695D93"/>
    <w:rsid w:val="006C2E27"/>
    <w:rsid w:val="006D2F5D"/>
    <w:rsid w:val="006D3ABF"/>
    <w:rsid w:val="006E7866"/>
    <w:rsid w:val="007016EA"/>
    <w:rsid w:val="00704890"/>
    <w:rsid w:val="00707214"/>
    <w:rsid w:val="00717678"/>
    <w:rsid w:val="00760B15"/>
    <w:rsid w:val="0076389E"/>
    <w:rsid w:val="00777399"/>
    <w:rsid w:val="00777958"/>
    <w:rsid w:val="007A1F67"/>
    <w:rsid w:val="007B3083"/>
    <w:rsid w:val="007B7881"/>
    <w:rsid w:val="007C257B"/>
    <w:rsid w:val="007D0EAE"/>
    <w:rsid w:val="007E2E87"/>
    <w:rsid w:val="007E33B8"/>
    <w:rsid w:val="00816D36"/>
    <w:rsid w:val="00823FCA"/>
    <w:rsid w:val="00836A3A"/>
    <w:rsid w:val="008562B7"/>
    <w:rsid w:val="00865FF8"/>
    <w:rsid w:val="0087040B"/>
    <w:rsid w:val="00892CA9"/>
    <w:rsid w:val="008967EE"/>
    <w:rsid w:val="008B711F"/>
    <w:rsid w:val="008C02E5"/>
    <w:rsid w:val="008C6DFB"/>
    <w:rsid w:val="008F32E8"/>
    <w:rsid w:val="008F3891"/>
    <w:rsid w:val="0090786F"/>
    <w:rsid w:val="00915550"/>
    <w:rsid w:val="009173EC"/>
    <w:rsid w:val="00965B62"/>
    <w:rsid w:val="009676AF"/>
    <w:rsid w:val="00971680"/>
    <w:rsid w:val="0098531D"/>
    <w:rsid w:val="009A0059"/>
    <w:rsid w:val="009A33DE"/>
    <w:rsid w:val="009B4393"/>
    <w:rsid w:val="009E3B90"/>
    <w:rsid w:val="009E6C0F"/>
    <w:rsid w:val="00A161E5"/>
    <w:rsid w:val="00A223FB"/>
    <w:rsid w:val="00A27006"/>
    <w:rsid w:val="00A35ED3"/>
    <w:rsid w:val="00A47061"/>
    <w:rsid w:val="00A876BE"/>
    <w:rsid w:val="00AB2173"/>
    <w:rsid w:val="00AB47AE"/>
    <w:rsid w:val="00AD5392"/>
    <w:rsid w:val="00AD658C"/>
    <w:rsid w:val="00AF346D"/>
    <w:rsid w:val="00AF4418"/>
    <w:rsid w:val="00B2706C"/>
    <w:rsid w:val="00B31EAA"/>
    <w:rsid w:val="00B35ECD"/>
    <w:rsid w:val="00B47A4E"/>
    <w:rsid w:val="00B61B60"/>
    <w:rsid w:val="00B6500C"/>
    <w:rsid w:val="00B663F7"/>
    <w:rsid w:val="00B7745C"/>
    <w:rsid w:val="00B801C6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76DE"/>
    <w:rsid w:val="00BF09E3"/>
    <w:rsid w:val="00C8647D"/>
    <w:rsid w:val="00C8769A"/>
    <w:rsid w:val="00CA612A"/>
    <w:rsid w:val="00CC3A42"/>
    <w:rsid w:val="00CD2AF8"/>
    <w:rsid w:val="00CD581C"/>
    <w:rsid w:val="00CD7E56"/>
    <w:rsid w:val="00CF427F"/>
    <w:rsid w:val="00D07AAE"/>
    <w:rsid w:val="00D16DAA"/>
    <w:rsid w:val="00D17DEF"/>
    <w:rsid w:val="00D40431"/>
    <w:rsid w:val="00D4622B"/>
    <w:rsid w:val="00D77336"/>
    <w:rsid w:val="00D86381"/>
    <w:rsid w:val="00D97213"/>
    <w:rsid w:val="00DA1797"/>
    <w:rsid w:val="00DC0714"/>
    <w:rsid w:val="00DE30BE"/>
    <w:rsid w:val="00DF040B"/>
    <w:rsid w:val="00E044EA"/>
    <w:rsid w:val="00E05F28"/>
    <w:rsid w:val="00E35CFA"/>
    <w:rsid w:val="00E406F6"/>
    <w:rsid w:val="00E57BDA"/>
    <w:rsid w:val="00E6200E"/>
    <w:rsid w:val="00E65BC9"/>
    <w:rsid w:val="00E73320"/>
    <w:rsid w:val="00E91D9C"/>
    <w:rsid w:val="00EC07F3"/>
    <w:rsid w:val="00EC1F91"/>
    <w:rsid w:val="00ED4385"/>
    <w:rsid w:val="00ED7BE5"/>
    <w:rsid w:val="00EE2639"/>
    <w:rsid w:val="00F27CE0"/>
    <w:rsid w:val="00F46CF2"/>
    <w:rsid w:val="00F647DC"/>
    <w:rsid w:val="00F72FD3"/>
    <w:rsid w:val="00F92191"/>
    <w:rsid w:val="00F97363"/>
    <w:rsid w:val="00F97C22"/>
    <w:rsid w:val="00FB7715"/>
    <w:rsid w:val="00FC02FB"/>
    <w:rsid w:val="00FC4166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ibliografia">
    <w:name w:val="Bibliography"/>
    <w:basedOn w:val="Normal"/>
    <w:next w:val="Normal"/>
    <w:uiPriority w:val="37"/>
    <w:semiHidden/>
    <w:unhideWhenUsed/>
    <w:rsid w:val="00C8647D"/>
    <w:pPr>
      <w:widowControl w:val="0"/>
      <w:suppressAutoHyphens/>
      <w:spacing w:line="240" w:lineRule="auto"/>
      <w:ind w:firstLine="0"/>
      <w:jc w:val="left"/>
    </w:pPr>
    <w:rPr>
      <w:rFonts w:ascii="Times New Roman" w:eastAsia="Lucida Sans Unicode" w:hAnsi="Times New Roman" w:cs="Times New Roman"/>
      <w:kern w:val="0"/>
      <w:sz w:val="24"/>
      <w:szCs w:val="24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urb.br/pt/noticias/focus-identifica-perfil-e-motivacoes-das-pessoas-que-doam-sangue-60-nunca-doara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mvsetter@furb.br" TargetMode="External"/><Relationship Id="rId2" Type="http://schemas.openxmlformats.org/officeDocument/2006/relationships/hyperlink" Target="mailto:lwribeiro@furb.br" TargetMode="External"/><Relationship Id="rId1" Type="http://schemas.openxmlformats.org/officeDocument/2006/relationships/hyperlink" Target="mailto:rbona@furb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1926</Words>
  <Characters>10405</Characters>
  <Application>Microsoft Office Word</Application>
  <DocSecurity>0</DocSecurity>
  <Lines>86</Lines>
  <Paragraphs>24</Paragraphs>
  <ScaleCrop>false</ScaleCrop>
  <Company/>
  <LinksUpToDate>false</LinksUpToDate>
  <CharactersWithSpaces>12307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Rafael José Bona</cp:lastModifiedBy>
  <cp:revision>14</cp:revision>
  <dcterms:created xsi:type="dcterms:W3CDTF">2025-09-15T14:26:00Z</dcterms:created>
  <dcterms:modified xsi:type="dcterms:W3CDTF">2025-10-13T23:30:00Z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