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FOTOCATÁLISE HETEROGÊNEA COM TiO</w:t>
      </w:r>
      <w:r w:rsidDel="00000000" w:rsidR="00000000" w:rsidRPr="00000000">
        <w:rPr>
          <w:b w:val="1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b w:val="1"/>
          <w:sz w:val="24"/>
          <w:szCs w:val="24"/>
          <w:rtl w:val="0"/>
        </w:rPr>
        <w:t xml:space="preserve">PURO E DOPADO COM METAIS NA REMOÇÃO DE CORANTES DE EFLUENTES TÊXTEIS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Isabella Gurgel Pinheiro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Josué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da Silva Buri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ti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Ewerton Carvalho de Souza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; Maria do Perpetuo Socorro Progene Vilhena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after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Graduanda em Engenharia Ambiental e Energias Renováveis. Universidade Federal Rural da Amazônia. Isabellagurgel18@gmail.com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Doutor. Universidade Federal Rural da Amazônia.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Doutor. Universidade Federal Rural da Amazônia.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Doutora. Universidade Federal Rural da Amazônia.</w:t>
      </w:r>
    </w:p>
    <w:p w:rsidR="00000000" w:rsidDel="00000000" w:rsidP="00000000" w:rsidRDefault="00000000" w:rsidRPr="00000000" w14:paraId="0000000A">
      <w:pPr>
        <w:tabs>
          <w:tab w:val="left" w:leader="none" w:pos="2500"/>
        </w:tabs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50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50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0"/>
        </w:tabs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efluentes da indústria têxtil representam uma preocupação emergente devido à sua composição com elevada carga orgânica e à presença de </w:t>
      </w:r>
      <w:r w:rsidDel="00000000" w:rsidR="00000000" w:rsidRPr="00000000">
        <w:rPr>
          <w:sz w:val="24"/>
          <w:szCs w:val="24"/>
          <w:rtl w:val="0"/>
        </w:rPr>
        <w:t xml:space="preserve">corantes oriundos dos processos de tingimento</w:t>
      </w:r>
      <w:r w:rsidDel="00000000" w:rsidR="00000000" w:rsidRPr="00000000">
        <w:rPr>
          <w:sz w:val="24"/>
          <w:szCs w:val="24"/>
          <w:rtl w:val="0"/>
        </w:rPr>
        <w:t xml:space="preserve">, o que pode afetar o processo fotossintético, consolidando a necessidade de tratamento adequado. Nesse contexto, os Processos Oxidativos Avançados (POA), especialmente a fotocatálise heterogênea, destacam-se como alternativas mais eficientes para a degradação de poluentes orgânicos em comparação aos métodos tradicionais de desinfecção. Esse processo requer o uso de um semicondutor, como o dióxido de titânio (TiO₂), que apresenta diversas vantagens, entre elas a atoxicidade e a estabilidade química e biológica. Para a síntese dos catalisadores empregou-se o método sol-gel, o qual possibilita o controle estequiométrico da reação, a síntese em baixas temperaturas e a obtenção de materiais com elevado grau de pureza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O estudo tem como objetivo avaliar a eficiência fotocatalítica dos catalisadores puro e dopado com metais prata, ferro e zinco na remoção do corante azul de metileno, sob radiação UV artificial e solar natural, para aplicação no tratamento de efluentes de indústria têxtil.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 catalisadores puros foram sintetizados a partir da mistura de isopropóxido de titânio (IV), álcool isopropílico, água destilada e ácido clorídrico na proporção de, respectivamente, (1:10:8:0,4). Para os catalisadores dopados, foi adicionada uma alíquota de 10 mL da solução de sal de nitrato de prata 0,1 mol/L, sulfato de ferro (II) heptahidratado 0,1 mol/L ou sulfato de zinco heptahidratado 0,1 mol/L, mantendo a proporção de 0,01 mol para o respectivo metal. A mistura foi submetida a agitação magnética por 2 h, com temperatura entre 60 °C e 80 °C, seguida de repouso por 48 h e banho-maria por 2 h </w:t>
      </w:r>
      <w:r w:rsidDel="00000000" w:rsidR="00000000" w:rsidRPr="00000000">
        <w:rPr>
          <w:sz w:val="24"/>
          <w:szCs w:val="24"/>
          <w:rtl w:val="0"/>
        </w:rPr>
        <w:t xml:space="preserve">a uma temperatura média de 80 °C</w:t>
      </w:r>
      <w:r w:rsidDel="00000000" w:rsidR="00000000" w:rsidRPr="00000000">
        <w:rPr>
          <w:sz w:val="24"/>
          <w:szCs w:val="24"/>
          <w:rtl w:val="0"/>
        </w:rPr>
        <w:t xml:space="preserve">. Após isso, o material foi calcinado a 500 °C por 2 h, macerado e peneirado para controle do tamanho do pó. Os catalisadores foram adicionados em solução de azul de metileno 12 mg/L a concentração 0,5% (m/v) nos Erlenmeyers, em duplicata na mesa agitadora por 120 min. As alíquotas de 10 mL foram retiradas em intervalos de 15 min, mantidas em centrifugação a 2500 rpm por 4 min e levadas para análise da absorbância no espectrofotômetro em 660 nm. Os testes foram realizados da mesma maneira sob radiação UV artificial no reator fotocatalítico com lâmpadas germicidas e sob luz solar.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Dessa forma, os resultados indicaram maior eficácia de remoção do catalisador de TiO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/Ag tanto em luz UV artificial quanto em luz solar, o qual atingiu remoção de 99,75% e 99,98%, respectivamente, nos 120 min. Os catalisadores dopados com ferro e zinco obtiveram eficiência de 43,69% e 35,66%, respectivamente, nos testes sob luz UV artificial; em contrapartida, sob luz solar essa taxa aumentou para 64,37% e 98,7%. Assim</w:t>
      </w:r>
      <w:r w:rsidDel="00000000" w:rsidR="00000000" w:rsidRPr="00000000">
        <w:rPr>
          <w:sz w:val="24"/>
          <w:szCs w:val="24"/>
          <w:rtl w:val="0"/>
        </w:rPr>
        <w:t xml:space="preserve">, conclui-se </w:t>
      </w:r>
      <w:r w:rsidDel="00000000" w:rsidR="00000000" w:rsidRPr="00000000">
        <w:rPr>
          <w:sz w:val="24"/>
          <w:szCs w:val="24"/>
          <w:rtl w:val="0"/>
        </w:rPr>
        <w:t xml:space="preserve">que o TiO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/Ag obteve maior eficiência no processo de degradação do corante e possui grande potencial para uso no processo de descontaminação da água residual da indústria têxtil.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0"/>
        </w:tabs>
        <w:spacing w:after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Corante. Catalisador. Dopado.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Área de Interesse do Simpósio: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Engenharias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.8582677165355" w:top="1700.7874015748032" w:left="1700.7874015748032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4" name="image4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9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3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7.png"/><Relationship Id="rId9" Type="http://schemas.openxmlformats.org/officeDocument/2006/relationships/image" Target="media/image10.png"/><Relationship Id="rId5" Type="http://schemas.openxmlformats.org/officeDocument/2006/relationships/image" Target="media/image5.png"/><Relationship Id="rId6" Type="http://schemas.openxmlformats.org/officeDocument/2006/relationships/image" Target="media/image9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