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AVALIAÇÃO DA VIABILIDADE E DANOS POR INSETOS EM MATRIZES DE SEMENTES DE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Tachigali vulgaris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PARÁ, BRASIL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Larissa Vitória Barbosa Bacelar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Noemi Vianna Martins Leão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Estér Irineu da Silva e Elizabeth Santos Cordeiro Shimizu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after="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Mestre em Ciências Florestais. Bolsista DTI CNPq.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larissabacelar99@gmail.com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Doutora em Ciências Florestais. Embrapa Amazônia Oriental. noemi.leao@embrapa.br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Técnica em Florestas. Bolsista FAPED. tecnicaemflorestasester@gmail.com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Mestre em Agronomia. Embrapa Amazônia Oriental. elizabeth.shimizu@embrapa.br.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0"/>
        </w:tabs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 carvão vegetal representa um fator importante na transição energética global, entre as espécies com grande potencial nessa indústria está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Tachigali vulgaris</w:t>
      </w:r>
      <w:r w:rsidDel="00000000" w:rsidR="00000000" w:rsidRPr="00000000">
        <w:rPr>
          <w:sz w:val="24"/>
          <w:szCs w:val="24"/>
          <w:rtl w:val="0"/>
        </w:rPr>
        <w:t xml:space="preserve"> (Tachi-branco), que apresenta rápido crescimento, alto rendimento de biomassa e poder calorífico elevado. Por outro lado, o estabelecimento dos plantios é ameaçado pela predação oriunda de insetos que resulta na inviabilidade das sementes. O objetivo deste trabalho foi determinar a viabilidade de sementes de matrizes de Tachi-branco oriundas do Campo Experimental da Embrapa, Belterra (PA). Foram avaliados os lotes coletados em 2022 de quatro matrizes: I, II, III e IV. Para a avaliação do lote as sementes foram separadas em quatro repetições de 100 sementes, avaliando-se o peso de 100 sementes, das sementes viáveis e danificadas, além do número de sementes danificadas e não danificadas. As matrizes II e IV apresentaram valores semelhantes relacionados às sementes danificadas (5 e 5,25 sementes, respectivamente). A matriz III foi a que apresentou o maior peso em 100 sementes (11,47 g), entretanto, foi a que apresentou o maior número de sementes danificadas (média de 6,25 sementes). A matriz I apresentou peso médio de 9,475 g, e embora tenha sido inferior à matriz III, teve uma média de 3 sementes danificadas. Nesse sentido, a matriz I apresentou os melhores resultados referentes aos danos das sementes analisadas. Esse tipo de análise ressalta a importância de avaliar a procedência das sementes a serem utilizadas em plantios, seja para restauração florestal ou para produção de biomassa. Além disso, é fundamental compreender a dinâmica de predação do inseto causador da broca para se estabelecer formas de mitigar esse problema e garantir o sucesso dos plantios.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0"/>
        </w:tabs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Tachi-branco.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Análise física. Sementes florestais.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after="240" w:line="3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Agrárias.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8783382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1878338278" name="image3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878338277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187833828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-222884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1878338285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87833828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187833827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187833828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187833828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87833828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553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rissabacelar99@gmail.com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10.png"/><Relationship Id="rId4" Type="http://schemas.openxmlformats.org/officeDocument/2006/relationships/image" Target="media/image6.png"/><Relationship Id="rId9" Type="http://schemas.openxmlformats.org/officeDocument/2006/relationships/image" Target="media/image2.png"/><Relationship Id="rId5" Type="http://schemas.openxmlformats.org/officeDocument/2006/relationships/image" Target="media/image9.png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ggAi/wXTjwozgjtTy0/AT68cg==">CgMxLjA4AHIhMUM2cFI1MHNaY2JFZDFONnNrNnN4MHd1VjE3OTdiVldj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2025-08-21T16:09:00Z</dcterms:created>
  <dc:creator>Viviane Gomes</dc:creator>
</cp:coreProperties>
</file>