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E3AE" w14:textId="77777777" w:rsidR="00945DE0" w:rsidRPr="004178F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7EE58" w14:textId="4FCA132E" w:rsidR="004178FD" w:rsidRPr="004178FD" w:rsidRDefault="004F71E1" w:rsidP="00417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1E1">
        <w:rPr>
          <w:rFonts w:ascii="Times New Roman" w:hAnsi="Times New Roman" w:cs="Times New Roman"/>
          <w:b/>
          <w:bCs/>
          <w:sz w:val="24"/>
          <w:szCs w:val="24"/>
        </w:rPr>
        <w:t>Desafios da Herança Digital: Conflito entre a Sucessão e a Privacidade Póstuma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F4441" w14:textId="2F7EFD6B" w:rsidR="004178FD" w:rsidRPr="006A1FA8" w:rsidRDefault="004F71E1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Geovanny</w:t>
      </w:r>
      <w:proofErr w:type="spellEnd"/>
      <w:r>
        <w:rPr>
          <w:rFonts w:ascii="Times New Roman" w:hAnsi="Times New Roman" w:cs="Times New Roman"/>
        </w:rPr>
        <w:t xml:space="preserve"> Cavalcanti Teixeira</w:t>
      </w:r>
      <w:r w:rsidR="004178FD" w:rsidRPr="006A1FA8">
        <w:rPr>
          <w:rFonts w:ascii="Times New Roman" w:hAnsi="Times New Roman" w:cs="Times New Roman"/>
        </w:rPr>
        <w:t>– UFRN</w:t>
      </w:r>
    </w:p>
    <w:p w14:paraId="1CBA2A09" w14:textId="62225AE7" w:rsidR="004178FD" w:rsidRPr="006A1FA8" w:rsidRDefault="004F71E1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geovanny.cavalcanti.706@ufrn.edu.br</w:t>
      </w:r>
    </w:p>
    <w:p w14:paraId="2CEB6C7E" w14:textId="3D037E5B" w:rsidR="004178FD" w:rsidRPr="006A1FA8" w:rsidRDefault="004F71E1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Moisés Wilkison Santos de Medeiros</w:t>
      </w:r>
      <w:r w:rsidR="004178FD" w:rsidRPr="006A1FA8">
        <w:rPr>
          <w:rFonts w:ascii="Times New Roman" w:hAnsi="Times New Roman" w:cs="Times New Roman"/>
        </w:rPr>
        <w:t xml:space="preserve"> - UFRN</w:t>
      </w:r>
    </w:p>
    <w:p w14:paraId="5EADF3B7" w14:textId="7AA6FA94" w:rsidR="004178FD" w:rsidRPr="006A1FA8" w:rsidRDefault="004F71E1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moises.wilkison@icloud.com</w:t>
      </w:r>
    </w:p>
    <w:p w14:paraId="526B9A6E" w14:textId="77777777" w:rsidR="004178FD" w:rsidRPr="006A1FA8" w:rsidRDefault="004178FD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A1FA8">
        <w:rPr>
          <w:rFonts w:ascii="Times New Roman" w:hAnsi="Times New Roman" w:cs="Times New Roman"/>
        </w:rPr>
        <w:t>Dimitre</w:t>
      </w:r>
      <w:proofErr w:type="spellEnd"/>
      <w:r w:rsidRPr="006A1FA8">
        <w:rPr>
          <w:rFonts w:ascii="Times New Roman" w:hAnsi="Times New Roman" w:cs="Times New Roman"/>
        </w:rPr>
        <w:t xml:space="preserve"> Braga Soares de Carvalho – UFRN</w:t>
      </w:r>
    </w:p>
    <w:p w14:paraId="05105DD5" w14:textId="77777777" w:rsidR="004178FD" w:rsidRDefault="004178FD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A1FA8">
        <w:rPr>
          <w:rFonts w:ascii="Times New Roman" w:hAnsi="Times New Roman" w:cs="Times New Roman"/>
          <w:i/>
          <w:iCs/>
        </w:rPr>
        <w:t>professordimitre@hotmail.com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0459BE8D" w14:textId="40E73B42" w:rsidR="004178FD" w:rsidRDefault="004F71E1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A era digital transformou profundamente a forma como interagimos com o mundo e como armazenamos informações. Uma das áreas onde essa transformação é mais evidente é na gestão da nossa identidade digital e dos nossos bens virtuais após a morte. A herança digital, que engloba desde contas de redes sociais até ativos digitais, apresenta desafios legais e éticos significativos, destacando-se o conflito entre o direito de sucessão e a privacidade póstuma. Este estudo se propõe a analisar os aspectos fundamentais desse conflito, considerando as implicações legais, tecnológicas e éticas envolvidas.</w:t>
      </w:r>
    </w:p>
    <w:p w14:paraId="428AFBB8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DB7466A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MATERIAIS E MÉTODOS </w:t>
      </w:r>
    </w:p>
    <w:p w14:paraId="1DD1E3EB" w14:textId="52F22323" w:rsidR="004178FD" w:rsidRPr="006B76FB" w:rsidRDefault="004F71E1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F71E1">
        <w:rPr>
          <w:rFonts w:ascii="Times New Roman" w:hAnsi="Times New Roman" w:cs="Times New Roman"/>
        </w:rPr>
        <w:t>Para conduzir esta análise abrangente dos desafios da herança digital, utilizamos uma abordagem interdisciplinar que combina pesquisa jurídica, análise de casos, revisão de literatura e considerações éticas. A pesquisa jurídica se concentrou na legislação atual relacionada à herança digital em diferentes jurisdições, incluindo os Estados Unidos e a União Europeia. A análise de casos envolveu a revisão de situações reais de conflito entre herança digital e privacidade póstuma. Além disso, foram revisados estudos acadêmicos e artigos de especialistas em ética digital e direito sucessório.</w:t>
      </w:r>
    </w:p>
    <w:p w14:paraId="2FF15B33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CC6A35" w14:textId="405E19A9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750B40CF" w14:textId="77777777" w:rsidR="004F71E1" w:rsidRPr="004178FD" w:rsidRDefault="004F71E1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1AB11D1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Aspectos Legais</w:t>
      </w:r>
    </w:p>
    <w:p w14:paraId="2AD7546C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CE7061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Os desafios legais da herança digital variam significativamente de acordo com a jurisdição. Nos Estados Unidos, por exemplo, alguns estados implementaram leis específicas para tratar da herança digital, enquanto outros ainda carecem de regulamentação adequada. Na União Europeia, a legislação de proteção de dados, como o GDPR, influencia diretamente a gestão da herança digital, equilibrando os direitos de sucessão e privacidade póstuma.</w:t>
      </w:r>
    </w:p>
    <w:p w14:paraId="07B9F51C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FCEBAC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Em geral, os tribunais estão se deparando com casos complexos que exigem uma análise cuidadosa das leis existentes. O desafio é encontrar um equilíbrio entre o direito legítimo dos herdeiros de acessar informações digitais e o respeito à privacidade do falecido. Isso levanta questões sobre como a legislação deve evoluir para acomodar as mudanças na tecnologia e nas práticas digitais.</w:t>
      </w:r>
    </w:p>
    <w:p w14:paraId="18E9D750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DF5E9E2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Aspectos Tecnológicos</w:t>
      </w:r>
    </w:p>
    <w:p w14:paraId="3E1A6A6E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671C3F2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A gestão da herança digital é complicada pela multiplicidade de plataformas e serviços online. Cada um deles possui políticas diferentes para lidar com a morte do usuário. Alguns permitem que um familiar acesse a conta após a morte do titular, enquanto outros impõem restrições rigorosas de privacidade.</w:t>
      </w:r>
    </w:p>
    <w:p w14:paraId="2576E76B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D98B8CE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lastRenderedPageBreak/>
        <w:t xml:space="preserve">A tecnologia </w:t>
      </w:r>
      <w:proofErr w:type="spellStart"/>
      <w:r w:rsidRPr="004F71E1">
        <w:rPr>
          <w:rFonts w:ascii="Times New Roman" w:hAnsi="Times New Roman" w:cs="Times New Roman"/>
        </w:rPr>
        <w:t>blockchain</w:t>
      </w:r>
      <w:proofErr w:type="spellEnd"/>
      <w:r w:rsidRPr="004F71E1">
        <w:rPr>
          <w:rFonts w:ascii="Times New Roman" w:hAnsi="Times New Roman" w:cs="Times New Roman"/>
        </w:rPr>
        <w:t xml:space="preserve"> também está emergindo como uma solução para a herança digital. Essa tecnologia permite que os ativos digitais sejam armazenados e transferidos de forma segura, com regras programáveis para a gestão após a morte. No entanto, a implementação em larga escala ainda enfrenta desafios técnicos e regulatórios.</w:t>
      </w:r>
    </w:p>
    <w:p w14:paraId="46F694DF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CBA0746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Aspectos Éticos</w:t>
      </w:r>
    </w:p>
    <w:p w14:paraId="07B60796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D4DC268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Os aspectos éticos da herança digital envolvem considerações profundas sobre a privacidade e o consentimento. Um dos principais dilemas é determinar se os desejos do falecido devem sempre prevalecer ou se existe uma obrigação moral de considerar os interesses dos herdeiros.</w:t>
      </w:r>
    </w:p>
    <w:p w14:paraId="5B280378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CF9BD0F" w14:textId="652B11FE" w:rsidR="004178FD" w:rsidRPr="006B76FB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F71E1">
        <w:rPr>
          <w:rFonts w:ascii="Times New Roman" w:hAnsi="Times New Roman" w:cs="Times New Roman"/>
        </w:rPr>
        <w:t xml:space="preserve">Além disso, questões éticas surgem quando se trata de ativos digitais que não são apenas pessoais, mas também valiosos, como contas de mídia social com </w:t>
      </w:r>
      <w:proofErr w:type="gramStart"/>
      <w:r w:rsidRPr="004F71E1">
        <w:rPr>
          <w:rFonts w:ascii="Times New Roman" w:hAnsi="Times New Roman" w:cs="Times New Roman"/>
        </w:rPr>
        <w:t>um grande número de seguidores</w:t>
      </w:r>
      <w:proofErr w:type="gramEnd"/>
      <w:r w:rsidRPr="004F71E1">
        <w:rPr>
          <w:rFonts w:ascii="Times New Roman" w:hAnsi="Times New Roman" w:cs="Times New Roman"/>
        </w:rPr>
        <w:t xml:space="preserve"> ou carteiras de criptomoedas. A quem pertencem esses ativos após a morte? Como eles devem ser gerenciados?</w:t>
      </w:r>
    </w:p>
    <w:p w14:paraId="5B75DBC3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535CD34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CONSIDERAÇÕES FINAIS </w:t>
      </w:r>
    </w:p>
    <w:p w14:paraId="57237751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O conflito entre o direito de sucessão e a privacidade póstuma na herança digital é um desafio multifacetado que requer uma abordagem equilibrada. A legislação deve evoluir para fornecer orientações claras sobre como lidar com os ativos digitais após a morte, garantindo ao mesmo tempo o respeito à privacidade do falecido.</w:t>
      </w:r>
    </w:p>
    <w:p w14:paraId="06A534F9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AEDE012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 xml:space="preserve">A tecnologia desempenha um papel crucial na gestão da herança digital. Soluções inovadoras, como contratos inteligentes baseados em </w:t>
      </w:r>
      <w:proofErr w:type="spellStart"/>
      <w:r w:rsidRPr="004F71E1">
        <w:rPr>
          <w:rFonts w:ascii="Times New Roman" w:hAnsi="Times New Roman" w:cs="Times New Roman"/>
        </w:rPr>
        <w:t>blockchain</w:t>
      </w:r>
      <w:proofErr w:type="spellEnd"/>
      <w:r w:rsidRPr="004F71E1">
        <w:rPr>
          <w:rFonts w:ascii="Times New Roman" w:hAnsi="Times New Roman" w:cs="Times New Roman"/>
        </w:rPr>
        <w:t>, podem oferecer maior transparência e automatização no processo de transferência de ativos digitais. No entanto, é importante que essas tecnologias sejam regulamentadas de forma adequada para evitar abusos.</w:t>
      </w:r>
    </w:p>
    <w:p w14:paraId="62B9BB13" w14:textId="77777777" w:rsidR="004F71E1" w:rsidRPr="004F71E1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4453521" w14:textId="6DB595FA" w:rsidR="004178FD" w:rsidRDefault="004F71E1" w:rsidP="004F71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1E1">
        <w:rPr>
          <w:rFonts w:ascii="Times New Roman" w:hAnsi="Times New Roman" w:cs="Times New Roman"/>
        </w:rPr>
        <w:t>Do ponto de vista ético, a discussão sobre a herança digital deve levar em consideração a vontade do falecido, mas também reconhecer que existem situações em que os interesses dos herdeiros legais devem ser considerados. Um diálogo aberto e a conscientização sobre essas questões são essenciais para encontrar soluções éticas</w:t>
      </w:r>
    </w:p>
    <w:p w14:paraId="3A877606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491BC489" w14:textId="4F1D9479" w:rsidR="007F5AA8" w:rsidRDefault="00FA4A9E" w:rsidP="00FA4A9E">
      <w:pPr>
        <w:spacing w:after="0" w:line="240" w:lineRule="auto"/>
        <w:ind w:left="280"/>
        <w:jc w:val="both"/>
        <w:rPr>
          <w:rFonts w:ascii="Times New Roman" w:hAnsi="Times New Roman" w:cs="Times New Roman"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="004F71E1" w:rsidRPr="00C73BC5">
        <w:rPr>
          <w:rFonts w:ascii="Times New Roman" w:hAnsi="Times New Roman" w:cs="Times New Roman"/>
        </w:rPr>
        <w:t>Herança digital</w:t>
      </w:r>
      <w:r w:rsidR="00C73BC5">
        <w:rPr>
          <w:rFonts w:ascii="Times New Roman" w:hAnsi="Times New Roman" w:cs="Times New Roman"/>
        </w:rPr>
        <w:t xml:space="preserve">. </w:t>
      </w:r>
      <w:r w:rsidR="004F71E1" w:rsidRPr="00C73BC5">
        <w:rPr>
          <w:rFonts w:ascii="Times New Roman" w:hAnsi="Times New Roman" w:cs="Times New Roman"/>
        </w:rPr>
        <w:t>Privacidade póstuma</w:t>
      </w:r>
      <w:r w:rsidR="00C73BC5">
        <w:rPr>
          <w:rFonts w:ascii="Times New Roman" w:hAnsi="Times New Roman" w:cs="Times New Roman"/>
        </w:rPr>
        <w:t xml:space="preserve">. </w:t>
      </w:r>
      <w:r w:rsidR="004F71E1" w:rsidRPr="00C73BC5">
        <w:rPr>
          <w:rFonts w:ascii="Times New Roman" w:hAnsi="Times New Roman" w:cs="Times New Roman"/>
        </w:rPr>
        <w:t>Direito de sucessão</w:t>
      </w:r>
      <w:r w:rsidR="00C73BC5">
        <w:rPr>
          <w:rFonts w:ascii="Times New Roman" w:hAnsi="Times New Roman" w:cs="Times New Roman"/>
        </w:rPr>
        <w:t xml:space="preserve">. </w:t>
      </w:r>
      <w:r w:rsidR="004F71E1" w:rsidRPr="00C73BC5">
        <w:rPr>
          <w:rFonts w:ascii="Times New Roman" w:hAnsi="Times New Roman" w:cs="Times New Roman"/>
        </w:rPr>
        <w:t>Aspectos legais</w:t>
      </w:r>
      <w:r w:rsidR="00C73BC5">
        <w:rPr>
          <w:rFonts w:ascii="Times New Roman" w:hAnsi="Times New Roman" w:cs="Times New Roman"/>
        </w:rPr>
        <w:t xml:space="preserve">. </w:t>
      </w:r>
      <w:r w:rsidR="004F71E1" w:rsidRPr="00C73BC5">
        <w:rPr>
          <w:rFonts w:ascii="Times New Roman" w:hAnsi="Times New Roman" w:cs="Times New Roman"/>
        </w:rPr>
        <w:t xml:space="preserve">Tecnologia </w:t>
      </w:r>
      <w:proofErr w:type="spellStart"/>
      <w:r w:rsidR="004F71E1" w:rsidRPr="00C73BC5">
        <w:rPr>
          <w:rFonts w:ascii="Times New Roman" w:hAnsi="Times New Roman" w:cs="Times New Roman"/>
        </w:rPr>
        <w:t>blockchain</w:t>
      </w:r>
      <w:proofErr w:type="spellEnd"/>
      <w:r w:rsidR="00C73BC5">
        <w:rPr>
          <w:rFonts w:ascii="Times New Roman" w:hAnsi="Times New Roman" w:cs="Times New Roman"/>
        </w:rPr>
        <w:t>.</w:t>
      </w:r>
    </w:p>
    <w:p w14:paraId="3CD5CD95" w14:textId="77777777" w:rsidR="00C73BC5" w:rsidRPr="004178FD" w:rsidRDefault="00C73BC5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1016B1B9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AGRADECIMENTOS: </w:t>
      </w:r>
    </w:p>
    <w:p w14:paraId="3042839C" w14:textId="24F0A95F" w:rsidR="00FA4A9E" w:rsidRPr="004178FD" w:rsidRDefault="004F71E1" w:rsidP="00C73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F71E1">
        <w:rPr>
          <w:rFonts w:ascii="Times New Roman" w:eastAsia="Times New Roman" w:hAnsi="Times New Roman" w:cs="Times New Roman"/>
        </w:rPr>
        <w:t>Gostaríamos de expressar nossa gratidão a todos os especialistas legais, acadêmicos e profissionais da área de tecnologia que contribuíram com seus conhecimentos e insights para este estudo. Também agradecemos a todos os entrevistados que compartilharam suas experiências pessoais relacionadas à herança digital. Este trabalho não teria sido possível sem a colaboração de todos os envolvidos.</w:t>
      </w:r>
    </w:p>
    <w:p w14:paraId="6AB27C5D" w14:textId="77777777" w:rsidR="007F5AA8" w:rsidRPr="004178FD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728E3736" w14:textId="7590ADB4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Referências </w:t>
      </w:r>
      <w:r w:rsidRPr="004178FD">
        <w:rPr>
          <w:rFonts w:ascii="Times New Roman" w:eastAsia="Times New Roman" w:hAnsi="Times New Roman" w:cs="Times New Roman"/>
        </w:rPr>
        <w:t>(</w:t>
      </w:r>
      <w:r w:rsidRPr="004178FD">
        <w:rPr>
          <w:rFonts w:ascii="Times New Roman" w:eastAsia="Times New Roman" w:hAnsi="Times New Roman" w:cs="Times New Roman"/>
          <w:b/>
          <w:bCs/>
        </w:rPr>
        <w:t xml:space="preserve">NBR 6023) </w:t>
      </w:r>
    </w:p>
    <w:p w14:paraId="4A64C04F" w14:textId="77777777" w:rsidR="004178FD" w:rsidRPr="004178FD" w:rsidRDefault="004178FD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069CFC8D" w14:textId="77777777" w:rsidR="00C73BC5" w:rsidRP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ALVES, Jones </w:t>
      </w:r>
      <w:proofErr w:type="spellStart"/>
      <w:r w:rsidRPr="00C73BC5">
        <w:rPr>
          <w:rFonts w:ascii="Times New Roman" w:eastAsia="Times New Roman" w:hAnsi="Times New Roman" w:cs="Times New Roman"/>
        </w:rPr>
        <w:t>Figueirêdo</w:t>
      </w:r>
      <w:proofErr w:type="spellEnd"/>
      <w:r w:rsidRPr="00C73BC5">
        <w:rPr>
          <w:rFonts w:ascii="Times New Roman" w:eastAsia="Times New Roman" w:hAnsi="Times New Roman" w:cs="Times New Roman"/>
        </w:rPr>
        <w:t xml:space="preserve">; DELGADO, Mário Luiz. </w:t>
      </w:r>
      <w:r w:rsidRPr="00C73BC5">
        <w:rPr>
          <w:rFonts w:ascii="Times New Roman" w:eastAsia="Times New Roman" w:hAnsi="Times New Roman" w:cs="Times New Roman"/>
          <w:b/>
          <w:bCs/>
        </w:rPr>
        <w:t>Código Civil anotado</w:t>
      </w:r>
      <w:r w:rsidRPr="00C73BC5">
        <w:rPr>
          <w:rFonts w:ascii="Times New Roman" w:eastAsia="Times New Roman" w:hAnsi="Times New Roman" w:cs="Times New Roman"/>
        </w:rPr>
        <w:t xml:space="preserve">. São Paulo: Método, 2005. </w:t>
      </w:r>
    </w:p>
    <w:p w14:paraId="25B99D5F" w14:textId="77777777" w:rsidR="00263A71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BRASIL. [Constituição (1988)]. </w:t>
      </w:r>
      <w:r w:rsidRPr="00C73BC5">
        <w:rPr>
          <w:rFonts w:ascii="Times New Roman" w:eastAsia="Times New Roman" w:hAnsi="Times New Roman" w:cs="Times New Roman"/>
          <w:b/>
          <w:bCs/>
        </w:rPr>
        <w:t>Constituição da República Federativa do Brasil, 1988</w:t>
      </w:r>
      <w:r w:rsidRPr="00C73BC5">
        <w:rPr>
          <w:rFonts w:ascii="Times New Roman" w:eastAsia="Times New Roman" w:hAnsi="Times New Roman" w:cs="Times New Roman"/>
        </w:rPr>
        <w:t xml:space="preserve">. Brasília, DF: Presidência da República. Disponível em: http://www.planalto.gov.br/ccivil_03/constituicao/constituicao.htm. Acesso em: </w:t>
      </w:r>
      <w:r>
        <w:rPr>
          <w:rFonts w:ascii="Times New Roman" w:eastAsia="Times New Roman" w:hAnsi="Times New Roman" w:cs="Times New Roman"/>
        </w:rPr>
        <w:t>11</w:t>
      </w:r>
      <w:r w:rsidRPr="00C73B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 w:rsidRPr="00C73BC5">
        <w:rPr>
          <w:rFonts w:ascii="Times New Roman" w:eastAsia="Times New Roman" w:hAnsi="Times New Roman" w:cs="Times New Roman"/>
        </w:rPr>
        <w:t>. 202</w:t>
      </w:r>
      <w:r>
        <w:rPr>
          <w:rFonts w:ascii="Times New Roman" w:eastAsia="Times New Roman" w:hAnsi="Times New Roman" w:cs="Times New Roman"/>
        </w:rPr>
        <w:t>3</w:t>
      </w:r>
      <w:r w:rsidRPr="00C73BC5">
        <w:rPr>
          <w:rFonts w:ascii="Times New Roman" w:eastAsia="Times New Roman" w:hAnsi="Times New Roman" w:cs="Times New Roman"/>
        </w:rPr>
        <w:t>.</w:t>
      </w:r>
    </w:p>
    <w:p w14:paraId="121AB42E" w14:textId="17FB7B65" w:rsidR="00FA4A9E" w:rsidRP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lastRenderedPageBreak/>
        <w:t>BRASIL</w:t>
      </w:r>
      <w:r w:rsidRPr="00C73BC5">
        <w:rPr>
          <w:rFonts w:ascii="Times New Roman" w:eastAsia="Times New Roman" w:hAnsi="Times New Roman" w:cs="Times New Roman"/>
          <w:b/>
          <w:bCs/>
        </w:rPr>
        <w:t>. Lei n.º 10.406, de 10 de janeiro de 2002</w:t>
      </w:r>
      <w:r w:rsidRPr="00C73BC5">
        <w:rPr>
          <w:rFonts w:ascii="Times New Roman" w:eastAsia="Times New Roman" w:hAnsi="Times New Roman" w:cs="Times New Roman"/>
        </w:rPr>
        <w:t xml:space="preserve">. Institui o Código Civil. Diário Oficial da União: seção 1, Brasília, DF, 2002. Disponível em: http://www.planalto.gov.br/ccivil_03/leis/2002/l10406compilada.htm. Acesso em: </w:t>
      </w:r>
      <w:r>
        <w:rPr>
          <w:rFonts w:ascii="Times New Roman" w:eastAsia="Times New Roman" w:hAnsi="Times New Roman" w:cs="Times New Roman"/>
        </w:rPr>
        <w:t>11</w:t>
      </w:r>
      <w:r w:rsidRPr="00C73B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 w:rsidRPr="00C73BC5">
        <w:rPr>
          <w:rFonts w:ascii="Times New Roman" w:eastAsia="Times New Roman" w:hAnsi="Times New Roman" w:cs="Times New Roman"/>
        </w:rPr>
        <w:t>. 202</w:t>
      </w:r>
      <w:r>
        <w:rPr>
          <w:rFonts w:ascii="Times New Roman" w:eastAsia="Times New Roman" w:hAnsi="Times New Roman" w:cs="Times New Roman"/>
        </w:rPr>
        <w:t>3</w:t>
      </w:r>
      <w:r w:rsidRPr="00C73BC5">
        <w:rPr>
          <w:rFonts w:ascii="Times New Roman" w:eastAsia="Times New Roman" w:hAnsi="Times New Roman" w:cs="Times New Roman"/>
        </w:rPr>
        <w:t>.</w:t>
      </w:r>
    </w:p>
    <w:p w14:paraId="4E317E10" w14:textId="77777777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BRASIL. </w:t>
      </w:r>
      <w:r w:rsidRPr="00C73BC5">
        <w:rPr>
          <w:rFonts w:ascii="Times New Roman" w:eastAsia="Times New Roman" w:hAnsi="Times New Roman" w:cs="Times New Roman"/>
          <w:b/>
          <w:bCs/>
        </w:rPr>
        <w:t>Lei nº 12.965, de 23 de abril de 2014</w:t>
      </w:r>
      <w:r w:rsidRPr="00C73BC5">
        <w:rPr>
          <w:rFonts w:ascii="Times New Roman" w:eastAsia="Times New Roman" w:hAnsi="Times New Roman" w:cs="Times New Roman"/>
        </w:rPr>
        <w:t xml:space="preserve">. Estabelece princípios, garantias, direitos e deveres para o uso da internet no Brasil. Disponível em: http://www.planalto.gov.br/ccivil_03/_ato2011-2014/2014/lei/l12965.htm. Acesso em: </w:t>
      </w:r>
      <w:r>
        <w:rPr>
          <w:rFonts w:ascii="Times New Roman" w:eastAsia="Times New Roman" w:hAnsi="Times New Roman" w:cs="Times New Roman"/>
        </w:rPr>
        <w:t>10</w:t>
      </w:r>
      <w:r w:rsidRPr="00C73B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 w:rsidRPr="00C73BC5">
        <w:rPr>
          <w:rFonts w:ascii="Times New Roman" w:eastAsia="Times New Roman" w:hAnsi="Times New Roman" w:cs="Times New Roman"/>
        </w:rPr>
        <w:t>. 202</w:t>
      </w:r>
      <w:r>
        <w:rPr>
          <w:rFonts w:ascii="Times New Roman" w:eastAsia="Times New Roman" w:hAnsi="Times New Roman" w:cs="Times New Roman"/>
        </w:rPr>
        <w:t>3</w:t>
      </w:r>
      <w:r w:rsidRPr="00C73BC5">
        <w:rPr>
          <w:rFonts w:ascii="Times New Roman" w:eastAsia="Times New Roman" w:hAnsi="Times New Roman" w:cs="Times New Roman"/>
        </w:rPr>
        <w:t xml:space="preserve">. </w:t>
      </w:r>
    </w:p>
    <w:p w14:paraId="6001B2A0" w14:textId="77777777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BITTAR, Eduardo. </w:t>
      </w:r>
      <w:r w:rsidRPr="00C73BC5">
        <w:rPr>
          <w:rFonts w:ascii="Times New Roman" w:eastAsia="Times New Roman" w:hAnsi="Times New Roman" w:cs="Times New Roman"/>
          <w:b/>
          <w:bCs/>
        </w:rPr>
        <w:t>A Teoria do Direito, a Era Digital e o Pós-Humano:</w:t>
      </w:r>
      <w:r w:rsidRPr="00C73BC5">
        <w:rPr>
          <w:rFonts w:ascii="Times New Roman" w:eastAsia="Times New Roman" w:hAnsi="Times New Roman" w:cs="Times New Roman"/>
        </w:rPr>
        <w:t xml:space="preserve"> o novo estatuto do corpo sob um regime tecnológico e a emergência do Sujeito Pós-Humano de Direito. Revista Direito e </w:t>
      </w:r>
      <w:proofErr w:type="spellStart"/>
      <w:r w:rsidRPr="00C73BC5">
        <w:rPr>
          <w:rFonts w:ascii="Times New Roman" w:eastAsia="Times New Roman" w:hAnsi="Times New Roman" w:cs="Times New Roman"/>
        </w:rPr>
        <w:t>Praxis</w:t>
      </w:r>
      <w:proofErr w:type="spellEnd"/>
      <w:r w:rsidRPr="00C73BC5">
        <w:rPr>
          <w:rFonts w:ascii="Times New Roman" w:eastAsia="Times New Roman" w:hAnsi="Times New Roman" w:cs="Times New Roman"/>
        </w:rPr>
        <w:t xml:space="preserve">, Rio de Janeiro, Vol. 10. </w:t>
      </w:r>
    </w:p>
    <w:p w14:paraId="62EA6D21" w14:textId="77777777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DINIZ, Maria Helena. </w:t>
      </w:r>
      <w:r w:rsidRPr="00C73BC5">
        <w:rPr>
          <w:rFonts w:ascii="Times New Roman" w:eastAsia="Times New Roman" w:hAnsi="Times New Roman" w:cs="Times New Roman"/>
          <w:b/>
          <w:bCs/>
        </w:rPr>
        <w:t>Curso de Direito Civil Brasileiro</w:t>
      </w:r>
      <w:r w:rsidRPr="00C73BC5">
        <w:rPr>
          <w:rFonts w:ascii="Times New Roman" w:eastAsia="Times New Roman" w:hAnsi="Times New Roman" w:cs="Times New Roman"/>
        </w:rPr>
        <w:t xml:space="preserve">, v. 1, 29. ed. São Paulo: Saraiva, 2012. </w:t>
      </w:r>
    </w:p>
    <w:p w14:paraId="24A706AE" w14:textId="77777777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FACHIN, Luiz Edson. </w:t>
      </w:r>
      <w:r w:rsidRPr="00C73BC5">
        <w:rPr>
          <w:rFonts w:ascii="Times New Roman" w:eastAsia="Times New Roman" w:hAnsi="Times New Roman" w:cs="Times New Roman"/>
          <w:b/>
          <w:bCs/>
        </w:rPr>
        <w:t>A liberdade e a intimidade:</w:t>
      </w:r>
      <w:r w:rsidRPr="00C73BC5">
        <w:rPr>
          <w:rFonts w:ascii="Times New Roman" w:eastAsia="Times New Roman" w:hAnsi="Times New Roman" w:cs="Times New Roman"/>
        </w:rPr>
        <w:t xml:space="preserve"> uma breve análise das biografias não autorizadas. In: SIMÃO, José Fernando; BELTRÃO, Silvio Romero (</w:t>
      </w:r>
      <w:proofErr w:type="spellStart"/>
      <w:r w:rsidRPr="00C73BC5">
        <w:rPr>
          <w:rFonts w:ascii="Times New Roman" w:eastAsia="Times New Roman" w:hAnsi="Times New Roman" w:cs="Times New Roman"/>
        </w:rPr>
        <w:t>Coords</w:t>
      </w:r>
      <w:proofErr w:type="spellEnd"/>
      <w:r w:rsidRPr="00C73BC5">
        <w:rPr>
          <w:rFonts w:ascii="Times New Roman" w:eastAsia="Times New Roman" w:hAnsi="Times New Roman" w:cs="Times New Roman"/>
        </w:rPr>
        <w:t xml:space="preserve">.). Direito civil: estudos em homenagem à José de Oliveira Ascensão: teoria geral do direito, bioética, direito intelectual e sociedade da informação. São Paulo: Atlas, 2015, v.1. </w:t>
      </w:r>
    </w:p>
    <w:p w14:paraId="47E5F395" w14:textId="5CD70A85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FACEBOOK BRASIL. </w:t>
      </w:r>
      <w:r w:rsidRPr="00C73BC5">
        <w:rPr>
          <w:rFonts w:ascii="Times New Roman" w:eastAsia="Times New Roman" w:hAnsi="Times New Roman" w:cs="Times New Roman"/>
          <w:b/>
          <w:bCs/>
        </w:rPr>
        <w:t>O que acontecerá com minha conta do Facebook se eu falecer?</w:t>
      </w:r>
      <w:r w:rsidRPr="00C73BC5">
        <w:rPr>
          <w:rFonts w:ascii="Times New Roman" w:eastAsia="Times New Roman" w:hAnsi="Times New Roman" w:cs="Times New Roman"/>
        </w:rPr>
        <w:t xml:space="preserve"> Disponível em: https://www.facebook.com/help/memorialized. Acesso em: </w:t>
      </w:r>
      <w:r>
        <w:rPr>
          <w:rFonts w:ascii="Times New Roman" w:eastAsia="Times New Roman" w:hAnsi="Times New Roman" w:cs="Times New Roman"/>
        </w:rPr>
        <w:t>12</w:t>
      </w:r>
      <w:r w:rsidRPr="00C73BC5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 xml:space="preserve"> setembro</w:t>
      </w:r>
      <w:r w:rsidRPr="00C73BC5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 w:rsidRPr="00C73BC5">
        <w:rPr>
          <w:rFonts w:ascii="Times New Roman" w:eastAsia="Times New Roman" w:hAnsi="Times New Roman" w:cs="Times New Roman"/>
        </w:rPr>
        <w:t xml:space="preserve">. </w:t>
      </w:r>
    </w:p>
    <w:p w14:paraId="3474C173" w14:textId="77777777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GAGLIANO, Pablo </w:t>
      </w:r>
      <w:proofErr w:type="spellStart"/>
      <w:r w:rsidRPr="00C73BC5">
        <w:rPr>
          <w:rFonts w:ascii="Times New Roman" w:eastAsia="Times New Roman" w:hAnsi="Times New Roman" w:cs="Times New Roman"/>
        </w:rPr>
        <w:t>Stolze</w:t>
      </w:r>
      <w:proofErr w:type="spellEnd"/>
      <w:r w:rsidRPr="00C73BC5">
        <w:rPr>
          <w:rFonts w:ascii="Times New Roman" w:eastAsia="Times New Roman" w:hAnsi="Times New Roman" w:cs="Times New Roman"/>
        </w:rPr>
        <w:t xml:space="preserve">; PAMPLONA FILHO, Rodolfo. </w:t>
      </w:r>
      <w:r w:rsidRPr="00C73BC5">
        <w:rPr>
          <w:rFonts w:ascii="Times New Roman" w:eastAsia="Times New Roman" w:hAnsi="Times New Roman" w:cs="Times New Roman"/>
          <w:b/>
          <w:bCs/>
        </w:rPr>
        <w:t xml:space="preserve">Novo Curso de Direito Civil: </w:t>
      </w:r>
      <w:r w:rsidRPr="00C73BC5">
        <w:rPr>
          <w:rFonts w:ascii="Times New Roman" w:eastAsia="Times New Roman" w:hAnsi="Times New Roman" w:cs="Times New Roman"/>
        </w:rPr>
        <w:t xml:space="preserve">Direito das Sucessões. 4. ed. São Paulo: Saraiva, 2017. </w:t>
      </w:r>
    </w:p>
    <w:p w14:paraId="4A609836" w14:textId="25177E79" w:rsidR="00C73BC5" w:rsidRP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INSTAGRAN, </w:t>
      </w:r>
      <w:r w:rsidRPr="00C73BC5">
        <w:rPr>
          <w:rFonts w:ascii="Times New Roman" w:eastAsia="Times New Roman" w:hAnsi="Times New Roman" w:cs="Times New Roman"/>
          <w:b/>
          <w:bCs/>
        </w:rPr>
        <w:t>O que acontece quando a conta de uma pessoa falecida é transformada em memorial?</w:t>
      </w:r>
      <w:r w:rsidRPr="00C73BC5">
        <w:rPr>
          <w:rFonts w:ascii="Times New Roman" w:eastAsia="Times New Roman" w:hAnsi="Times New Roman" w:cs="Times New Roman"/>
        </w:rPr>
        <w:t xml:space="preserve"> Disponível em: https://help.instagram.com/231764660354188?hel-pref=faq_content. Acesso em: </w:t>
      </w:r>
      <w:r>
        <w:rPr>
          <w:rFonts w:ascii="Times New Roman" w:eastAsia="Times New Roman" w:hAnsi="Times New Roman" w:cs="Times New Roman"/>
        </w:rPr>
        <w:t>12</w:t>
      </w:r>
      <w:r w:rsidRPr="00C73BC5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setembro</w:t>
      </w:r>
      <w:r w:rsidRPr="00C73BC5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 w:rsidRPr="00C73BC5">
        <w:rPr>
          <w:rFonts w:ascii="Times New Roman" w:eastAsia="Times New Roman" w:hAnsi="Times New Roman" w:cs="Times New Roman"/>
        </w:rPr>
        <w:t>.</w:t>
      </w:r>
    </w:p>
    <w:p w14:paraId="077168EF" w14:textId="77777777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JUNIOR, Fernando Taveira. </w:t>
      </w:r>
      <w:r w:rsidRPr="00C73BC5">
        <w:rPr>
          <w:rFonts w:ascii="Times New Roman" w:eastAsia="Times New Roman" w:hAnsi="Times New Roman" w:cs="Times New Roman"/>
          <w:b/>
          <w:bCs/>
        </w:rPr>
        <w:t xml:space="preserve">Bens digitais (digital </w:t>
      </w:r>
      <w:proofErr w:type="spellStart"/>
      <w:r w:rsidRPr="00C73BC5">
        <w:rPr>
          <w:rFonts w:ascii="Times New Roman" w:eastAsia="Times New Roman" w:hAnsi="Times New Roman" w:cs="Times New Roman"/>
          <w:b/>
          <w:bCs/>
        </w:rPr>
        <w:t>assets</w:t>
      </w:r>
      <w:proofErr w:type="spellEnd"/>
      <w:r w:rsidRPr="00C73BC5">
        <w:rPr>
          <w:rFonts w:ascii="Times New Roman" w:eastAsia="Times New Roman" w:hAnsi="Times New Roman" w:cs="Times New Roman"/>
          <w:b/>
          <w:bCs/>
        </w:rPr>
        <w:t>) e a sua proteção pelos direitos da personalidade, um estudo sob a perspectiva da dogmática civil brasileira</w:t>
      </w:r>
      <w:r w:rsidRPr="00C73BC5">
        <w:rPr>
          <w:rFonts w:ascii="Times New Roman" w:eastAsia="Times New Roman" w:hAnsi="Times New Roman" w:cs="Times New Roman"/>
        </w:rPr>
        <w:t xml:space="preserve">. Porto Alegre: Editora Simplíssimo, 2018. </w:t>
      </w:r>
    </w:p>
    <w:p w14:paraId="57BBA7CF" w14:textId="77777777" w:rsid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LACERDA, Bruno Torquato </w:t>
      </w:r>
      <w:proofErr w:type="spellStart"/>
      <w:r w:rsidRPr="00C73BC5">
        <w:rPr>
          <w:rFonts w:ascii="Times New Roman" w:eastAsia="Times New Roman" w:hAnsi="Times New Roman" w:cs="Times New Roman"/>
        </w:rPr>
        <w:t>Zampier</w:t>
      </w:r>
      <w:proofErr w:type="spellEnd"/>
      <w:r w:rsidRPr="00C73BC5">
        <w:rPr>
          <w:rFonts w:ascii="Times New Roman" w:eastAsia="Times New Roman" w:hAnsi="Times New Roman" w:cs="Times New Roman"/>
        </w:rPr>
        <w:t xml:space="preserve">. </w:t>
      </w:r>
      <w:r w:rsidRPr="00C73BC5">
        <w:rPr>
          <w:rFonts w:ascii="Times New Roman" w:eastAsia="Times New Roman" w:hAnsi="Times New Roman" w:cs="Times New Roman"/>
          <w:b/>
          <w:bCs/>
        </w:rPr>
        <w:t>Bens Digitais</w:t>
      </w:r>
      <w:r w:rsidRPr="00C73BC5">
        <w:rPr>
          <w:rFonts w:ascii="Times New Roman" w:eastAsia="Times New Roman" w:hAnsi="Times New Roman" w:cs="Times New Roman"/>
        </w:rPr>
        <w:t xml:space="preserve">. 2. ed. São Paulo: Foco, 2021. </w:t>
      </w:r>
    </w:p>
    <w:p w14:paraId="463DE824" w14:textId="77777777" w:rsidR="00263A71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LARA, Moisés Fagundes. </w:t>
      </w:r>
      <w:r w:rsidRPr="00C73BC5">
        <w:rPr>
          <w:rFonts w:ascii="Times New Roman" w:eastAsia="Times New Roman" w:hAnsi="Times New Roman" w:cs="Times New Roman"/>
          <w:b/>
          <w:bCs/>
        </w:rPr>
        <w:t>Herança digital (livro eletrônico)</w:t>
      </w:r>
      <w:r w:rsidRPr="00C73BC5">
        <w:rPr>
          <w:rFonts w:ascii="Times New Roman" w:eastAsia="Times New Roman" w:hAnsi="Times New Roman" w:cs="Times New Roman"/>
        </w:rPr>
        <w:t xml:space="preserve">. Porto Alegre: </w:t>
      </w:r>
      <w:proofErr w:type="spellStart"/>
      <w:r w:rsidRPr="00C73BC5">
        <w:rPr>
          <w:rFonts w:ascii="Times New Roman" w:eastAsia="Times New Roman" w:hAnsi="Times New Roman" w:cs="Times New Roman"/>
        </w:rPr>
        <w:t>s.c.p</w:t>
      </w:r>
      <w:proofErr w:type="spellEnd"/>
      <w:r w:rsidRPr="00C73BC5">
        <w:rPr>
          <w:rFonts w:ascii="Times New Roman" w:eastAsia="Times New Roman" w:hAnsi="Times New Roman" w:cs="Times New Roman"/>
        </w:rPr>
        <w:t xml:space="preserve">., 2016. LEAL, Livia Teixeira. </w:t>
      </w:r>
      <w:r w:rsidRPr="00263A71">
        <w:rPr>
          <w:rFonts w:ascii="Times New Roman" w:eastAsia="Times New Roman" w:hAnsi="Times New Roman" w:cs="Times New Roman"/>
          <w:b/>
          <w:bCs/>
        </w:rPr>
        <w:t>Internet e morte do usuário:</w:t>
      </w:r>
      <w:r w:rsidRPr="00C73BC5">
        <w:rPr>
          <w:rFonts w:ascii="Times New Roman" w:eastAsia="Times New Roman" w:hAnsi="Times New Roman" w:cs="Times New Roman"/>
        </w:rPr>
        <w:t xml:space="preserve"> a necessária superação do paradigma da herança digital. Revista Brasileira de Direito Civil - </w:t>
      </w:r>
      <w:proofErr w:type="spellStart"/>
      <w:r w:rsidRPr="00C73BC5">
        <w:rPr>
          <w:rFonts w:ascii="Times New Roman" w:eastAsia="Times New Roman" w:hAnsi="Times New Roman" w:cs="Times New Roman"/>
        </w:rPr>
        <w:t>RBDCilvil</w:t>
      </w:r>
      <w:proofErr w:type="spellEnd"/>
      <w:r w:rsidRPr="00C73BC5">
        <w:rPr>
          <w:rFonts w:ascii="Times New Roman" w:eastAsia="Times New Roman" w:hAnsi="Times New Roman" w:cs="Times New Roman"/>
        </w:rPr>
        <w:t xml:space="preserve">, Belo Horizonte, v. 16, p. 181-197, abr./jun. 2018. </w:t>
      </w:r>
    </w:p>
    <w:p w14:paraId="1A6325F9" w14:textId="77777777" w:rsidR="00263A71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LOBO, Paulo. </w:t>
      </w:r>
      <w:r w:rsidRPr="00263A71">
        <w:rPr>
          <w:rFonts w:ascii="Times New Roman" w:eastAsia="Times New Roman" w:hAnsi="Times New Roman" w:cs="Times New Roman"/>
          <w:b/>
          <w:bCs/>
        </w:rPr>
        <w:t>Direito Civil:</w:t>
      </w:r>
      <w:r w:rsidRPr="00C73BC5">
        <w:rPr>
          <w:rFonts w:ascii="Times New Roman" w:eastAsia="Times New Roman" w:hAnsi="Times New Roman" w:cs="Times New Roman"/>
        </w:rPr>
        <w:t xml:space="preserve"> parte geral. 6 ed. São Paulo: Saraiva, 2017. </w:t>
      </w:r>
    </w:p>
    <w:p w14:paraId="729CD0F4" w14:textId="321219F9" w:rsidR="00263A71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MAICHAKI, Marcos Rodrigo. </w:t>
      </w:r>
      <w:r w:rsidRPr="00263A71">
        <w:rPr>
          <w:rFonts w:ascii="Times New Roman" w:eastAsia="Times New Roman" w:hAnsi="Times New Roman" w:cs="Times New Roman"/>
          <w:b/>
          <w:bCs/>
        </w:rPr>
        <w:t>Herança Digital:</w:t>
      </w:r>
      <w:r w:rsidRPr="00C73BC5">
        <w:rPr>
          <w:rFonts w:ascii="Times New Roman" w:eastAsia="Times New Roman" w:hAnsi="Times New Roman" w:cs="Times New Roman"/>
        </w:rPr>
        <w:t xml:space="preserve"> o precedente alemão e os direitos fundamentais à intimidade e privacidade. Revista Brasileira de Direito Civil em Perspectiva, Porto Alegre, v. 4, n. 2, p. 136-155, </w:t>
      </w:r>
      <w:proofErr w:type="gramStart"/>
      <w:r w:rsidRPr="00C73BC5">
        <w:rPr>
          <w:rFonts w:ascii="Times New Roman" w:eastAsia="Times New Roman" w:hAnsi="Times New Roman" w:cs="Times New Roman"/>
        </w:rPr>
        <w:t>Jul.</w:t>
      </w:r>
      <w:proofErr w:type="gramEnd"/>
      <w:r w:rsidRPr="00C73BC5">
        <w:rPr>
          <w:rFonts w:ascii="Times New Roman" w:eastAsia="Times New Roman" w:hAnsi="Times New Roman" w:cs="Times New Roman"/>
        </w:rPr>
        <w:t xml:space="preserve">/Dez. 2018. Semestral. Disponível em:https://www.researchgate.net/publication/330979552_HERANCA_DIGITAL_O_PRECEDENTE_ALEMAO_E_OS_DIR EITOS_FUNDAMENTAIS_A_INTIMIDADE_E_PRIVACIDADE/link/5c5e4692299bf1d14cb6779f/download. Acesso em: </w:t>
      </w:r>
      <w:r w:rsidR="00263A71">
        <w:rPr>
          <w:rFonts w:ascii="Times New Roman" w:eastAsia="Times New Roman" w:hAnsi="Times New Roman" w:cs="Times New Roman"/>
        </w:rPr>
        <w:t>09</w:t>
      </w:r>
      <w:r w:rsidRPr="00C73BC5">
        <w:rPr>
          <w:rFonts w:ascii="Times New Roman" w:eastAsia="Times New Roman" w:hAnsi="Times New Roman" w:cs="Times New Roman"/>
        </w:rPr>
        <w:t xml:space="preserve"> </w:t>
      </w:r>
      <w:r w:rsidR="00263A71">
        <w:rPr>
          <w:rFonts w:ascii="Times New Roman" w:eastAsia="Times New Roman" w:hAnsi="Times New Roman" w:cs="Times New Roman"/>
        </w:rPr>
        <w:t>set</w:t>
      </w:r>
      <w:r w:rsidRPr="00C73BC5">
        <w:rPr>
          <w:rFonts w:ascii="Times New Roman" w:eastAsia="Times New Roman" w:hAnsi="Times New Roman" w:cs="Times New Roman"/>
        </w:rPr>
        <w:t>. 202</w:t>
      </w:r>
      <w:r w:rsidR="00263A71">
        <w:rPr>
          <w:rFonts w:ascii="Times New Roman" w:eastAsia="Times New Roman" w:hAnsi="Times New Roman" w:cs="Times New Roman"/>
        </w:rPr>
        <w:t>3</w:t>
      </w:r>
      <w:r w:rsidRPr="00C73BC5">
        <w:rPr>
          <w:rFonts w:ascii="Times New Roman" w:eastAsia="Times New Roman" w:hAnsi="Times New Roman" w:cs="Times New Roman"/>
        </w:rPr>
        <w:t xml:space="preserve">. </w:t>
      </w:r>
    </w:p>
    <w:p w14:paraId="5793FC1E" w14:textId="40BB7552" w:rsidR="00FA4A9E" w:rsidRPr="00C73BC5" w:rsidRDefault="00C73BC5" w:rsidP="00263A71">
      <w:pPr>
        <w:spacing w:line="240" w:lineRule="auto"/>
        <w:rPr>
          <w:rFonts w:ascii="Times New Roman" w:eastAsia="Times New Roman" w:hAnsi="Times New Roman" w:cs="Times New Roman"/>
        </w:rPr>
      </w:pPr>
      <w:r w:rsidRPr="00C73BC5">
        <w:rPr>
          <w:rFonts w:ascii="Times New Roman" w:eastAsia="Times New Roman" w:hAnsi="Times New Roman" w:cs="Times New Roman"/>
        </w:rPr>
        <w:t xml:space="preserve">TARTUCE, Flávio. </w:t>
      </w:r>
      <w:r w:rsidRPr="00263A71">
        <w:rPr>
          <w:rFonts w:ascii="Times New Roman" w:eastAsia="Times New Roman" w:hAnsi="Times New Roman" w:cs="Times New Roman"/>
          <w:b/>
          <w:bCs/>
        </w:rPr>
        <w:t>Manual de Direito Civil</w:t>
      </w:r>
      <w:r w:rsidRPr="00C73BC5">
        <w:rPr>
          <w:rFonts w:ascii="Times New Roman" w:eastAsia="Times New Roman" w:hAnsi="Times New Roman" w:cs="Times New Roman"/>
        </w:rPr>
        <w:t xml:space="preserve">. 8. ed. Rio de Janeiro: Método, 2018. </w:t>
      </w:r>
      <w:r w:rsidR="00FA4A9E" w:rsidRPr="00C73BC5">
        <w:rPr>
          <w:rFonts w:ascii="Times New Roman" w:eastAsia="Times New Roman" w:hAnsi="Times New Roman" w:cs="Times New Roman"/>
        </w:rPr>
        <w:t> </w:t>
      </w:r>
    </w:p>
    <w:sectPr w:rsidR="00FA4A9E" w:rsidRPr="00C73BC5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B696F" w14:textId="77777777" w:rsidR="002B763A" w:rsidRDefault="002B763A" w:rsidP="00066031">
      <w:pPr>
        <w:spacing w:after="0" w:line="240" w:lineRule="auto"/>
      </w:pPr>
      <w:r>
        <w:separator/>
      </w:r>
    </w:p>
  </w:endnote>
  <w:endnote w:type="continuationSeparator" w:id="0">
    <w:p w14:paraId="2D841E96" w14:textId="77777777" w:rsidR="002B763A" w:rsidRDefault="002B763A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828D" w14:textId="77F617B8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1111C" w14:textId="77777777" w:rsidR="002B763A" w:rsidRDefault="002B763A" w:rsidP="00066031">
      <w:pPr>
        <w:spacing w:after="0" w:line="240" w:lineRule="auto"/>
      </w:pPr>
      <w:r>
        <w:separator/>
      </w:r>
    </w:p>
  </w:footnote>
  <w:footnote w:type="continuationSeparator" w:id="0">
    <w:p w14:paraId="054ED58E" w14:textId="77777777" w:rsidR="002B763A" w:rsidRDefault="002B763A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F8CB" w14:textId="291BFDF3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0E4ECB"/>
    <w:rsid w:val="00122AEF"/>
    <w:rsid w:val="00176295"/>
    <w:rsid w:val="00180386"/>
    <w:rsid w:val="001F103F"/>
    <w:rsid w:val="002555DD"/>
    <w:rsid w:val="00263A71"/>
    <w:rsid w:val="00295D38"/>
    <w:rsid w:val="002B763A"/>
    <w:rsid w:val="00357059"/>
    <w:rsid w:val="003E3604"/>
    <w:rsid w:val="00417198"/>
    <w:rsid w:val="004178FD"/>
    <w:rsid w:val="00440777"/>
    <w:rsid w:val="004816ED"/>
    <w:rsid w:val="004956F8"/>
    <w:rsid w:val="004F5831"/>
    <w:rsid w:val="004F71E1"/>
    <w:rsid w:val="005008CE"/>
    <w:rsid w:val="006452B1"/>
    <w:rsid w:val="00674E5F"/>
    <w:rsid w:val="006956FE"/>
    <w:rsid w:val="006B76F7"/>
    <w:rsid w:val="006C49D4"/>
    <w:rsid w:val="006E3032"/>
    <w:rsid w:val="00733EEC"/>
    <w:rsid w:val="00746F6D"/>
    <w:rsid w:val="007718AB"/>
    <w:rsid w:val="0079503A"/>
    <w:rsid w:val="007D0AB2"/>
    <w:rsid w:val="007F5AA8"/>
    <w:rsid w:val="0083025C"/>
    <w:rsid w:val="00836B56"/>
    <w:rsid w:val="00882A5B"/>
    <w:rsid w:val="008C3D4B"/>
    <w:rsid w:val="00945DE0"/>
    <w:rsid w:val="00946B99"/>
    <w:rsid w:val="00983681"/>
    <w:rsid w:val="009C4C8B"/>
    <w:rsid w:val="00A93F32"/>
    <w:rsid w:val="00AC2ABF"/>
    <w:rsid w:val="00AF6C9D"/>
    <w:rsid w:val="00B10DC6"/>
    <w:rsid w:val="00BA6279"/>
    <w:rsid w:val="00C134CA"/>
    <w:rsid w:val="00C717D1"/>
    <w:rsid w:val="00C73BC5"/>
    <w:rsid w:val="00C83EDF"/>
    <w:rsid w:val="00CA6C8F"/>
    <w:rsid w:val="00CE50BA"/>
    <w:rsid w:val="00D1605F"/>
    <w:rsid w:val="00D27D15"/>
    <w:rsid w:val="00DB2D21"/>
    <w:rsid w:val="00E334ED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17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9C48320A-E709-44BA-AE9B-952977D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2023-09-12T12:03:00Z</dcterms:created>
  <dcterms:modified xsi:type="dcterms:W3CDTF">2023-09-12T12:03:00Z</dcterms:modified>
</cp:coreProperties>
</file>