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17503"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4"/>
          <w:szCs w:val="24"/>
          <w:lang w:eastAsia="pt-BR"/>
        </w:rPr>
      </w:pPr>
      <w:bookmarkStart w:id="0" w:name="_GoBack"/>
      <w:r>
        <w:rPr>
          <w:rFonts w:ascii="Times New Roman" w:hAnsi="Times New Roman" w:eastAsia="Times New Roman"/>
          <w:b/>
          <w:bCs/>
          <w:sz w:val="24"/>
          <w:szCs w:val="24"/>
          <w:lang w:eastAsia="pt-BR"/>
        </w:rPr>
        <w:t>REFLEXÕES EPISTEMOLÓGICAS SOBRE A PESQUISA SOCIAL: UM RELATO DE EXPERIÊNCIA A PARTIR DE MINAYO</w:t>
      </w:r>
    </w:p>
    <w:bookmarkEnd w:id="0"/>
    <w:p w14:paraId="4FAB7304">
      <w:pPr>
        <w:spacing w:after="0" w:line="240" w:lineRule="auto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</w:p>
    <w:p w14:paraId="75920E7F">
      <w:pPr>
        <w:spacing w:after="0" w:line="240" w:lineRule="auto"/>
        <w:jc w:val="right"/>
        <w:rPr>
          <w:rFonts w:ascii="Times New Roman" w:hAnsi="Times New Roman" w:eastAsia="Times New Roman" w:cs="Times New Roman"/>
          <w:bCs/>
          <w:sz w:val="24"/>
          <w:szCs w:val="24"/>
          <w:lang w:val="en-US"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en-US" w:eastAsia="pt-BR"/>
        </w:rPr>
        <w:t xml:space="preserve">Pedro Henrique Pereira da Silva </w:t>
      </w:r>
    </w:p>
    <w:p w14:paraId="2C6B4489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  <w:t>PPGE - Unimontes</w:t>
      </w:r>
    </w:p>
    <w:p w14:paraId="27402F6D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</w:pPr>
      <w:r>
        <w:fldChar w:fldCharType="begin"/>
      </w:r>
      <w:r>
        <w:instrText xml:space="preserve"> HYPERLINK "mailto:pedroboc16@gmail.com" </w:instrText>
      </w:r>
      <w:r>
        <w:fldChar w:fldCharType="separate"/>
      </w:r>
      <w:r>
        <w:rPr>
          <w:rStyle w:val="4"/>
          <w:rFonts w:ascii="Times New Roman" w:hAnsi="Times New Roman" w:eastAsia="Times New Roman" w:cs="Times New Roman"/>
          <w:sz w:val="24"/>
          <w:szCs w:val="24"/>
          <w:lang w:val="en-US" w:eastAsia="pt-BR"/>
        </w:rPr>
        <w:t>pedroboc16@gmail.com</w:t>
      </w:r>
      <w:r>
        <w:rPr>
          <w:rStyle w:val="4"/>
          <w:rFonts w:ascii="Times New Roman" w:hAnsi="Times New Roman" w:eastAsia="Times New Roman" w:cs="Times New Roman"/>
          <w:sz w:val="24"/>
          <w:szCs w:val="24"/>
          <w:lang w:val="en-US" w:eastAsia="pt-BR"/>
        </w:rPr>
        <w:fldChar w:fldCharType="end"/>
      </w:r>
    </w:p>
    <w:p w14:paraId="16F77769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</w:pPr>
    </w:p>
    <w:p w14:paraId="6F55C2AA">
      <w:pPr>
        <w:wordWrap w:val="0"/>
        <w:spacing w:after="0" w:line="240" w:lineRule="auto"/>
        <w:jc w:val="right"/>
        <w:rPr>
          <w:rFonts w:hint="default" w:ascii="Times New Roman" w:hAnsi="Times New Roman" w:eastAsia="Times New Roman"/>
          <w:bCs/>
          <w:sz w:val="24"/>
          <w:szCs w:val="24"/>
          <w:lang w:val="en-US" w:eastAsia="pt-BR"/>
        </w:rPr>
      </w:pPr>
      <w:r>
        <w:rPr>
          <w:rFonts w:ascii="Times New Roman" w:hAnsi="Times New Roman" w:eastAsia="Times New Roman"/>
          <w:bCs/>
          <w:sz w:val="24"/>
          <w:szCs w:val="24"/>
          <w:lang w:eastAsia="pt-BR"/>
        </w:rPr>
        <w:t>Francely Aparecida dos Santos</w:t>
      </w:r>
      <w:r>
        <w:rPr>
          <w:rFonts w:hint="default" w:ascii="Times New Roman" w:hAnsi="Times New Roman" w:eastAsia="Times New Roman"/>
          <w:bCs/>
          <w:sz w:val="24"/>
          <w:szCs w:val="24"/>
          <w:lang w:val="en-US" w:eastAsia="pt-BR"/>
        </w:rPr>
        <w:t xml:space="preserve"> </w:t>
      </w:r>
    </w:p>
    <w:p w14:paraId="53C18176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  <w:t>PPGE - Unimontes</w:t>
      </w:r>
    </w:p>
    <w:p w14:paraId="39AF8F61">
      <w:pPr>
        <w:wordWrap w:val="0"/>
        <w:spacing w:after="0" w:line="240" w:lineRule="auto"/>
        <w:jc w:val="right"/>
        <w:rPr>
          <w:rFonts w:ascii="Times New Roman" w:hAnsi="Times New Roman" w:eastAsia="Times New Roman"/>
          <w:sz w:val="24"/>
          <w:szCs w:val="24"/>
          <w:lang w:eastAsia="pt-BR"/>
        </w:rPr>
      </w:pPr>
      <w:r>
        <w:fldChar w:fldCharType="begin"/>
      </w:r>
      <w:r>
        <w:instrText xml:space="preserve"> HYPERLINK "mailto:francely.santos@unimontes.br" </w:instrText>
      </w:r>
      <w:r>
        <w:fldChar w:fldCharType="separate"/>
      </w:r>
      <w:r>
        <w:rPr>
          <w:rStyle w:val="4"/>
          <w:rFonts w:ascii="Times New Roman" w:hAnsi="Times New Roman" w:eastAsia="Times New Roman"/>
          <w:sz w:val="24"/>
          <w:szCs w:val="24"/>
          <w:lang w:eastAsia="pt-BR"/>
        </w:rPr>
        <w:t>francely.santos@unimontes.br</w:t>
      </w:r>
      <w:r>
        <w:rPr>
          <w:rStyle w:val="4"/>
          <w:rFonts w:ascii="Times New Roman" w:hAnsi="Times New Roman" w:eastAsia="Times New Roman"/>
          <w:sz w:val="24"/>
          <w:szCs w:val="24"/>
          <w:lang w:eastAsia="pt-BR"/>
        </w:rPr>
        <w:fldChar w:fldCharType="end"/>
      </w:r>
    </w:p>
    <w:p w14:paraId="1C17C76A">
      <w:pPr>
        <w:wordWrap w:val="0"/>
        <w:spacing w:after="0" w:line="240" w:lineRule="auto"/>
        <w:jc w:val="right"/>
        <w:rPr>
          <w:rFonts w:ascii="Times New Roman" w:hAnsi="Times New Roman" w:eastAsia="Times New Roman"/>
          <w:sz w:val="24"/>
          <w:szCs w:val="24"/>
          <w:lang w:eastAsia="pt-BR"/>
        </w:rPr>
      </w:pPr>
    </w:p>
    <w:p w14:paraId="48516276">
      <w:pPr>
        <w:wordWrap w:val="0"/>
        <w:spacing w:after="0" w:line="240" w:lineRule="auto"/>
        <w:jc w:val="right"/>
        <w:rPr>
          <w:rFonts w:ascii="Times New Roman" w:hAnsi="Times New Roman" w:eastAsia="Times New Roman"/>
          <w:sz w:val="24"/>
          <w:szCs w:val="24"/>
          <w:lang w:val="en-US" w:eastAsia="pt-B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>Eixo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pt-BR"/>
        </w:rPr>
        <w:t>:</w:t>
      </w:r>
      <w:r>
        <w:rPr>
          <w:rFonts w:ascii="Times New Roman" w:hAnsi="Times New Roman" w:eastAsia="Times New Roman"/>
          <w:b/>
          <w:bCs/>
          <w:sz w:val="24"/>
          <w:szCs w:val="24"/>
          <w:lang w:val="en-US" w:eastAsia="pt-BR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val="en-US" w:eastAsia="pt-BR"/>
        </w:rPr>
        <w:t>Saberes e Práticas Educativas</w:t>
      </w:r>
    </w:p>
    <w:p w14:paraId="27ECC3F0">
      <w:pPr>
        <w:wordWrap w:val="0"/>
        <w:spacing w:after="0" w:line="240" w:lineRule="auto"/>
        <w:jc w:val="right"/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pt-BR"/>
        </w:rPr>
      </w:pPr>
    </w:p>
    <w:p w14:paraId="300A3475">
      <w:pPr>
        <w:wordWrap w:val="0"/>
        <w:spacing w:after="0" w:line="240" w:lineRule="auto"/>
        <w:jc w:val="right"/>
        <w:rPr>
          <w:rFonts w:ascii="Times New Roman" w:hAnsi="Times New Roman" w:eastAsia="Times New Roman" w:cs="Times New Roman"/>
          <w:b/>
          <w:color w:val="auto"/>
          <w:sz w:val="24"/>
          <w:szCs w:val="24"/>
          <w:lang w:val="en-US"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Palavras-chave:</w:t>
      </w:r>
      <w:r>
        <w:rPr>
          <w:rFonts w:ascii="Times New Roman" w:hAnsi="Times New Roman" w:eastAsia="Times New Roman"/>
          <w:bCs/>
          <w:sz w:val="24"/>
          <w:szCs w:val="24"/>
          <w:lang w:val="en-US" w:eastAsia="pt-BR"/>
        </w:rPr>
        <w:t xml:space="preserve"> </w:t>
      </w:r>
      <w:r>
        <w:rPr>
          <w:rFonts w:ascii="Times New Roman" w:hAnsi="Times New Roman" w:eastAsia="Times New Roman"/>
          <w:bCs/>
          <w:color w:val="auto"/>
          <w:sz w:val="24"/>
          <w:szCs w:val="24"/>
          <w:lang w:val="en-US" w:eastAsia="pt-BR"/>
        </w:rPr>
        <w:t xml:space="preserve">Reflexões epistemológicas; Pesquisa social; Conhecimento científico; </w:t>
      </w:r>
    </w:p>
    <w:p w14:paraId="7A3AA0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58BFE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5E1D781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1BE0D3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Este relato de experiência discute a formação do pesquisador em educação, com ênfase no papel da epistemologia na construção do conhecimento científico. Desenvolvido no Programa de Pós-Graduação em Educação da Unimontes, tem como objetivo refletir sobre as contribuições de atividades formativas que articulam leitura, debate e socialização do conhecimento, analisando impactos na construção do olhar crítico e investigativo do mestrando.</w:t>
      </w:r>
    </w:p>
    <w:p w14:paraId="085DC86D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pt-BR"/>
        </w:rPr>
      </w:pPr>
    </w:p>
    <w:p w14:paraId="1D80601F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2AC0E08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</w:p>
    <w:p w14:paraId="37319B0E">
      <w:pPr>
        <w:spacing w:after="0" w:line="240" w:lineRule="auto"/>
        <w:ind w:firstLine="708"/>
        <w:jc w:val="both"/>
        <w:rPr>
          <w:rFonts w:ascii="Times New Roman" w:hAnsi="Times New Roman" w:eastAsia="Times New Roman"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/>
          <w:bCs/>
          <w:color w:val="auto"/>
          <w:sz w:val="24"/>
          <w:szCs w:val="24"/>
          <w:lang w:eastAsia="pt-BR"/>
        </w:rPr>
        <w:t xml:space="preserve">A prática foi desenvolvida na disciplina Epistemologia e Pesquisa em Educação, ministrada pela Profa. Dra. Francely Aparecida dos Santos, do Programa de Pós-Graduação em Educação(PPGE)/Unimontes, a partir da leitura da obra </w:t>
      </w:r>
      <w:r>
        <w:rPr>
          <w:rFonts w:ascii="Times New Roman" w:hAnsi="Times New Roman" w:eastAsia="Times New Roman"/>
          <w:bCs/>
          <w:i/>
          <w:iCs/>
          <w:color w:val="auto"/>
          <w:sz w:val="24"/>
          <w:szCs w:val="24"/>
          <w:lang w:eastAsia="pt-BR"/>
        </w:rPr>
        <w:t>Pesquisa Social: Teoria, Método e Criatividade</w:t>
      </w:r>
      <w:r>
        <w:rPr>
          <w:rFonts w:ascii="Times New Roman" w:hAnsi="Times New Roman" w:eastAsia="Times New Roman"/>
          <w:bCs/>
          <w:color w:val="auto"/>
          <w:sz w:val="24"/>
          <w:szCs w:val="24"/>
          <w:lang w:eastAsia="pt-BR"/>
        </w:rPr>
        <w:t>, de Maria Cecília de Souza Minayo</w:t>
      </w:r>
      <w:r>
        <w:rPr>
          <w:rFonts w:ascii="Times New Roman" w:hAnsi="Times New Roman" w:eastAsia="Times New Roman"/>
          <w:bCs/>
          <w:color w:val="auto"/>
          <w:sz w:val="24"/>
          <w:szCs w:val="24"/>
          <w:lang w:val="en-US" w:eastAsia="pt-BR"/>
        </w:rPr>
        <w:t xml:space="preserve"> (2002)</w:t>
      </w:r>
      <w:r>
        <w:rPr>
          <w:rFonts w:ascii="Times New Roman" w:hAnsi="Times New Roman" w:eastAsia="Times New Roman"/>
          <w:bCs/>
          <w:color w:val="auto"/>
          <w:sz w:val="24"/>
          <w:szCs w:val="24"/>
          <w:lang w:eastAsia="pt-BR"/>
        </w:rPr>
        <w:t>, seguida de seminários temáticos.</w:t>
      </w:r>
      <w:r>
        <w:rPr>
          <w:rFonts w:hint="default" w:ascii="Times New Roman" w:hAnsi="Times New Roman" w:eastAsia="Times New Roman"/>
          <w:bCs/>
          <w:color w:val="auto"/>
          <w:sz w:val="24"/>
          <w:szCs w:val="24"/>
          <w:lang w:val="en-US" w:eastAsia="pt-BR"/>
        </w:rPr>
        <w:t xml:space="preserve"> O meu grupo ficou responsável pelos dois capítulos iniciais. Assim, o</w:t>
      </w:r>
      <w:r>
        <w:rPr>
          <w:rFonts w:ascii="Times New Roman" w:hAnsi="Times New Roman" w:eastAsia="Times New Roman"/>
          <w:bCs/>
          <w:color w:val="FF0000"/>
          <w:sz w:val="24"/>
          <w:szCs w:val="24"/>
          <w:lang w:eastAsia="pt-BR"/>
        </w:rPr>
        <w:t xml:space="preserve"> </w:t>
      </w:r>
      <w:r>
        <w:rPr>
          <w:rFonts w:ascii="Times New Roman" w:hAnsi="Times New Roman" w:eastAsia="Times New Roman"/>
          <w:bCs/>
          <w:color w:val="auto"/>
          <w:sz w:val="24"/>
          <w:szCs w:val="24"/>
          <w:lang w:eastAsia="pt-BR"/>
        </w:rPr>
        <w:t>relato refere-se à apresentação d</w:t>
      </w:r>
      <w:r>
        <w:rPr>
          <w:rFonts w:hint="default" w:ascii="Times New Roman" w:hAnsi="Times New Roman" w:eastAsia="Times New Roman"/>
          <w:bCs/>
          <w:color w:val="auto"/>
          <w:sz w:val="24"/>
          <w:szCs w:val="24"/>
          <w:lang w:val="en-US" w:eastAsia="pt-BR"/>
        </w:rPr>
        <w:t>estes</w:t>
      </w:r>
      <w:r>
        <w:rPr>
          <w:rFonts w:ascii="Times New Roman" w:hAnsi="Times New Roman" w:eastAsia="Times New Roman"/>
          <w:bCs/>
          <w:color w:val="auto"/>
          <w:sz w:val="24"/>
          <w:szCs w:val="24"/>
          <w:lang w:val="en-US" w:eastAsia="pt-BR"/>
        </w:rPr>
        <w:t xml:space="preserve"> </w:t>
      </w:r>
      <w:r>
        <w:rPr>
          <w:rFonts w:ascii="Times New Roman" w:hAnsi="Times New Roman" w:eastAsia="Times New Roman"/>
          <w:bCs/>
          <w:color w:val="auto"/>
          <w:sz w:val="24"/>
          <w:szCs w:val="24"/>
          <w:lang w:eastAsia="pt-BR"/>
        </w:rPr>
        <w:t>capítulos</w:t>
      </w:r>
      <w:r>
        <w:rPr>
          <w:rFonts w:hint="default" w:ascii="Times New Roman" w:hAnsi="Times New Roman" w:eastAsia="Times New Roman"/>
          <w:bCs/>
          <w:color w:val="auto"/>
          <w:sz w:val="24"/>
          <w:szCs w:val="24"/>
          <w:lang w:val="en-US" w:eastAsia="pt-BR"/>
        </w:rPr>
        <w:t xml:space="preserve"> </w:t>
      </w:r>
      <w:r>
        <w:rPr>
          <w:rFonts w:ascii="Times New Roman" w:hAnsi="Times New Roman" w:eastAsia="Times New Roman"/>
          <w:bCs/>
          <w:color w:val="auto"/>
          <w:sz w:val="24"/>
          <w:szCs w:val="24"/>
          <w:lang w:eastAsia="pt-BR"/>
        </w:rPr>
        <w:t>que abordam fundamentos da pesquisa social.</w:t>
      </w:r>
      <w:r>
        <w:rPr>
          <w:rFonts w:ascii="Times New Roman" w:hAnsi="Times New Roman" w:eastAsia="Times New Roman"/>
          <w:bCs/>
          <w:sz w:val="24"/>
          <w:szCs w:val="24"/>
          <w:lang w:eastAsia="pt-BR"/>
        </w:rPr>
        <w:t xml:space="preserve"> A atividade visou à apropriação crítica dos referenciais teóricos, contribuindo para o desenvolvimento de competências como análise, interpretação e posicionamento epistemológico, além de impactar a construção do trabalho acadêmico.</w:t>
      </w:r>
    </w:p>
    <w:p w14:paraId="24A7E8E0">
      <w:pPr>
        <w:spacing w:after="0" w:line="240" w:lineRule="auto"/>
        <w:jc w:val="both"/>
        <w:rPr>
          <w:rFonts w:ascii="Times New Roman" w:hAnsi="Times New Roman" w:eastAsia="Times New Roman"/>
          <w:bCs/>
          <w:sz w:val="24"/>
          <w:szCs w:val="24"/>
          <w:lang w:eastAsia="pt-BR"/>
        </w:rPr>
      </w:pPr>
    </w:p>
    <w:p w14:paraId="7228D5D1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Problema norteador e objetivos</w:t>
      </w:r>
    </w:p>
    <w:p w14:paraId="756C17E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</w:p>
    <w:p w14:paraId="144322B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/>
          <w:bCs/>
          <w:sz w:val="24"/>
          <w:szCs w:val="24"/>
          <w:lang w:eastAsia="pt-BR"/>
        </w:rPr>
        <w:t xml:space="preserve">O problema norteador consiste em compreender como a leitura e discussão de </w:t>
      </w:r>
      <w:r>
        <w:rPr>
          <w:rFonts w:ascii="Times New Roman" w:hAnsi="Times New Roman" w:eastAsia="Times New Roman"/>
          <w:bCs/>
          <w:sz w:val="24"/>
          <w:szCs w:val="24"/>
          <w:lang w:val="en-US" w:eastAsia="pt-BR"/>
        </w:rPr>
        <w:t xml:space="preserve">Minayo (2002) </w:t>
      </w:r>
      <w:r>
        <w:rPr>
          <w:rFonts w:ascii="Times New Roman" w:hAnsi="Times New Roman" w:eastAsia="Times New Roman"/>
          <w:bCs/>
          <w:sz w:val="24"/>
          <w:szCs w:val="24"/>
          <w:lang w:eastAsia="pt-BR"/>
        </w:rPr>
        <w:t xml:space="preserve">contribuem para a formação epistemológica e para o desenvolvimento do olhar investigativo na pós-graduação. </w:t>
      </w:r>
    </w:p>
    <w:p w14:paraId="670ADA19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</w:p>
    <w:p w14:paraId="05A71C76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3152F784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</w:p>
    <w:p w14:paraId="067DC11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pt-BR"/>
        </w:rPr>
      </w:pPr>
      <w:r>
        <w:rPr>
          <w:rFonts w:ascii="Times New Roman" w:hAnsi="Times New Roman" w:eastAsia="Times New Roman"/>
          <w:bCs/>
          <w:sz w:val="24"/>
          <w:szCs w:val="24"/>
          <w:lang w:eastAsia="pt-BR"/>
        </w:rPr>
        <w:t xml:space="preserve">A estratégia metodológica consistiu na realização de seminário temático a partir da leitura orientada da obra </w:t>
      </w:r>
      <w:r>
        <w:rPr>
          <w:rFonts w:ascii="Times New Roman" w:hAnsi="Times New Roman" w:eastAsia="Times New Roman"/>
          <w:bCs/>
          <w:i/>
          <w:iCs/>
          <w:sz w:val="24"/>
          <w:szCs w:val="24"/>
          <w:lang w:eastAsia="pt-BR"/>
        </w:rPr>
        <w:t>Pesquisa Social: Teoria, Método e Criatividade</w:t>
      </w:r>
      <w:r>
        <w:rPr>
          <w:rFonts w:ascii="Times New Roman" w:hAnsi="Times New Roman" w:eastAsia="Times New Roman"/>
          <w:bCs/>
          <w:sz w:val="24"/>
          <w:szCs w:val="24"/>
          <w:lang w:eastAsia="pt-BR"/>
        </w:rPr>
        <w:t>, com ênfase nos</w:t>
      </w:r>
      <w:r>
        <w:rPr>
          <w:rFonts w:ascii="Times New Roman" w:hAnsi="Times New Roman" w:eastAsia="Times New Roman"/>
          <w:bCs/>
          <w:sz w:val="24"/>
          <w:szCs w:val="24"/>
          <w:lang w:val="en-US" w:eastAsia="pt-BR"/>
        </w:rPr>
        <w:t xml:space="preserve"> dois </w:t>
      </w:r>
      <w:r>
        <w:rPr>
          <w:rFonts w:ascii="Times New Roman" w:hAnsi="Times New Roman" w:eastAsia="Times New Roman"/>
          <w:bCs/>
          <w:color w:val="auto"/>
          <w:sz w:val="24"/>
          <w:szCs w:val="24"/>
          <w:lang w:val="en-US" w:eastAsia="pt-BR"/>
        </w:rPr>
        <w:t>primeiros</w:t>
      </w:r>
      <w:r>
        <w:rPr>
          <w:rFonts w:ascii="Times New Roman" w:hAnsi="Times New Roman" w:eastAsia="Times New Roman"/>
          <w:bCs/>
          <w:color w:val="auto"/>
          <w:sz w:val="24"/>
          <w:szCs w:val="24"/>
          <w:lang w:eastAsia="pt-BR"/>
        </w:rPr>
        <w:t xml:space="preserve"> capítulos. A atividade envolveu sistematização dos</w:t>
      </w:r>
      <w:r>
        <w:rPr>
          <w:rFonts w:ascii="Times New Roman" w:hAnsi="Times New Roman" w:eastAsia="Times New Roman"/>
          <w:bCs/>
          <w:color w:val="auto"/>
          <w:sz w:val="24"/>
          <w:szCs w:val="24"/>
          <w:lang w:val="en-US" w:eastAsia="pt-BR"/>
        </w:rPr>
        <w:t xml:space="preserve"> </w:t>
      </w:r>
      <w:r>
        <w:rPr>
          <w:rFonts w:ascii="Times New Roman" w:hAnsi="Times New Roman" w:eastAsia="Times New Roman"/>
          <w:bCs/>
          <w:color w:val="auto"/>
          <w:sz w:val="24"/>
          <w:szCs w:val="24"/>
          <w:lang w:eastAsia="pt-BR"/>
        </w:rPr>
        <w:t xml:space="preserve">conceitos, organização do conteúdo e problematização dos fundamentos epistemológicos da pesquisa social, articuladas à exposição em sala. As apresentações seguiram com dinâmica estruturada, contemplando momentos de exposição e de </w:t>
      </w:r>
      <w:r>
        <w:rPr>
          <w:rFonts w:ascii="Times New Roman" w:hAnsi="Times New Roman" w:eastAsia="Times New Roman"/>
          <w:bCs/>
          <w:color w:val="auto"/>
          <w:sz w:val="24"/>
          <w:szCs w:val="24"/>
          <w:lang w:val="en-US" w:eastAsia="pt-BR"/>
        </w:rPr>
        <w:t>trocas de ideias e de entendimentos sobre os conteúdos abordados</w:t>
      </w:r>
      <w:r>
        <w:rPr>
          <w:rFonts w:ascii="Times New Roman" w:hAnsi="Times New Roman" w:eastAsia="Times New Roman"/>
          <w:bCs/>
          <w:color w:val="auto"/>
          <w:sz w:val="24"/>
          <w:szCs w:val="24"/>
          <w:lang w:eastAsia="pt-BR"/>
        </w:rPr>
        <w:t>, favorecendo o aprofundamento teórico e a reflexão crítica, elementos que subsidiaram a análise das contribuições dessa experiência para a formação acadêmica e o desenvolvimento do olhar investigativo.</w:t>
      </w:r>
    </w:p>
    <w:p w14:paraId="238457D0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pt-BR"/>
        </w:rPr>
      </w:pPr>
    </w:p>
    <w:p w14:paraId="168FC465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pt-BR"/>
        </w:rPr>
        <w:t>Fundamentação teórica que sustentou/sustenta a prática desenvolvida</w:t>
      </w:r>
    </w:p>
    <w:p w14:paraId="0B342D0A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auto"/>
          <w:sz w:val="24"/>
          <w:szCs w:val="24"/>
          <w:lang w:val="en-US" w:eastAsia="pt-BR"/>
        </w:rPr>
      </w:pP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val="en-US" w:eastAsia="pt-BR"/>
        </w:rPr>
        <w:tab/>
      </w:r>
    </w:p>
    <w:p w14:paraId="7EA461E2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en-US" w:eastAsia="pt-BR"/>
        </w:rPr>
      </w:pPr>
      <w:r>
        <w:rPr>
          <w:rFonts w:ascii="Times New Roman" w:hAnsi="Times New Roman" w:eastAsia="Times New Roman"/>
          <w:bCs/>
          <w:color w:val="auto"/>
          <w:sz w:val="24"/>
          <w:szCs w:val="24"/>
          <w:lang w:val="en-US" w:eastAsia="pt-BR"/>
        </w:rPr>
        <w:t>A fundamentação teórica</w:t>
      </w:r>
      <w:r>
        <w:rPr>
          <w:rFonts w:hint="default" w:ascii="Times New Roman" w:hAnsi="Times New Roman" w:eastAsia="Times New Roman"/>
          <w:bCs/>
          <w:color w:val="auto"/>
          <w:sz w:val="24"/>
          <w:szCs w:val="24"/>
          <w:lang w:val="en-US" w:eastAsia="pt-BR"/>
        </w:rPr>
        <w:t xml:space="preserve"> </w:t>
      </w:r>
      <w:r>
        <w:rPr>
          <w:rFonts w:ascii="Times New Roman" w:hAnsi="Times New Roman" w:eastAsia="Times New Roman"/>
          <w:bCs/>
          <w:color w:val="auto"/>
          <w:sz w:val="24"/>
          <w:szCs w:val="24"/>
          <w:lang w:val="en-US" w:eastAsia="pt-BR"/>
        </w:rPr>
        <w:t xml:space="preserve">apoia-se nas contribuições de  Minayo (2002) na obra </w:t>
      </w:r>
      <w:r>
        <w:rPr>
          <w:rFonts w:ascii="Times New Roman" w:hAnsi="Times New Roman" w:eastAsia="Times New Roman"/>
          <w:bCs/>
          <w:i/>
          <w:iCs/>
          <w:color w:val="auto"/>
          <w:sz w:val="24"/>
          <w:szCs w:val="24"/>
          <w:lang w:val="en-US" w:eastAsia="pt-BR"/>
        </w:rPr>
        <w:t>Pesquisa Social: Teoria, Método e Criatividade,</w:t>
      </w:r>
      <w:r>
        <w:rPr>
          <w:rFonts w:ascii="Times New Roman" w:hAnsi="Times New Roman" w:eastAsia="Times New Roman"/>
          <w:bCs/>
          <w:color w:val="auto"/>
          <w:sz w:val="24"/>
          <w:szCs w:val="24"/>
          <w:lang w:val="en-US" w:eastAsia="pt-BR"/>
        </w:rPr>
        <w:t xml:space="preserve"> a qual problematiza a pesquisa social a partir de uma perspectiva que articula teoria e prática, ressaltando o caráter histórico, social e interpretativo da produção do conhecimento científico. </w:t>
      </w:r>
    </w:p>
    <w:p w14:paraId="3BF785E8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pt-BR"/>
        </w:rPr>
      </w:pPr>
    </w:p>
    <w:p w14:paraId="3D8D9833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pt-BR"/>
        </w:rPr>
        <w:t xml:space="preserve">Resultados da prática </w:t>
      </w:r>
    </w:p>
    <w:p w14:paraId="56C2594D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auto"/>
          <w:sz w:val="24"/>
          <w:szCs w:val="24"/>
          <w:lang w:val="en-US" w:eastAsia="pt-BR"/>
        </w:rPr>
      </w:pP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val="en-US" w:eastAsia="pt-BR"/>
        </w:rPr>
        <w:tab/>
      </w:r>
    </w:p>
    <w:p w14:paraId="6291756B">
      <w:pPr>
        <w:spacing w:after="0" w:line="240" w:lineRule="auto"/>
        <w:ind w:firstLine="708"/>
        <w:jc w:val="both"/>
        <w:rPr>
          <w:rFonts w:ascii="Times New Roman" w:hAnsi="Times New Roman" w:eastAsia="Times New Roman"/>
          <w:bCs/>
          <w:color w:val="auto"/>
          <w:sz w:val="24"/>
          <w:szCs w:val="24"/>
          <w:lang w:val="en-US" w:eastAsia="pt-BR"/>
        </w:rPr>
      </w:pPr>
      <w:r>
        <w:rPr>
          <w:rFonts w:ascii="Times New Roman" w:hAnsi="Times New Roman" w:eastAsia="Times New Roman"/>
          <w:bCs/>
          <w:color w:val="auto"/>
          <w:sz w:val="24"/>
          <w:szCs w:val="24"/>
          <w:lang w:val="en-US" w:eastAsia="pt-BR"/>
        </w:rPr>
        <w:t xml:space="preserve">A experiência possibilitou aprofundar a compreensão dos fundamentos da pesquisa social e desenvolver a capacidade de análise crítica. O seminário exigiu interpretação, síntese e articulação com o campo da educação, além de favorecer habilidades como argumentação, organização do pensamento e posicionamento crítico, impactando diretamente a pesquisa em desenvolvimento dos mestrandos nessa primeira fase dos estudos no PPGE. </w:t>
      </w:r>
    </w:p>
    <w:p w14:paraId="0948D25C">
      <w:pPr>
        <w:spacing w:after="0" w:line="240" w:lineRule="auto"/>
        <w:jc w:val="both"/>
        <w:rPr>
          <w:rFonts w:ascii="Times New Roman" w:hAnsi="Times New Roman" w:eastAsia="Times New Roman"/>
          <w:bCs/>
          <w:color w:val="auto"/>
          <w:sz w:val="24"/>
          <w:szCs w:val="24"/>
          <w:lang w:val="en-US" w:eastAsia="pt-BR"/>
        </w:rPr>
      </w:pPr>
    </w:p>
    <w:p w14:paraId="0C8B3949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0BDBDDF8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val="en-US"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en-US" w:eastAsia="pt-BR"/>
        </w:rPr>
        <w:tab/>
      </w:r>
    </w:p>
    <w:p w14:paraId="1B276F3E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val="en-US" w:eastAsia="pt-BR"/>
        </w:rPr>
      </w:pPr>
      <w:r>
        <w:rPr>
          <w:rFonts w:ascii="Times New Roman" w:hAnsi="Times New Roman" w:eastAsia="Times New Roman"/>
          <w:bCs/>
          <w:sz w:val="24"/>
          <w:szCs w:val="24"/>
          <w:lang w:val="en-US" w:eastAsia="pt-BR"/>
        </w:rPr>
        <w:t>A relevância social desta experiência está relacionada à formação de pesquisadores mais críticos, reflexivos e conscientes de seu papel na produção do conhecimento, especialmente no campo da educação. Ao promover a compreensão dos fundamentos epistemológicos da pesquisa social, a prática contribui para a qualificação da formação acadêmica impactando, de forma indireta, a qualidade das investigaçõe</w:t>
      </w:r>
      <w:r>
        <w:rPr>
          <w:rFonts w:hint="default" w:ascii="Times New Roman" w:hAnsi="Times New Roman" w:eastAsia="Times New Roman"/>
          <w:bCs/>
          <w:sz w:val="24"/>
          <w:szCs w:val="24"/>
          <w:lang w:val="en-US" w:eastAsia="pt-BR"/>
        </w:rPr>
        <w:t>s</w:t>
      </w:r>
      <w:r>
        <w:rPr>
          <w:rFonts w:ascii="Times New Roman" w:hAnsi="Times New Roman" w:eastAsia="Times New Roman"/>
          <w:bCs/>
          <w:sz w:val="24"/>
          <w:szCs w:val="24"/>
          <w:lang w:val="en-US" w:eastAsia="pt-BR"/>
        </w:rPr>
        <w:t xml:space="preserve"> e práticas educacionais.</w:t>
      </w:r>
    </w:p>
    <w:p w14:paraId="4852D00B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</w:p>
    <w:p w14:paraId="77F0A48D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Considerações finais</w:t>
      </w:r>
    </w:p>
    <w:p w14:paraId="259F2CF6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</w:p>
    <w:p w14:paraId="75058B20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A partir da experiência relatada, evidencia-se que práticas formativas baseadas na leitura crítica, na problematização teórica e na socialização do conhecimento desempenham papel fundamental na formação epistemológica de pesquisadores em educação. </w:t>
      </w:r>
    </w:p>
    <w:p w14:paraId="3CA3D01F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 w:eastAsia="Times New Roman"/>
          <w:sz w:val="24"/>
          <w:szCs w:val="24"/>
          <w:lang w:val="en-US" w:eastAsia="pt-BR"/>
        </w:rPr>
        <w:t>D</w:t>
      </w:r>
      <w:r>
        <w:rPr>
          <w:rFonts w:ascii="Times New Roman" w:hAnsi="Times New Roman" w:eastAsia="Times New Roman"/>
          <w:sz w:val="24"/>
          <w:szCs w:val="24"/>
          <w:lang w:eastAsia="pt-BR"/>
        </w:rPr>
        <w:t>estaca-se que o contato com Minayo</w:t>
      </w:r>
      <w:r>
        <w:rPr>
          <w:rFonts w:ascii="Times New Roman" w:hAnsi="Times New Roman" w:eastAsia="Times New Roman"/>
          <w:sz w:val="24"/>
          <w:szCs w:val="24"/>
          <w:lang w:val="en-US" w:eastAsia="pt-BR"/>
        </w:rPr>
        <w:t xml:space="preserve"> </w:t>
      </w:r>
      <w:r>
        <w:rPr>
          <w:rFonts w:ascii="Times New Roman" w:hAnsi="Times New Roman" w:eastAsia="Times New Roman"/>
          <w:bCs/>
          <w:sz w:val="24"/>
          <w:szCs w:val="24"/>
          <w:lang w:val="en-US" w:eastAsia="pt-BR"/>
        </w:rPr>
        <w:t>(2002)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contribuiu significativamente para o amadurecimento intelectual e para a construção do olhar de pesquisador, ao evidenciar que a produção do conhecimento científico envolve escolhas, posicionamentos e implicações que vão além da aplicação de métodos.</w:t>
      </w:r>
      <w:r>
        <w:rPr>
          <w:rFonts w:ascii="Times New Roman" w:hAnsi="Times New Roman" w:eastAsia="Times New Roman"/>
          <w:sz w:val="24"/>
          <w:szCs w:val="24"/>
          <w:lang w:val="en-US" w:eastAsia="pt-BR"/>
        </w:rPr>
        <w:t xml:space="preserve"> </w:t>
      </w:r>
    </w:p>
    <w:p w14:paraId="575C593E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>Por fim, considera-se que experiências como esta são essenciais no contexto da pós-graduação, uma vez que favorecem a articulação entre teoria e prática, fortalecendo a formação de pesquisadores comprometidos com a produção de conhecimento relevante, crítico e socialmente situado.</w:t>
      </w:r>
    </w:p>
    <w:p w14:paraId="2D90D0D4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</w:p>
    <w:p w14:paraId="0560FDF5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Referências</w:t>
      </w:r>
    </w:p>
    <w:p w14:paraId="2B68DFE4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eastAsia="Times New Roman"/>
          <w:bCs/>
          <w:sz w:val="24"/>
          <w:szCs w:val="24"/>
          <w:lang w:eastAsia="pt-BR"/>
        </w:rPr>
        <w:t xml:space="preserve">MINAYO, Maria Cecília de Souza (org.). 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Pesquisa social: </w:t>
      </w:r>
      <w:r>
        <w:rPr>
          <w:rFonts w:ascii="Times New Roman" w:hAnsi="Times New Roman" w:eastAsia="Times New Roman"/>
          <w:bCs/>
          <w:sz w:val="24"/>
          <w:szCs w:val="24"/>
          <w:lang w:eastAsia="pt-BR"/>
        </w:rPr>
        <w:t>teoria, método e criatividade. Petrópolis, RJ</w:t>
      </w:r>
      <w:r>
        <w:rPr>
          <w:rFonts w:ascii="Times New Roman" w:hAnsi="Times New Roman" w:eastAsia="Times New Roman"/>
          <w:bCs/>
          <w:sz w:val="24"/>
          <w:szCs w:val="24"/>
          <w:lang w:val="en-US" w:eastAsia="pt-BR"/>
        </w:rPr>
        <w:t xml:space="preserve"> :</w:t>
      </w:r>
      <w:r>
        <w:rPr>
          <w:rFonts w:ascii="Times New Roman" w:hAnsi="Times New Roman" w:eastAsia="Times New Roman"/>
          <w:bCs/>
          <w:sz w:val="24"/>
          <w:szCs w:val="24"/>
          <w:lang w:eastAsia="pt-BR"/>
        </w:rPr>
        <w:t xml:space="preserve"> Vozes, 2002.</w:t>
      </w:r>
    </w:p>
    <w:sectPr>
      <w:headerReference r:id="rId5" w:type="default"/>
      <w:pgSz w:w="11906" w:h="16838"/>
      <w:pgMar w:top="1701" w:right="1134" w:bottom="1134" w:left="1701" w:header="708" w:footer="709" w:gutter="0"/>
      <w:cols w:space="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997FD3">
    <w:pPr>
      <w:pStyle w:val="5"/>
    </w:pPr>
    <w:r>
      <w:rPr>
        <w:lang w:eastAsia="pt-BR"/>
      </w:rP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B16D9"/>
    <w:rsid w:val="00172A27"/>
    <w:rsid w:val="001C051E"/>
    <w:rsid w:val="00677F30"/>
    <w:rsid w:val="00693EBE"/>
    <w:rsid w:val="00741E2B"/>
    <w:rsid w:val="00B07132"/>
    <w:rsid w:val="00B82A8F"/>
    <w:rsid w:val="00C05FDA"/>
    <w:rsid w:val="00E43482"/>
    <w:rsid w:val="00EC7CD7"/>
    <w:rsid w:val="00F034E3"/>
    <w:rsid w:val="00FC028D"/>
    <w:rsid w:val="07BD78D2"/>
    <w:rsid w:val="0CB10AFC"/>
    <w:rsid w:val="0E9E37B4"/>
    <w:rsid w:val="1A894334"/>
    <w:rsid w:val="1EF63937"/>
    <w:rsid w:val="20144342"/>
    <w:rsid w:val="221653A0"/>
    <w:rsid w:val="22184B3D"/>
    <w:rsid w:val="22C06E47"/>
    <w:rsid w:val="236E20A2"/>
    <w:rsid w:val="25485496"/>
    <w:rsid w:val="259C323D"/>
    <w:rsid w:val="27CD66DB"/>
    <w:rsid w:val="28275887"/>
    <w:rsid w:val="2D0A23B4"/>
    <w:rsid w:val="336839D0"/>
    <w:rsid w:val="39113C01"/>
    <w:rsid w:val="3BD909F7"/>
    <w:rsid w:val="4A4308C7"/>
    <w:rsid w:val="4DAD2754"/>
    <w:rsid w:val="597F7F50"/>
    <w:rsid w:val="59FB6197"/>
    <w:rsid w:val="5B5B3C9A"/>
    <w:rsid w:val="5D4C1433"/>
    <w:rsid w:val="60FF12C0"/>
    <w:rsid w:val="65930DE5"/>
    <w:rsid w:val="68F74436"/>
    <w:rsid w:val="6AC044BA"/>
    <w:rsid w:val="6E4159A8"/>
    <w:rsid w:val="704476BC"/>
    <w:rsid w:val="7E5F027E"/>
    <w:rsid w:val="7EE4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header"/>
    <w:basedOn w:val="1"/>
    <w:semiHidden/>
    <w:unhideWhenUsed/>
    <w:qFormat/>
    <w:uiPriority w:val="99"/>
    <w:pPr>
      <w:tabs>
        <w:tab w:val="center" w:pos="4252"/>
        <w:tab w:val="right" w:pos="8504"/>
      </w:tabs>
    </w:pPr>
  </w:style>
  <w:style w:type="paragraph" w:styleId="6">
    <w:name w:val="footer"/>
    <w:basedOn w:val="1"/>
    <w:semiHidden/>
    <w:unhideWhenUsed/>
    <w:qFormat/>
    <w:uiPriority w:val="99"/>
    <w:pPr>
      <w:tabs>
        <w:tab w:val="center" w:pos="4252"/>
        <w:tab w:val="right" w:pos="8504"/>
      </w:tabs>
    </w:pPr>
  </w:style>
  <w:style w:type="table" w:styleId="7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695</Words>
  <Characters>4483</Characters>
  <Lines>38</Lines>
  <Paragraphs>10</Paragraphs>
  <TotalTime>1629</TotalTime>
  <ScaleCrop>false</ScaleCrop>
  <LinksUpToDate>false</LinksUpToDate>
  <CharactersWithSpaces>5162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2024-10-22T15:37:00Z</dcterms:created>
  <dc:creator>Ùrsula</dc:creator>
  <cp:lastModifiedBy>Pedro Herinque</cp:lastModifiedBy>
  <dcterms:modified xsi:type="dcterms:W3CDTF">2026-05-02T11:07:04Z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1046-12.1.0.25862</vt:lpwstr>
  </property>
  <property fmtid="{D5CDD505-2E9C-101B-9397-08002B2CF9AE}" pid="3" name="ICV">
    <vt:lpwstr>741E964095574654B47BA8982CFA4284_13</vt:lpwstr>
  </property>
  <property fmtid="{D5CDD505-2E9C-101B-9397-08002B2CF9AE}" pid="4" name="KSOTemplateDocerSaveRecord">
    <vt:lpwstr>eyJoZGlkIjoiODljMDM5NTlkNDM0M2VlZGE2OGU1MGYxZmY1ZDc3YjEiLCJ1c2VySWQiOiIxMjU0Njc4ODM0MzI2In0=</vt:lpwstr>
  </property>
</Properties>
</file>