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5356A0" w:rsidR="00B2332E" w:rsidRDefault="00F1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PRINCÍPIOS E REGRAS A</w:t>
      </w:r>
      <w:r w:rsidR="002A1115">
        <w:rPr>
          <w:b/>
          <w:sz w:val="24"/>
          <w:szCs w:val="24"/>
        </w:rPr>
        <w:t xml:space="preserve"> LUZ DE RONALD </w:t>
      </w:r>
    </w:p>
    <w:bookmarkEnd w:id="0"/>
    <w:p w14:paraId="00000002" w14:textId="77777777" w:rsidR="00B2332E" w:rsidRDefault="002A11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DWORKIN E ROBERT ALEXY</w:t>
      </w:r>
    </w:p>
    <w:p w14:paraId="00000003" w14:textId="77777777" w:rsidR="00B2332E" w:rsidRDefault="00B2332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4" w14:textId="77777777" w:rsidR="00B2332E" w:rsidRDefault="002A11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Elvis Sales do Nascimento Filho¹; Lara Rafaela Gomes¹; Ramiro Leandro Pinheiro Neto¹; Gustavo da Silva Rezende¹; Bruna Oliveira Fernandes²; </w:t>
      </w:r>
      <w:proofErr w:type="spellStart"/>
      <w:r>
        <w:rPr>
          <w:sz w:val="24"/>
          <w:szCs w:val="24"/>
          <w:highlight w:val="white"/>
        </w:rPr>
        <w:t>Khalina</w:t>
      </w:r>
      <w:proofErr w:type="spellEnd"/>
      <w:r>
        <w:rPr>
          <w:sz w:val="24"/>
          <w:szCs w:val="24"/>
          <w:highlight w:val="white"/>
        </w:rPr>
        <w:t xml:space="preserve"> Assunção Bezerra².</w:t>
      </w:r>
    </w:p>
    <w:p w14:paraId="00000005" w14:textId="77777777" w:rsidR="00B2332E" w:rsidRDefault="00B2332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6" w14:textId="06C17BD0" w:rsidR="00B2332E" w:rsidRDefault="00F147D5">
      <w:pPr>
        <w:widowControl/>
        <w:spacing w:after="160"/>
        <w:rPr>
          <w:sz w:val="24"/>
          <w:szCs w:val="24"/>
        </w:rPr>
      </w:pPr>
      <w:r>
        <w:rPr>
          <w:sz w:val="24"/>
          <w:szCs w:val="24"/>
        </w:rPr>
        <w:t>¹Graduando</w:t>
      </w:r>
      <w:r w:rsidR="002A1115">
        <w:rPr>
          <w:sz w:val="24"/>
          <w:szCs w:val="24"/>
        </w:rPr>
        <w:t xml:space="preserve"> do Curso de Direito do Instituto de Educação Superior d</w:t>
      </w:r>
      <w:r>
        <w:rPr>
          <w:sz w:val="24"/>
          <w:szCs w:val="24"/>
        </w:rPr>
        <w:t xml:space="preserve">o Vale do Parnaíba – IESVAP; ² </w:t>
      </w:r>
      <w:r w:rsidR="002A1115">
        <w:rPr>
          <w:sz w:val="24"/>
          <w:szCs w:val="24"/>
        </w:rPr>
        <w:t>Professora Orientadora – IESVAP.</w:t>
      </w:r>
    </w:p>
    <w:p w14:paraId="00000007" w14:textId="77777777" w:rsidR="00B2332E" w:rsidRDefault="00B2332E">
      <w:pPr>
        <w:widowControl/>
        <w:spacing w:after="160"/>
        <w:rPr>
          <w:sz w:val="24"/>
          <w:szCs w:val="24"/>
        </w:rPr>
      </w:pPr>
      <w:bookmarkStart w:id="1" w:name="_gjdgxs" w:colFirst="0" w:colLast="0"/>
      <w:bookmarkEnd w:id="1"/>
    </w:p>
    <w:p w14:paraId="00000008" w14:textId="77777777" w:rsidR="00B2332E" w:rsidRDefault="002A1115">
      <w:pPr>
        <w:widowControl/>
        <w:spacing w:after="160"/>
        <w:rPr>
          <w:sz w:val="24"/>
          <w:szCs w:val="24"/>
        </w:rPr>
      </w:pPr>
      <w:r>
        <w:rPr>
          <w:sz w:val="24"/>
          <w:szCs w:val="24"/>
        </w:rPr>
        <w:t>Dispositivos Normativos - Direito Constitucional</w:t>
      </w:r>
    </w:p>
    <w:p w14:paraId="00000009" w14:textId="77777777" w:rsidR="00B2332E" w:rsidRDefault="002A1115">
      <w:pPr>
        <w:widowControl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salesfilho011@gmail.com </w:t>
      </w:r>
    </w:p>
    <w:p w14:paraId="0000000A" w14:textId="77777777" w:rsidR="00B2332E" w:rsidRDefault="00B2332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B" w14:textId="15AFE3AB" w:rsidR="00B2332E" w:rsidRDefault="002A11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A aplicação do Direito diante das </w:t>
      </w:r>
      <w:r>
        <w:rPr>
          <w:color w:val="010101"/>
          <w:sz w:val="24"/>
          <w:szCs w:val="24"/>
        </w:rPr>
        <w:t>relações sociais passou por várias transformações no que se trata de sua aplicação e interpretação jurídica. O entendimento da importância dos princípios e regras à luz dos dispositivos constitucionais e infraconstitucionais são fatores imprescindíveis par</w:t>
      </w:r>
      <w:r>
        <w:rPr>
          <w:color w:val="010101"/>
          <w:sz w:val="24"/>
          <w:szCs w:val="24"/>
        </w:rPr>
        <w:t xml:space="preserve">a a concretização desses aparatos </w:t>
      </w:r>
      <w:r w:rsidR="00FF5A4F">
        <w:rPr>
          <w:color w:val="010101"/>
          <w:sz w:val="24"/>
          <w:szCs w:val="24"/>
        </w:rPr>
        <w:t>normativos em meio a sociedade.</w:t>
      </w:r>
      <w:r>
        <w:rPr>
          <w:color w:val="010101"/>
          <w:sz w:val="24"/>
          <w:szCs w:val="24"/>
        </w:rPr>
        <w:t xml:space="preserve"> O presente resumo tem por objetivo abordar as concepções de Robert </w:t>
      </w:r>
      <w:proofErr w:type="spellStart"/>
      <w:r>
        <w:rPr>
          <w:color w:val="010101"/>
          <w:sz w:val="24"/>
          <w:szCs w:val="24"/>
        </w:rPr>
        <w:t>Alexy</w:t>
      </w:r>
      <w:proofErr w:type="spellEnd"/>
      <w:r>
        <w:rPr>
          <w:color w:val="010101"/>
          <w:sz w:val="24"/>
          <w:szCs w:val="24"/>
        </w:rPr>
        <w:t xml:space="preserve"> e Ronald </w:t>
      </w:r>
      <w:proofErr w:type="spellStart"/>
      <w:r>
        <w:rPr>
          <w:color w:val="010101"/>
          <w:sz w:val="24"/>
          <w:szCs w:val="24"/>
        </w:rPr>
        <w:t>Dworkin</w:t>
      </w:r>
      <w:proofErr w:type="spellEnd"/>
      <w:r>
        <w:rPr>
          <w:color w:val="010101"/>
          <w:sz w:val="24"/>
          <w:szCs w:val="24"/>
        </w:rPr>
        <w:t xml:space="preserve"> acerca da erudição da aplicação dos princípios e regras nos preceitos jurídicos, considera</w:t>
      </w:r>
      <w:r>
        <w:rPr>
          <w:color w:val="010101"/>
          <w:sz w:val="24"/>
          <w:szCs w:val="24"/>
        </w:rPr>
        <w:t xml:space="preserve">ndo as relações existentes nas teorias desses dois </w:t>
      </w:r>
      <w:proofErr w:type="spellStart"/>
      <w:r>
        <w:rPr>
          <w:color w:val="010101"/>
          <w:sz w:val="24"/>
          <w:szCs w:val="24"/>
        </w:rPr>
        <w:t>neopositivistas</w:t>
      </w:r>
      <w:proofErr w:type="spellEnd"/>
      <w:r>
        <w:rPr>
          <w:color w:val="010101"/>
          <w:sz w:val="24"/>
          <w:szCs w:val="24"/>
        </w:rPr>
        <w:t xml:space="preserve"> e suas contribuições para o direito contemporâneo.</w:t>
      </w:r>
      <w:r>
        <w:rPr>
          <w:color w:val="010101"/>
          <w:sz w:val="24"/>
          <w:szCs w:val="24"/>
        </w:rPr>
        <w:t xml:space="preserve"> Para isso, utilizou-se o estudo bibliográfico baseado no livro “Levando o Direito a Sério”, de Ronald </w:t>
      </w:r>
      <w:proofErr w:type="spellStart"/>
      <w:r>
        <w:rPr>
          <w:color w:val="010101"/>
          <w:sz w:val="24"/>
          <w:szCs w:val="24"/>
        </w:rPr>
        <w:t>Dworkin</w:t>
      </w:r>
      <w:proofErr w:type="spellEnd"/>
      <w:r>
        <w:rPr>
          <w:color w:val="010101"/>
          <w:sz w:val="24"/>
          <w:szCs w:val="24"/>
        </w:rPr>
        <w:t>, no livro “Teoria dos</w:t>
      </w:r>
      <w:r>
        <w:rPr>
          <w:color w:val="010101"/>
          <w:sz w:val="24"/>
          <w:szCs w:val="24"/>
        </w:rPr>
        <w:t xml:space="preserve"> Direitos Fundamentais”, de Robert </w:t>
      </w:r>
      <w:proofErr w:type="spellStart"/>
      <w:r>
        <w:rPr>
          <w:color w:val="010101"/>
          <w:sz w:val="24"/>
          <w:szCs w:val="24"/>
        </w:rPr>
        <w:t>Alexy</w:t>
      </w:r>
      <w:proofErr w:type="spellEnd"/>
      <w:r>
        <w:rPr>
          <w:color w:val="010101"/>
          <w:sz w:val="24"/>
          <w:szCs w:val="24"/>
        </w:rPr>
        <w:t>, entre outros. Além disso, foi adotada uma metodologia documental com informações absorvidas e debatida entre autores e coautores.</w:t>
      </w:r>
      <w:r>
        <w:rPr>
          <w:color w:val="010101"/>
          <w:sz w:val="24"/>
          <w:szCs w:val="24"/>
        </w:rPr>
        <w:t xml:space="preserve"> Por certo, durante muito tempo, a concepção de princípios e regras adoto</w:t>
      </w:r>
      <w:r>
        <w:rPr>
          <w:color w:val="010101"/>
          <w:sz w:val="24"/>
          <w:szCs w:val="24"/>
        </w:rPr>
        <w:t xml:space="preserve">u um conceito quantitativo, o que não é considerado pela doutrina atual. Esse conceito relaciona algumas distinções baseadas nos graus de generalidade, imprecisão e discricionariedade. Contrariando essa concepção tradicional, Ronald </w:t>
      </w:r>
      <w:proofErr w:type="spellStart"/>
      <w:r>
        <w:rPr>
          <w:color w:val="010101"/>
          <w:sz w:val="24"/>
          <w:szCs w:val="24"/>
        </w:rPr>
        <w:t>Dworkin</w:t>
      </w:r>
      <w:proofErr w:type="spellEnd"/>
      <w:r>
        <w:rPr>
          <w:color w:val="010101"/>
          <w:sz w:val="24"/>
          <w:szCs w:val="24"/>
        </w:rPr>
        <w:t xml:space="preserve"> propôs uma dist</w:t>
      </w:r>
      <w:r>
        <w:rPr>
          <w:color w:val="010101"/>
          <w:sz w:val="24"/>
          <w:szCs w:val="24"/>
        </w:rPr>
        <w:t>inção qualitativa entre princípios e regras, sendo o primeiro a fazer esse tipo de distinção. De acordo com sua teoria, regras e princípios são normas jurídicas e possuem estruturas lógicas distintas, contraria</w:t>
      </w:r>
      <w:r w:rsidR="00FF5A4F">
        <w:rPr>
          <w:color w:val="010101"/>
          <w:sz w:val="24"/>
          <w:szCs w:val="24"/>
        </w:rPr>
        <w:t>ndo fortemente o positivista Her</w:t>
      </w:r>
      <w:r>
        <w:rPr>
          <w:color w:val="010101"/>
          <w:sz w:val="24"/>
          <w:szCs w:val="24"/>
        </w:rPr>
        <w:t>bert Hart, que</w:t>
      </w:r>
      <w:r>
        <w:rPr>
          <w:color w:val="010101"/>
          <w:sz w:val="24"/>
          <w:szCs w:val="24"/>
        </w:rPr>
        <w:t xml:space="preserve"> acreditava que o ordenamento jurídico era composto apenas por regras. Para </w:t>
      </w:r>
      <w:proofErr w:type="spellStart"/>
      <w:r>
        <w:rPr>
          <w:color w:val="010101"/>
          <w:sz w:val="24"/>
          <w:szCs w:val="24"/>
        </w:rPr>
        <w:t>Dworkin</w:t>
      </w:r>
      <w:proofErr w:type="spellEnd"/>
      <w:r>
        <w:rPr>
          <w:color w:val="010101"/>
          <w:sz w:val="24"/>
          <w:szCs w:val="24"/>
        </w:rPr>
        <w:t xml:space="preserve">, a regra seguia o critério do </w:t>
      </w:r>
      <w:r>
        <w:rPr>
          <w:i/>
          <w:color w:val="010101"/>
          <w:sz w:val="24"/>
          <w:szCs w:val="24"/>
        </w:rPr>
        <w:t>tudo-ou-nada</w:t>
      </w:r>
      <w:r>
        <w:rPr>
          <w:color w:val="010101"/>
          <w:sz w:val="24"/>
          <w:szCs w:val="24"/>
        </w:rPr>
        <w:t>, ou seja, ou a regra é válida ou é inválida. Já o princípio, por sua vez, é aplicado de acordo com a "dimensão do peso ou importâ</w:t>
      </w:r>
      <w:r>
        <w:rPr>
          <w:color w:val="010101"/>
          <w:sz w:val="24"/>
          <w:szCs w:val="24"/>
        </w:rPr>
        <w:t xml:space="preserve">ncia", baseando-se no caso concreto. O alemão Robert </w:t>
      </w:r>
      <w:proofErr w:type="spellStart"/>
      <w:r>
        <w:rPr>
          <w:color w:val="010101"/>
          <w:sz w:val="24"/>
          <w:szCs w:val="24"/>
        </w:rPr>
        <w:t>Alexy</w:t>
      </w:r>
      <w:proofErr w:type="spellEnd"/>
      <w:r>
        <w:rPr>
          <w:color w:val="010101"/>
          <w:sz w:val="24"/>
          <w:szCs w:val="24"/>
        </w:rPr>
        <w:t xml:space="preserve"> também contribuiu muito para a distinção de princípios e regras, complementando alguns pontos levantados por </w:t>
      </w:r>
      <w:proofErr w:type="spellStart"/>
      <w:r>
        <w:rPr>
          <w:color w:val="010101"/>
          <w:sz w:val="24"/>
          <w:szCs w:val="24"/>
        </w:rPr>
        <w:t>Dworkin</w:t>
      </w:r>
      <w:proofErr w:type="spellEnd"/>
      <w:r>
        <w:rPr>
          <w:color w:val="010101"/>
          <w:sz w:val="24"/>
          <w:szCs w:val="24"/>
        </w:rPr>
        <w:t xml:space="preserve">. A teoria de </w:t>
      </w:r>
      <w:proofErr w:type="spellStart"/>
      <w:r>
        <w:rPr>
          <w:color w:val="010101"/>
          <w:sz w:val="24"/>
          <w:szCs w:val="24"/>
        </w:rPr>
        <w:t>Alexy</w:t>
      </w:r>
      <w:proofErr w:type="spellEnd"/>
      <w:r>
        <w:rPr>
          <w:color w:val="010101"/>
          <w:sz w:val="24"/>
          <w:szCs w:val="24"/>
        </w:rPr>
        <w:t xml:space="preserve"> define as regras como sendo razões definitivas e os princípio</w:t>
      </w:r>
      <w:r>
        <w:rPr>
          <w:color w:val="010101"/>
          <w:sz w:val="24"/>
          <w:szCs w:val="24"/>
        </w:rPr>
        <w:t>s como mandamento de otimização. Este tem como característica a satisfação em graus variados, levando-se em conta as possibilidades fáticas e jurídicas, servindo como parâmetro axiológico. Aquela, por outro lado, possui uma ordenação certa e limitada, deve</w:t>
      </w:r>
      <w:r>
        <w:rPr>
          <w:color w:val="010101"/>
          <w:sz w:val="24"/>
          <w:szCs w:val="24"/>
        </w:rPr>
        <w:t>ndo ser satisfeita, ou não, na sua integridade. Além disso, as regras só poderão ser deixadas de serem seguidas quando existir uma cláusula de exceção ou quando for declarada a sua invalidade. Em contrapartida, os princípios não poderão ser invalidados par</w:t>
      </w:r>
      <w:r>
        <w:rPr>
          <w:color w:val="010101"/>
          <w:sz w:val="24"/>
          <w:szCs w:val="24"/>
        </w:rPr>
        <w:t xml:space="preserve">a que outro seja cumprido, devendo ocorrer, no caso, um </w:t>
      </w:r>
      <w:proofErr w:type="spellStart"/>
      <w:r>
        <w:rPr>
          <w:color w:val="010101"/>
          <w:sz w:val="24"/>
          <w:szCs w:val="24"/>
        </w:rPr>
        <w:t>sopesamento</w:t>
      </w:r>
      <w:proofErr w:type="spellEnd"/>
      <w:r>
        <w:rPr>
          <w:color w:val="010101"/>
          <w:sz w:val="24"/>
          <w:szCs w:val="24"/>
        </w:rPr>
        <w:t xml:space="preserve"> entre princípios, determinado por uma relação de precedência estipulada num determinado caso concreto. Ademais, o modo de utilização das regras e princípios também apresenta distinção. Enq</w:t>
      </w:r>
      <w:r>
        <w:rPr>
          <w:color w:val="010101"/>
          <w:sz w:val="24"/>
          <w:szCs w:val="24"/>
        </w:rPr>
        <w:t>uanto a regra está prevista para um determinado caso concreto, o princípio necessita de uma fundamentação lógica para ser aplicado, ou seja, possui um caráter mais abstrato, o que deixa evidente a necessidade em conter, no ordenamento jurídico, a composiçã</w:t>
      </w:r>
      <w:r>
        <w:rPr>
          <w:color w:val="010101"/>
          <w:sz w:val="24"/>
          <w:szCs w:val="24"/>
        </w:rPr>
        <w:t>o de regras e princípios, garantindo, assim, a eficiência dos dispositivos normativos.</w:t>
      </w:r>
      <w:r>
        <w:rPr>
          <w:color w:val="010101"/>
          <w:sz w:val="24"/>
          <w:szCs w:val="24"/>
        </w:rPr>
        <w:t xml:space="preserve"> Dessa forma, percebe-se que esses dois grandes juristas foram responsáveis pela elaboração das teorias que atualmente vêm sendo adotadas por vários ordenament</w:t>
      </w:r>
      <w:r>
        <w:rPr>
          <w:color w:val="010101"/>
          <w:sz w:val="24"/>
          <w:szCs w:val="24"/>
        </w:rPr>
        <w:t>os jurídicos, fazendo-se necessária a distinção entre regras e princípios, a fim de que se garanta a completude e concretização dos dispositivos legais adotados por cada Estado soberano, tendo em vista que o direito carrega uma grande fundamentação axiológ</w:t>
      </w:r>
      <w:r>
        <w:rPr>
          <w:color w:val="010101"/>
          <w:sz w:val="24"/>
          <w:szCs w:val="24"/>
        </w:rPr>
        <w:t>ica oriunda da sociedade, refletindo-se diretamente sobre ela.</w:t>
      </w:r>
    </w:p>
    <w:p w14:paraId="0000000C" w14:textId="77777777" w:rsidR="00B2332E" w:rsidRDefault="00B2332E" w:rsidP="002A11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10101"/>
          <w:sz w:val="24"/>
          <w:szCs w:val="24"/>
        </w:rPr>
      </w:pPr>
    </w:p>
    <w:p w14:paraId="0000000D" w14:textId="77777777" w:rsidR="00B2332E" w:rsidRDefault="002A1115" w:rsidP="002A11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Palavras-chave: Regras, princípios, distinções.</w:t>
      </w:r>
    </w:p>
    <w:sectPr w:rsidR="00B2332E">
      <w:pgSz w:w="11907" w:h="16839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E"/>
    <w:rsid w:val="002A1115"/>
    <w:rsid w:val="00B2332E"/>
    <w:rsid w:val="00F147D5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6346"/>
  <w15:docId w15:val="{2581A44E-AF4D-4C08-A720-29A23F57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Aluno IESVAP</cp:lastModifiedBy>
  <cp:revision>4</cp:revision>
  <dcterms:created xsi:type="dcterms:W3CDTF">2019-10-30T00:39:00Z</dcterms:created>
  <dcterms:modified xsi:type="dcterms:W3CDTF">2019-10-30T00:48:00Z</dcterms:modified>
</cp:coreProperties>
</file>