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ED08D" w14:textId="77777777" w:rsidR="00C52C3D" w:rsidRDefault="00C52C3D" w:rsidP="00E3782C">
      <w:pPr>
        <w:pStyle w:val="Ttulo1"/>
        <w:spacing w:before="251" w:line="242" w:lineRule="auto"/>
        <w:ind w:left="75" w:right="214"/>
        <w:jc w:val="center"/>
        <w:rPr>
          <w:sz w:val="32"/>
          <w:szCs w:val="32"/>
        </w:rPr>
      </w:pPr>
      <w:r w:rsidRPr="00C52C3D">
        <w:rPr>
          <w:sz w:val="32"/>
          <w:szCs w:val="32"/>
        </w:rPr>
        <w:t>MONITORAMENTO DE LONGO PRAZO REVELA REDUÇÃO NA ABUNDÂNCIA DE HYMENOPTERA EM UM REMANESCENTE DE CERRADO</w:t>
      </w:r>
    </w:p>
    <w:p w14:paraId="58281A71" w14:textId="313B3B5D" w:rsidR="00E3782C" w:rsidRPr="005F70B0" w:rsidRDefault="00E3782C" w:rsidP="00E3782C">
      <w:pPr>
        <w:pStyle w:val="Ttulo1"/>
        <w:spacing w:before="251" w:line="242" w:lineRule="auto"/>
        <w:ind w:left="75" w:right="214"/>
        <w:jc w:val="center"/>
        <w:rPr>
          <w:sz w:val="24"/>
          <w:szCs w:val="24"/>
        </w:rPr>
      </w:pPr>
      <w:r w:rsidRPr="005F70B0">
        <w:rPr>
          <w:sz w:val="24"/>
          <w:szCs w:val="24"/>
          <w:vertAlign w:val="superscript"/>
        </w:rPr>
        <w:t>1</w:t>
      </w:r>
      <w:r w:rsidR="00C52C3D">
        <w:rPr>
          <w:sz w:val="24"/>
          <w:szCs w:val="24"/>
        </w:rPr>
        <w:t>Juliano Fiorelini Nunes</w:t>
      </w:r>
      <w:r w:rsidRPr="005F70B0">
        <w:rPr>
          <w:sz w:val="24"/>
          <w:szCs w:val="24"/>
        </w:rPr>
        <w:t>,</w:t>
      </w:r>
      <w:r w:rsidRPr="005F70B0">
        <w:rPr>
          <w:spacing w:val="-2"/>
          <w:sz w:val="24"/>
          <w:szCs w:val="24"/>
        </w:rPr>
        <w:t xml:space="preserve"> </w:t>
      </w:r>
      <w:r w:rsidRPr="005F70B0">
        <w:rPr>
          <w:sz w:val="24"/>
          <w:szCs w:val="24"/>
          <w:vertAlign w:val="superscript"/>
        </w:rPr>
        <w:t>2</w:t>
      </w:r>
      <w:r w:rsidR="00C52C3D">
        <w:rPr>
          <w:sz w:val="24"/>
          <w:szCs w:val="24"/>
        </w:rPr>
        <w:t>Victor Hugo Pereira Martins</w:t>
      </w:r>
    </w:p>
    <w:p w14:paraId="158B3CEA" w14:textId="5F37DE06" w:rsidR="00E3782C" w:rsidRPr="005F70B0" w:rsidRDefault="00E3782C" w:rsidP="00E3782C">
      <w:pPr>
        <w:spacing w:line="228" w:lineRule="exact"/>
        <w:ind w:left="77" w:right="209"/>
        <w:jc w:val="center"/>
        <w:rPr>
          <w:i/>
          <w:spacing w:val="-2"/>
          <w:sz w:val="24"/>
          <w:szCs w:val="24"/>
        </w:rPr>
      </w:pPr>
      <w:r w:rsidRPr="005F70B0">
        <w:rPr>
          <w:i/>
          <w:sz w:val="24"/>
          <w:szCs w:val="24"/>
          <w:vertAlign w:val="superscript"/>
        </w:rPr>
        <w:t>1</w:t>
      </w:r>
      <w:r w:rsidR="00C52C3D" w:rsidRPr="00C52C3D">
        <w:rPr>
          <w:i/>
          <w:iCs/>
          <w:sz w:val="24"/>
          <w:szCs w:val="24"/>
        </w:rPr>
        <w:t xml:space="preserve"> </w:t>
      </w:r>
      <w:r w:rsidR="00C52C3D">
        <w:rPr>
          <w:i/>
          <w:iCs/>
          <w:sz w:val="24"/>
          <w:szCs w:val="24"/>
        </w:rPr>
        <w:t>Programa de pós-graduação em desenvolvimento regional e meio ambiente, Depto. Biociências, UEMG, Passos, MG</w:t>
      </w:r>
      <w:r w:rsidR="00C52C3D">
        <w:rPr>
          <w:i/>
          <w:iCs/>
          <w:sz w:val="24"/>
          <w:szCs w:val="24"/>
        </w:rPr>
        <w:t>,</w:t>
      </w:r>
      <w:r w:rsidR="00C52C3D" w:rsidRPr="00C52C3D">
        <w:rPr>
          <w:i/>
          <w:sz w:val="24"/>
          <w:szCs w:val="24"/>
        </w:rPr>
        <w:t xml:space="preserve"> </w:t>
      </w:r>
      <w:r w:rsidR="00C52C3D" w:rsidRPr="005F70B0">
        <w:rPr>
          <w:i/>
          <w:sz w:val="24"/>
          <w:szCs w:val="24"/>
        </w:rPr>
        <w:t>e-mail:</w:t>
      </w:r>
      <w:r w:rsidR="00C52C3D" w:rsidRPr="005F70B0">
        <w:rPr>
          <w:i/>
          <w:spacing w:val="-4"/>
          <w:sz w:val="24"/>
          <w:szCs w:val="24"/>
        </w:rPr>
        <w:t xml:space="preserve"> </w:t>
      </w:r>
      <w:r w:rsidR="00C52C3D">
        <w:rPr>
          <w:i/>
          <w:iCs/>
          <w:sz w:val="24"/>
          <w:szCs w:val="24"/>
        </w:rPr>
        <w:t xml:space="preserve"> juliano.nunes@uemg.br</w:t>
      </w:r>
      <w:r w:rsidRPr="005F70B0">
        <w:rPr>
          <w:i/>
          <w:sz w:val="24"/>
          <w:szCs w:val="24"/>
        </w:rPr>
        <w:t>;</w:t>
      </w:r>
      <w:r w:rsidRPr="005F70B0">
        <w:rPr>
          <w:i/>
          <w:spacing w:val="-3"/>
          <w:sz w:val="24"/>
          <w:szCs w:val="24"/>
        </w:rPr>
        <w:t xml:space="preserve"> </w:t>
      </w:r>
      <w:r w:rsidRPr="005F70B0">
        <w:rPr>
          <w:i/>
          <w:sz w:val="24"/>
          <w:szCs w:val="24"/>
          <w:vertAlign w:val="superscript"/>
        </w:rPr>
        <w:t>2</w:t>
      </w:r>
      <w:r w:rsidR="00C52C3D" w:rsidRPr="00C52C3D">
        <w:rPr>
          <w:i/>
          <w:iCs/>
          <w:sz w:val="24"/>
          <w:szCs w:val="24"/>
        </w:rPr>
        <w:t xml:space="preserve"> </w:t>
      </w:r>
      <w:r w:rsidR="00C52C3D" w:rsidRPr="006F2FCD">
        <w:rPr>
          <w:i/>
          <w:iCs/>
          <w:sz w:val="24"/>
          <w:szCs w:val="24"/>
        </w:rPr>
        <w:t>Ciências biológicas Bacharelado, UEMG, Passos, MG</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C52C3D" w:rsidRPr="009C3170">
        <w:rPr>
          <w:i/>
          <w:iCs/>
          <w:sz w:val="24"/>
          <w:szCs w:val="24"/>
        </w:rPr>
        <w:t>victor.24121675@discente.uemg.br</w:t>
      </w:r>
    </w:p>
    <w:p w14:paraId="19ACAB03" w14:textId="77777777" w:rsidR="00E3782C" w:rsidRPr="005F70B0" w:rsidRDefault="00E3782C" w:rsidP="00E3782C">
      <w:pPr>
        <w:spacing w:line="228" w:lineRule="exact"/>
        <w:ind w:left="77" w:right="209"/>
        <w:jc w:val="center"/>
        <w:rPr>
          <w:i/>
          <w:spacing w:val="-2"/>
          <w:sz w:val="24"/>
          <w:szCs w:val="24"/>
        </w:rPr>
      </w:pPr>
    </w:p>
    <w:p w14:paraId="102948F1" w14:textId="6441A440" w:rsidR="00E3782C" w:rsidRDefault="00E3782C" w:rsidP="00E3782C">
      <w:pPr>
        <w:spacing w:line="228" w:lineRule="exact"/>
        <w:ind w:left="77" w:right="209"/>
        <w:jc w:val="right"/>
        <w:rPr>
          <w:b/>
          <w:bCs/>
          <w:i/>
          <w:spacing w:val="-2"/>
          <w:sz w:val="24"/>
          <w:szCs w:val="24"/>
        </w:rPr>
      </w:pPr>
      <w:r w:rsidRPr="005F70B0">
        <w:rPr>
          <w:b/>
          <w:bCs/>
          <w:i/>
          <w:spacing w:val="-2"/>
          <w:sz w:val="24"/>
          <w:szCs w:val="24"/>
        </w:rPr>
        <w:t>Grupo temático</w:t>
      </w:r>
      <w:r w:rsidR="004C132D">
        <w:rPr>
          <w:b/>
          <w:bCs/>
          <w:i/>
          <w:spacing w:val="-2"/>
          <w:sz w:val="24"/>
          <w:szCs w:val="24"/>
        </w:rPr>
        <w:t>2</w:t>
      </w:r>
    </w:p>
    <w:p w14:paraId="125F6DD1" w14:textId="22927AD7" w:rsidR="009C4B75" w:rsidRPr="005F70B0" w:rsidRDefault="009C4B75" w:rsidP="00E3782C">
      <w:pPr>
        <w:spacing w:line="228" w:lineRule="exact"/>
        <w:ind w:left="77" w:right="209"/>
        <w:jc w:val="right"/>
        <w:rPr>
          <w:b/>
          <w:bCs/>
          <w:i/>
          <w:spacing w:val="-2"/>
          <w:sz w:val="24"/>
          <w:szCs w:val="24"/>
        </w:rPr>
      </w:pPr>
      <w:r>
        <w:rPr>
          <w:b/>
          <w:bCs/>
          <w:i/>
          <w:spacing w:val="-2"/>
          <w:sz w:val="24"/>
          <w:szCs w:val="24"/>
        </w:rPr>
        <w:t>Eixo</w:t>
      </w:r>
      <w:r w:rsidR="00EC7E26">
        <w:rPr>
          <w:b/>
          <w:bCs/>
          <w:i/>
          <w:spacing w:val="-2"/>
          <w:sz w:val="24"/>
          <w:szCs w:val="24"/>
        </w:rPr>
        <w:t xml:space="preserve">: </w:t>
      </w:r>
      <w:r w:rsidR="00EC7E26" w:rsidRPr="00EC7E26">
        <w:rPr>
          <w:b/>
          <w:bCs/>
          <w:i/>
          <w:spacing w:val="-2"/>
          <w:sz w:val="24"/>
          <w:szCs w:val="24"/>
        </w:rPr>
        <w:t>Soluções baseadas na natureza</w:t>
      </w:r>
    </w:p>
    <w:p w14:paraId="1ADFF788" w14:textId="77777777" w:rsidR="00E3782C" w:rsidRPr="005F70B0" w:rsidRDefault="00E3782C" w:rsidP="00E3782C">
      <w:pPr>
        <w:spacing w:line="228" w:lineRule="exact"/>
        <w:ind w:left="77" w:right="209"/>
        <w:jc w:val="center"/>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29E94CAF" w14:textId="49857FFA" w:rsidR="00E3782C" w:rsidRPr="005F70B0" w:rsidRDefault="00C366BE" w:rsidP="00E3782C">
      <w:pPr>
        <w:ind w:right="209"/>
        <w:jc w:val="both"/>
        <w:rPr>
          <w:iCs/>
          <w:sz w:val="24"/>
          <w:szCs w:val="24"/>
        </w:rPr>
      </w:pPr>
      <w:r w:rsidRPr="0057313D">
        <w:rPr>
          <w:sz w:val="24"/>
          <w:szCs w:val="24"/>
        </w:rPr>
        <w:t>Nas últimas décadas, evidências têm indicado mudanças na abundância e na diversidade de insetos em diferentes regiões do planeta, porém séries temporais padronizadas ainda são escassas em ecossistemas tropicais. Este estudo avaliou alterações temporais na comunidade de Hymenoptera em um remanescente de Cerrado localizado na Trilha do Sol, município de Capitólio, Minas Gerais. Foram comparadas amostragens realizadas entre 2012 e 2019 utilizando armadilhas</w:t>
      </w:r>
      <w:r>
        <w:rPr>
          <w:sz w:val="24"/>
          <w:szCs w:val="24"/>
        </w:rPr>
        <w:t xml:space="preserve"> tipo</w:t>
      </w:r>
      <w:r w:rsidRPr="0057313D">
        <w:rPr>
          <w:sz w:val="24"/>
          <w:szCs w:val="24"/>
        </w:rPr>
        <w:t xml:space="preserve"> </w:t>
      </w:r>
      <w:r w:rsidRPr="0057313D">
        <w:rPr>
          <w:i/>
          <w:iCs/>
          <w:sz w:val="24"/>
          <w:szCs w:val="24"/>
        </w:rPr>
        <w:t>pan trap</w:t>
      </w:r>
      <w:r w:rsidRPr="0057313D">
        <w:rPr>
          <w:sz w:val="24"/>
          <w:szCs w:val="24"/>
        </w:rPr>
        <w:t xml:space="preserve"> e rede de varredura, além de armadilhas Malaise para os anos de 2012, 2016 e 2017. Os espécimes foram identificados em nível de família e comparados quanto à abundância e riqueza. Foram registrados 14.160 indivíduos distribuídos em 17 superfamílias e 51 famílias. As análises revelaram redução de aproximadamente 43% na abundância dos himenópteros, independentemente do conjunto de métodos comparados, enquanto a riqueza de famílias apresentou diminuição entre 12% e 21%. Apesar da tendência geral de declínio, algumas famílias apresentaram aumento de abundância, indicando respostas distintas aos estressores ambientais. Os resultados são consistentes com tendências descritas para outros grupos de insetos e reforçam a importância de monitoramentos padronizados de longo prazo em ecossistemas neotropicais, contribuindo para ampliar o conhecimento sobre as mudanças temporais da biodiversidade e subsidiar ações de conservação.</w:t>
      </w:r>
    </w:p>
    <w:p w14:paraId="762F9B08" w14:textId="77777777" w:rsidR="00E3782C" w:rsidRPr="005F70B0" w:rsidRDefault="00E3782C" w:rsidP="00E3782C">
      <w:pPr>
        <w:jc w:val="both"/>
        <w:rPr>
          <w:b/>
          <w:sz w:val="24"/>
          <w:szCs w:val="24"/>
        </w:rPr>
      </w:pPr>
    </w:p>
    <w:p w14:paraId="006243D2" w14:textId="23BF478D" w:rsidR="009C4B75" w:rsidRDefault="00E3782C" w:rsidP="009C4B75">
      <w:pPr>
        <w:jc w:val="both"/>
        <w:rPr>
          <w:spacing w:val="-2"/>
          <w:sz w:val="24"/>
          <w:szCs w:val="24"/>
        </w:rPr>
      </w:pPr>
      <w:r w:rsidRPr="005F70B0">
        <w:rPr>
          <w:b/>
          <w:sz w:val="24"/>
          <w:szCs w:val="24"/>
        </w:rPr>
        <w:t>Palavras-chave:</w:t>
      </w:r>
      <w:r w:rsidRPr="005F70B0">
        <w:rPr>
          <w:b/>
          <w:spacing w:val="-2"/>
          <w:sz w:val="24"/>
          <w:szCs w:val="24"/>
        </w:rPr>
        <w:t xml:space="preserve"> </w:t>
      </w:r>
      <w:r w:rsidR="00C366BE">
        <w:rPr>
          <w:sz w:val="24"/>
          <w:szCs w:val="24"/>
        </w:rPr>
        <w:t>Biodiversidade</w:t>
      </w:r>
      <w:r w:rsidRPr="005F70B0">
        <w:rPr>
          <w:spacing w:val="-2"/>
          <w:sz w:val="24"/>
          <w:szCs w:val="24"/>
        </w:rPr>
        <w:t xml:space="preserve">; </w:t>
      </w:r>
      <w:r w:rsidR="00C366BE">
        <w:rPr>
          <w:spacing w:val="-2"/>
          <w:sz w:val="24"/>
          <w:szCs w:val="24"/>
        </w:rPr>
        <w:t>Conservação</w:t>
      </w:r>
      <w:r w:rsidRPr="005F70B0">
        <w:rPr>
          <w:spacing w:val="-2"/>
          <w:sz w:val="24"/>
          <w:szCs w:val="24"/>
        </w:rPr>
        <w:t xml:space="preserve">; </w:t>
      </w:r>
      <w:r w:rsidR="00C366BE">
        <w:rPr>
          <w:spacing w:val="-2"/>
          <w:sz w:val="24"/>
          <w:szCs w:val="24"/>
        </w:rPr>
        <w:t>Entomofauna</w:t>
      </w:r>
      <w:r w:rsidRPr="005F70B0">
        <w:rPr>
          <w:spacing w:val="-2"/>
          <w:sz w:val="24"/>
          <w:szCs w:val="24"/>
        </w:rPr>
        <w:t xml:space="preserve">; </w:t>
      </w:r>
      <w:r w:rsidR="00C366BE">
        <w:rPr>
          <w:spacing w:val="-2"/>
          <w:sz w:val="24"/>
          <w:szCs w:val="24"/>
        </w:rPr>
        <w:t>Monitoramento ambiental</w:t>
      </w:r>
      <w:r w:rsidRPr="005F70B0">
        <w:rPr>
          <w:spacing w:val="-2"/>
          <w:sz w:val="24"/>
          <w:szCs w:val="24"/>
        </w:rPr>
        <w:t>.</w:t>
      </w:r>
    </w:p>
    <w:p w14:paraId="0F7CD38A" w14:textId="77777777" w:rsidR="009C4B75" w:rsidRDefault="009C4B75" w:rsidP="009C4B75">
      <w:pPr>
        <w:jc w:val="both"/>
        <w:rPr>
          <w:b/>
          <w:bCs/>
          <w:spacing w:val="-2"/>
          <w:sz w:val="28"/>
          <w:szCs w:val="28"/>
        </w:rPr>
      </w:pPr>
    </w:p>
    <w:p w14:paraId="5878A4D9" w14:textId="36E1CCDC" w:rsidR="00E3782C" w:rsidRPr="005F70B0" w:rsidRDefault="00E3782C" w:rsidP="000F2F25">
      <w:pPr>
        <w:spacing w:line="360" w:lineRule="auto"/>
        <w:jc w:val="both"/>
        <w:rPr>
          <w:b/>
          <w:bCs/>
          <w:spacing w:val="-2"/>
          <w:sz w:val="28"/>
          <w:szCs w:val="28"/>
        </w:rPr>
      </w:pPr>
      <w:r w:rsidRPr="005F70B0">
        <w:rPr>
          <w:b/>
          <w:bCs/>
          <w:spacing w:val="-2"/>
          <w:sz w:val="28"/>
          <w:szCs w:val="28"/>
        </w:rPr>
        <w:t>Introdução</w:t>
      </w:r>
    </w:p>
    <w:p w14:paraId="4DF43135" w14:textId="3A04C3B2" w:rsidR="00C366BE" w:rsidRDefault="00A73146" w:rsidP="000F2F25">
      <w:pPr>
        <w:spacing w:line="360" w:lineRule="auto"/>
        <w:ind w:firstLine="709"/>
        <w:jc w:val="both"/>
        <w:rPr>
          <w:sz w:val="24"/>
          <w:szCs w:val="24"/>
        </w:rPr>
      </w:pPr>
      <w:r w:rsidRPr="00A73146">
        <w:rPr>
          <w:sz w:val="24"/>
          <w:szCs w:val="24"/>
        </w:rPr>
        <w:t>Os insetos são amplamente conhecidos por comporem a maior parte da biota do planeta Terra</w:t>
      </w:r>
      <w:r w:rsidR="00C366BE">
        <w:rPr>
          <w:sz w:val="24"/>
          <w:szCs w:val="24"/>
        </w:rPr>
        <w:t xml:space="preserve">. Com mais de um milhão de espécies descritas o grupo compõe mais de 50% de todas as espécies biológicas conhecidas, entretanto, esse número representa apenas uma fração de tudo aquilo que deve existir, sendo estimadas entre 5 a 7 milhões espécies </w:t>
      </w:r>
      <w:r w:rsidR="00C366BE" w:rsidRPr="005B0B2E">
        <w:rPr>
          <w:sz w:val="24"/>
          <w:szCs w:val="24"/>
        </w:rPr>
        <w:t>(Stork, 2018).</w:t>
      </w:r>
      <w:r w:rsidR="00C366BE">
        <w:rPr>
          <w:sz w:val="24"/>
          <w:szCs w:val="24"/>
        </w:rPr>
        <w:t xml:space="preserve"> </w:t>
      </w:r>
      <w:r w:rsidRPr="00A73146">
        <w:rPr>
          <w:sz w:val="24"/>
          <w:szCs w:val="24"/>
        </w:rPr>
        <w:t>A importância dos insetos vai além de sua extraordinária diversidade</w:t>
      </w:r>
      <w:r>
        <w:rPr>
          <w:sz w:val="24"/>
          <w:szCs w:val="24"/>
        </w:rPr>
        <w:t>, abrangendo também</w:t>
      </w:r>
      <w:r w:rsidRPr="00A73146">
        <w:rPr>
          <w:sz w:val="24"/>
          <w:szCs w:val="24"/>
        </w:rPr>
        <w:t xml:space="preserve"> sua elevada abundância e biomassa, </w:t>
      </w:r>
      <w:r>
        <w:rPr>
          <w:sz w:val="24"/>
          <w:szCs w:val="24"/>
        </w:rPr>
        <w:t>as</w:t>
      </w:r>
      <w:r w:rsidRPr="00A73146">
        <w:rPr>
          <w:sz w:val="24"/>
          <w:szCs w:val="24"/>
        </w:rPr>
        <w:t xml:space="preserve"> inúmeras interações ecológicas que estabelecem e os serviços ecossistêmicos essenciais que prestam, dos quais depende, em grande medida, o bem-estar humano</w:t>
      </w:r>
      <w:r w:rsidR="00C366BE" w:rsidRPr="00E0128B">
        <w:rPr>
          <w:sz w:val="24"/>
          <w:szCs w:val="24"/>
        </w:rPr>
        <w:t xml:space="preserve"> (</w:t>
      </w:r>
      <w:r w:rsidR="00C366BE" w:rsidRPr="004D08EC">
        <w:rPr>
          <w:sz w:val="24"/>
          <w:szCs w:val="24"/>
        </w:rPr>
        <w:t xml:space="preserve">Noriega </w:t>
      </w:r>
      <w:r w:rsidR="00C152A5" w:rsidRPr="00C152A5">
        <w:rPr>
          <w:i/>
          <w:iCs/>
          <w:sz w:val="24"/>
          <w:szCs w:val="24"/>
        </w:rPr>
        <w:t>et al</w:t>
      </w:r>
      <w:r w:rsidR="00C366BE" w:rsidRPr="004D08EC">
        <w:rPr>
          <w:sz w:val="24"/>
          <w:szCs w:val="24"/>
        </w:rPr>
        <w:t>., 2018</w:t>
      </w:r>
      <w:r w:rsidR="00C152A5">
        <w:rPr>
          <w:sz w:val="24"/>
          <w:szCs w:val="24"/>
        </w:rPr>
        <w:t>;</w:t>
      </w:r>
      <w:r w:rsidR="00C366BE">
        <w:rPr>
          <w:sz w:val="24"/>
          <w:szCs w:val="24"/>
        </w:rPr>
        <w:t xml:space="preserve"> </w:t>
      </w:r>
      <w:r w:rsidR="00C366BE" w:rsidRPr="005B0B2E">
        <w:rPr>
          <w:sz w:val="24"/>
          <w:szCs w:val="24"/>
        </w:rPr>
        <w:t xml:space="preserve">Rafael </w:t>
      </w:r>
      <w:r w:rsidR="00C152A5" w:rsidRPr="00C152A5">
        <w:rPr>
          <w:i/>
          <w:iCs/>
          <w:sz w:val="24"/>
          <w:szCs w:val="24"/>
        </w:rPr>
        <w:t>et al</w:t>
      </w:r>
      <w:r w:rsidR="00C366BE" w:rsidRPr="005B0B2E">
        <w:rPr>
          <w:sz w:val="24"/>
          <w:szCs w:val="24"/>
        </w:rPr>
        <w:t xml:space="preserve">., 2024; Ramos </w:t>
      </w:r>
      <w:r w:rsidR="00C152A5" w:rsidRPr="00C152A5">
        <w:rPr>
          <w:i/>
          <w:iCs/>
          <w:sz w:val="24"/>
          <w:szCs w:val="24"/>
        </w:rPr>
        <w:t>et al</w:t>
      </w:r>
      <w:r w:rsidR="00C366BE" w:rsidRPr="005B0B2E">
        <w:rPr>
          <w:sz w:val="24"/>
          <w:szCs w:val="24"/>
        </w:rPr>
        <w:t>., 2020</w:t>
      </w:r>
      <w:r w:rsidR="00C366BE" w:rsidRPr="00E0128B">
        <w:rPr>
          <w:sz w:val="24"/>
          <w:szCs w:val="24"/>
        </w:rPr>
        <w:t>).</w:t>
      </w:r>
    </w:p>
    <w:p w14:paraId="2C10A176" w14:textId="77777777" w:rsidR="00C366BE" w:rsidRDefault="00C366BE" w:rsidP="00C366BE">
      <w:pPr>
        <w:spacing w:line="360" w:lineRule="auto"/>
        <w:ind w:firstLine="709"/>
        <w:jc w:val="both"/>
        <w:rPr>
          <w:sz w:val="24"/>
          <w:szCs w:val="24"/>
        </w:rPr>
      </w:pPr>
      <w:r>
        <w:rPr>
          <w:sz w:val="24"/>
          <w:szCs w:val="24"/>
        </w:rPr>
        <w:t xml:space="preserve">Dentre os grandes grupos de insetos, destaca-se a ordem Hymenoptera que apresenta </w:t>
      </w:r>
      <w:r>
        <w:rPr>
          <w:sz w:val="24"/>
          <w:szCs w:val="24"/>
        </w:rPr>
        <w:lastRenderedPageBreak/>
        <w:t>grande</w:t>
      </w:r>
      <w:r w:rsidRPr="00130248">
        <w:rPr>
          <w:sz w:val="24"/>
          <w:szCs w:val="24"/>
        </w:rPr>
        <w:t xml:space="preserve"> diversidade taxonômica e funcional, reunindo organismos com </w:t>
      </w:r>
      <w:r>
        <w:rPr>
          <w:sz w:val="24"/>
          <w:szCs w:val="24"/>
        </w:rPr>
        <w:t>variadas</w:t>
      </w:r>
      <w:r w:rsidRPr="00130248">
        <w:rPr>
          <w:sz w:val="24"/>
          <w:szCs w:val="24"/>
        </w:rPr>
        <w:t xml:space="preserve"> estratégias ecológicas, como parasitoides, polinizadores, predadores e insetos sociais. Em razão dessa diversidade de funções, o grupo tem sido amplamente utilizado como indicador em estudos de biodiversidade e monitoramento ambiental</w:t>
      </w:r>
      <w:r>
        <w:rPr>
          <w:sz w:val="24"/>
          <w:szCs w:val="24"/>
        </w:rPr>
        <w:t xml:space="preserve"> (</w:t>
      </w:r>
      <w:r w:rsidRPr="005B0B2E">
        <w:rPr>
          <w:sz w:val="24"/>
          <w:szCs w:val="24"/>
        </w:rPr>
        <w:t>Polaszek</w:t>
      </w:r>
      <w:r>
        <w:rPr>
          <w:sz w:val="24"/>
          <w:szCs w:val="24"/>
        </w:rPr>
        <w:t>;</w:t>
      </w:r>
      <w:r w:rsidRPr="005B0B2E">
        <w:rPr>
          <w:sz w:val="24"/>
          <w:szCs w:val="24"/>
        </w:rPr>
        <w:t xml:space="preserve"> Vilhemsen</w:t>
      </w:r>
      <w:r>
        <w:rPr>
          <w:sz w:val="24"/>
          <w:szCs w:val="24"/>
        </w:rPr>
        <w:t>, 2023)</w:t>
      </w:r>
      <w:r w:rsidRPr="00130248">
        <w:rPr>
          <w:sz w:val="24"/>
          <w:szCs w:val="24"/>
        </w:rPr>
        <w:t>.</w:t>
      </w:r>
    </w:p>
    <w:p w14:paraId="150EF23A" w14:textId="722FE35A" w:rsidR="00C366BE" w:rsidRDefault="00C366BE" w:rsidP="00C366BE">
      <w:pPr>
        <w:spacing w:line="360" w:lineRule="auto"/>
        <w:ind w:firstLine="709"/>
        <w:jc w:val="both"/>
        <w:rPr>
          <w:sz w:val="24"/>
          <w:szCs w:val="24"/>
        </w:rPr>
      </w:pPr>
      <w:r>
        <w:rPr>
          <w:sz w:val="24"/>
          <w:szCs w:val="24"/>
        </w:rPr>
        <w:t xml:space="preserve">Nas últimas décadas há um intenso debate sobre a redução das espécies de insetos em diversos ambientes, gerando preocupação crescente sobre as consequências que tal fato pode trazer ao ambiente natural e também à população humana e à estabilidade nos ecossistemas (Hallmann </w:t>
      </w:r>
      <w:r w:rsidR="00C152A5" w:rsidRPr="00C152A5">
        <w:rPr>
          <w:i/>
          <w:iCs/>
          <w:sz w:val="24"/>
          <w:szCs w:val="24"/>
        </w:rPr>
        <w:t>et al</w:t>
      </w:r>
      <w:r>
        <w:rPr>
          <w:sz w:val="24"/>
          <w:szCs w:val="24"/>
        </w:rPr>
        <w:t>.,</w:t>
      </w:r>
      <w:r w:rsidR="00C152A5">
        <w:rPr>
          <w:sz w:val="24"/>
          <w:szCs w:val="24"/>
        </w:rPr>
        <w:t xml:space="preserve"> </w:t>
      </w:r>
      <w:r>
        <w:rPr>
          <w:sz w:val="24"/>
          <w:szCs w:val="24"/>
        </w:rPr>
        <w:t xml:space="preserve">2017; </w:t>
      </w:r>
      <w:r w:rsidRPr="00C86A1B">
        <w:rPr>
          <w:sz w:val="24"/>
          <w:szCs w:val="24"/>
        </w:rPr>
        <w:t>Sánchez-Bayo</w:t>
      </w:r>
      <w:r>
        <w:rPr>
          <w:sz w:val="24"/>
          <w:szCs w:val="24"/>
        </w:rPr>
        <w:t>;</w:t>
      </w:r>
      <w:r w:rsidRPr="00C86A1B">
        <w:rPr>
          <w:sz w:val="24"/>
          <w:szCs w:val="24"/>
        </w:rPr>
        <w:t xml:space="preserve"> Wyckhuys</w:t>
      </w:r>
      <w:r>
        <w:rPr>
          <w:sz w:val="24"/>
          <w:szCs w:val="24"/>
        </w:rPr>
        <w:t xml:space="preserve">, 2019). </w:t>
      </w:r>
      <w:r w:rsidRPr="005366E0">
        <w:rPr>
          <w:sz w:val="24"/>
          <w:szCs w:val="24"/>
        </w:rPr>
        <w:t>Embora haja evidências robustas de declínio em diversos grupos e regiões do planeta</w:t>
      </w:r>
      <w:r>
        <w:rPr>
          <w:sz w:val="24"/>
          <w:szCs w:val="24"/>
        </w:rPr>
        <w:t>, por ser um grupo tão diverso, nem todas as espécies e nem todos os ambientes são afetados da mesma forma (</w:t>
      </w:r>
      <w:r w:rsidRPr="007E125E">
        <w:rPr>
          <w:sz w:val="24"/>
          <w:szCs w:val="24"/>
        </w:rPr>
        <w:t>Blüthgen</w:t>
      </w:r>
      <w:r>
        <w:rPr>
          <w:sz w:val="24"/>
          <w:szCs w:val="24"/>
        </w:rPr>
        <w:t xml:space="preserve"> </w:t>
      </w:r>
      <w:r w:rsidR="00C152A5" w:rsidRPr="00C152A5">
        <w:rPr>
          <w:i/>
          <w:iCs/>
          <w:sz w:val="24"/>
          <w:szCs w:val="24"/>
        </w:rPr>
        <w:t>et al</w:t>
      </w:r>
      <w:r>
        <w:rPr>
          <w:sz w:val="24"/>
          <w:szCs w:val="24"/>
        </w:rPr>
        <w:t xml:space="preserve">., 2023; </w:t>
      </w:r>
      <w:r w:rsidRPr="007E125E">
        <w:rPr>
          <w:sz w:val="24"/>
          <w:szCs w:val="24"/>
        </w:rPr>
        <w:t>Didham</w:t>
      </w:r>
      <w:r>
        <w:rPr>
          <w:sz w:val="24"/>
          <w:szCs w:val="24"/>
        </w:rPr>
        <w:t xml:space="preserve"> </w:t>
      </w:r>
      <w:r w:rsidR="00C152A5" w:rsidRPr="00C152A5">
        <w:rPr>
          <w:i/>
          <w:iCs/>
          <w:sz w:val="24"/>
          <w:szCs w:val="24"/>
        </w:rPr>
        <w:t>et al</w:t>
      </w:r>
      <w:r>
        <w:rPr>
          <w:sz w:val="24"/>
          <w:szCs w:val="24"/>
        </w:rPr>
        <w:t xml:space="preserve">., 2020) e as causas do declínio também não podem ser atribuídas a um único fator (Wagner </w:t>
      </w:r>
      <w:r w:rsidR="00C152A5" w:rsidRPr="00C152A5">
        <w:rPr>
          <w:i/>
          <w:iCs/>
          <w:sz w:val="24"/>
          <w:szCs w:val="24"/>
        </w:rPr>
        <w:t>et al</w:t>
      </w:r>
      <w:r>
        <w:rPr>
          <w:sz w:val="24"/>
          <w:szCs w:val="24"/>
        </w:rPr>
        <w:t>., 2021).</w:t>
      </w:r>
    </w:p>
    <w:p w14:paraId="796F640C" w14:textId="57B96D2B" w:rsidR="00C366BE" w:rsidRDefault="00C366BE" w:rsidP="00C366BE">
      <w:pPr>
        <w:spacing w:line="360" w:lineRule="auto"/>
        <w:ind w:firstLine="709"/>
        <w:jc w:val="both"/>
        <w:rPr>
          <w:sz w:val="24"/>
          <w:szCs w:val="24"/>
        </w:rPr>
      </w:pPr>
      <w:r w:rsidRPr="001F00E8">
        <w:rPr>
          <w:sz w:val="24"/>
          <w:szCs w:val="24"/>
        </w:rPr>
        <w:t>Uma das principais lacunas para compreender a magnitude e as causas das mudanças nas comunidades de insetos é a escassez de programas de monitoramento de longo prazo, especialmente na região Neotropical, onde se concentra uma parcela significativa da biodiversidade mundial e onde os dados ainda são insuficientes para subsidiar estratégias efetivas de conservação (</w:t>
      </w:r>
      <w:r w:rsidR="00C152A5" w:rsidRPr="001F00E8">
        <w:rPr>
          <w:sz w:val="24"/>
          <w:szCs w:val="24"/>
        </w:rPr>
        <w:t xml:space="preserve">Duffus </w:t>
      </w:r>
      <w:r w:rsidR="00C152A5" w:rsidRPr="00C152A5">
        <w:rPr>
          <w:i/>
          <w:iCs/>
          <w:sz w:val="24"/>
          <w:szCs w:val="24"/>
        </w:rPr>
        <w:t>et al</w:t>
      </w:r>
      <w:r w:rsidR="00C152A5" w:rsidRPr="001F00E8">
        <w:rPr>
          <w:sz w:val="24"/>
          <w:szCs w:val="24"/>
        </w:rPr>
        <w:t>., 2023</w:t>
      </w:r>
      <w:r w:rsidR="00C152A5">
        <w:rPr>
          <w:sz w:val="24"/>
          <w:szCs w:val="24"/>
        </w:rPr>
        <w:t xml:space="preserve">; </w:t>
      </w:r>
      <w:r w:rsidR="00C152A5" w:rsidRPr="001F00E8">
        <w:rPr>
          <w:sz w:val="24"/>
          <w:szCs w:val="24"/>
        </w:rPr>
        <w:t xml:space="preserve">Montgomery </w:t>
      </w:r>
      <w:r w:rsidR="00C152A5" w:rsidRPr="00C152A5">
        <w:rPr>
          <w:i/>
          <w:iCs/>
          <w:sz w:val="24"/>
          <w:szCs w:val="24"/>
        </w:rPr>
        <w:t>et al</w:t>
      </w:r>
      <w:r w:rsidR="00C152A5" w:rsidRPr="001F00E8">
        <w:rPr>
          <w:sz w:val="24"/>
          <w:szCs w:val="24"/>
        </w:rPr>
        <w:t>., 2020;</w:t>
      </w:r>
      <w:r w:rsidR="00C152A5">
        <w:rPr>
          <w:sz w:val="24"/>
          <w:szCs w:val="24"/>
        </w:rPr>
        <w:t xml:space="preserve"> </w:t>
      </w:r>
      <w:r w:rsidRPr="001F00E8">
        <w:rPr>
          <w:sz w:val="24"/>
          <w:szCs w:val="24"/>
        </w:rPr>
        <w:t xml:space="preserve">Noriega </w:t>
      </w:r>
      <w:r w:rsidR="00C152A5" w:rsidRPr="00C152A5">
        <w:rPr>
          <w:i/>
          <w:iCs/>
          <w:sz w:val="24"/>
          <w:szCs w:val="24"/>
        </w:rPr>
        <w:t>et al</w:t>
      </w:r>
      <w:r w:rsidRPr="001F00E8">
        <w:rPr>
          <w:sz w:val="24"/>
          <w:szCs w:val="24"/>
        </w:rPr>
        <w:t>., 2018).</w:t>
      </w:r>
    </w:p>
    <w:p w14:paraId="16FDABA8" w14:textId="415E1D6A" w:rsidR="009C4B75" w:rsidRDefault="00C366BE" w:rsidP="00C366BE">
      <w:pPr>
        <w:pStyle w:val="Corpodetexto"/>
        <w:spacing w:before="1" w:line="360" w:lineRule="auto"/>
        <w:ind w:firstLine="720"/>
        <w:jc w:val="both"/>
        <w:rPr>
          <w:sz w:val="24"/>
          <w:szCs w:val="24"/>
        </w:rPr>
      </w:pPr>
      <w:r>
        <w:rPr>
          <w:sz w:val="24"/>
          <w:szCs w:val="24"/>
        </w:rPr>
        <w:t>Diante da importância dos insetos e do declínio de suas populações, aliados à escassez de dados padronizados sobre essa fauna no Brasil, este estudo visa avaliar a flutuação populacional de diferentes famílias de himenópteros amostradas de forma padronizada em uma mesma área de Cerrado, entre os anos de 2012 e 2019 no município de Capitólio, Minas Gerais.</w:t>
      </w:r>
    </w:p>
    <w:p w14:paraId="790841C4" w14:textId="77777777" w:rsidR="00C366BE" w:rsidRPr="005F70B0" w:rsidRDefault="00C366BE" w:rsidP="00C366BE">
      <w:pPr>
        <w:pStyle w:val="Corpodetexto"/>
        <w:spacing w:before="1" w:line="360" w:lineRule="auto"/>
        <w:ind w:firstLine="720"/>
        <w:jc w:val="both"/>
        <w:rPr>
          <w:sz w:val="24"/>
          <w:szCs w:val="24"/>
        </w:rPr>
      </w:pPr>
    </w:p>
    <w:p w14:paraId="208760B7" w14:textId="653A6907" w:rsidR="00E3782C" w:rsidRPr="005F70B0" w:rsidRDefault="00E3782C" w:rsidP="009C4B75">
      <w:pPr>
        <w:pStyle w:val="Corpodetexto"/>
        <w:spacing w:before="1" w:line="360" w:lineRule="auto"/>
        <w:jc w:val="both"/>
        <w:rPr>
          <w:b/>
          <w:bCs/>
          <w:sz w:val="28"/>
          <w:szCs w:val="28"/>
        </w:rPr>
      </w:pPr>
      <w:r w:rsidRPr="005F70B0">
        <w:rPr>
          <w:b/>
          <w:bCs/>
          <w:sz w:val="28"/>
          <w:szCs w:val="28"/>
        </w:rPr>
        <w:t>Metodologia</w:t>
      </w:r>
    </w:p>
    <w:p w14:paraId="3C9DCCFF" w14:textId="4F0328DD" w:rsidR="00C366BE" w:rsidRDefault="00C366BE" w:rsidP="00C366BE">
      <w:pPr>
        <w:spacing w:line="360" w:lineRule="auto"/>
        <w:ind w:firstLine="708"/>
        <w:jc w:val="both"/>
        <w:rPr>
          <w:color w:val="000000" w:themeColor="text1"/>
          <w:sz w:val="24"/>
          <w:szCs w:val="24"/>
          <w:lang w:eastAsia="pt-BR"/>
        </w:rPr>
      </w:pPr>
      <w:r>
        <w:rPr>
          <w:color w:val="000000" w:themeColor="text1"/>
          <w:sz w:val="24"/>
          <w:szCs w:val="24"/>
          <w:shd w:val="clear" w:color="auto" w:fill="FFFFFF"/>
        </w:rPr>
        <w:t xml:space="preserve">Os insetos reunidos nessa série histórica </w:t>
      </w:r>
      <w:r w:rsidRPr="00914661">
        <w:rPr>
          <w:color w:val="000000" w:themeColor="text1"/>
          <w:sz w:val="24"/>
          <w:szCs w:val="24"/>
          <w:shd w:val="clear" w:color="auto" w:fill="FFFFFF"/>
        </w:rPr>
        <w:t xml:space="preserve">foram coletados </w:t>
      </w:r>
      <w:r>
        <w:rPr>
          <w:color w:val="000000" w:themeColor="text1"/>
          <w:sz w:val="24"/>
          <w:szCs w:val="24"/>
          <w:shd w:val="clear" w:color="auto" w:fill="FFFFFF"/>
        </w:rPr>
        <w:t xml:space="preserve">ao longo de </w:t>
      </w:r>
      <w:r w:rsidR="00A73146">
        <w:rPr>
          <w:color w:val="000000" w:themeColor="text1"/>
          <w:sz w:val="24"/>
          <w:szCs w:val="24"/>
          <w:shd w:val="clear" w:color="auto" w:fill="FFFFFF"/>
        </w:rPr>
        <w:t>8</w:t>
      </w:r>
      <w:r>
        <w:rPr>
          <w:color w:val="000000" w:themeColor="text1"/>
          <w:sz w:val="24"/>
          <w:szCs w:val="24"/>
          <w:shd w:val="clear" w:color="auto" w:fill="FFFFFF"/>
        </w:rPr>
        <w:t xml:space="preserve"> meses, entre maio e dezembro nos anos de 2012, 2016, 2017 e 2019 </w:t>
      </w:r>
      <w:r w:rsidRPr="00914661">
        <w:rPr>
          <w:color w:val="000000" w:themeColor="text1"/>
          <w:sz w:val="24"/>
          <w:szCs w:val="24"/>
          <w:shd w:val="clear" w:color="auto" w:fill="FFFFFF"/>
        </w:rPr>
        <w:t xml:space="preserve">na Fazenda Boa Vista, mais conhecida </w:t>
      </w:r>
      <w:r>
        <w:rPr>
          <w:color w:val="000000" w:themeColor="text1"/>
          <w:sz w:val="24"/>
          <w:szCs w:val="24"/>
          <w:shd w:val="clear" w:color="auto" w:fill="FFFFFF"/>
        </w:rPr>
        <w:t>como</w:t>
      </w:r>
      <w:r w:rsidRPr="00914661">
        <w:rPr>
          <w:color w:val="000000" w:themeColor="text1"/>
          <w:sz w:val="24"/>
          <w:szCs w:val="24"/>
          <w:shd w:val="clear" w:color="auto" w:fill="FFFFFF"/>
        </w:rPr>
        <w:t xml:space="preserve"> Trilha do Sol</w:t>
      </w:r>
      <w:r w:rsidR="0034662E">
        <w:rPr>
          <w:color w:val="000000" w:themeColor="text1"/>
          <w:sz w:val="24"/>
          <w:szCs w:val="24"/>
          <w:shd w:val="clear" w:color="auto" w:fill="FFFFFF"/>
        </w:rPr>
        <w:t xml:space="preserve">, </w:t>
      </w:r>
      <w:r>
        <w:rPr>
          <w:color w:val="000000" w:themeColor="text1"/>
          <w:sz w:val="24"/>
          <w:szCs w:val="24"/>
          <w:shd w:val="clear" w:color="auto" w:fill="FFFFFF"/>
        </w:rPr>
        <w:t xml:space="preserve">um empreendimento turístico com diversas cachoeiras, trilhas e </w:t>
      </w:r>
      <w:r w:rsidRPr="0072029F">
        <w:rPr>
          <w:color w:val="111111"/>
          <w:sz w:val="24"/>
          <w:szCs w:val="24"/>
          <w:shd w:val="clear" w:color="auto" w:fill="FFFFFF"/>
        </w:rPr>
        <w:t>cânions</w:t>
      </w:r>
      <w:r>
        <w:rPr>
          <w:color w:val="000000" w:themeColor="text1"/>
          <w:sz w:val="24"/>
          <w:szCs w:val="24"/>
          <w:shd w:val="clear" w:color="auto" w:fill="FFFFFF"/>
        </w:rPr>
        <w:t xml:space="preserve"> em meio à vegetação de Cerrado.</w:t>
      </w:r>
      <w:r w:rsidRPr="00914661">
        <w:rPr>
          <w:color w:val="000000" w:themeColor="text1"/>
          <w:sz w:val="24"/>
          <w:szCs w:val="24"/>
          <w:shd w:val="clear" w:color="auto" w:fill="FFFFFF"/>
        </w:rPr>
        <w:t xml:space="preserve"> </w:t>
      </w:r>
      <w:r>
        <w:rPr>
          <w:color w:val="000000" w:themeColor="text1"/>
          <w:sz w:val="24"/>
          <w:szCs w:val="24"/>
          <w:shd w:val="clear" w:color="auto" w:fill="FFFFFF"/>
        </w:rPr>
        <w:t>As</w:t>
      </w:r>
      <w:r w:rsidRPr="00914661">
        <w:rPr>
          <w:color w:val="000000" w:themeColor="text1"/>
          <w:sz w:val="24"/>
          <w:szCs w:val="24"/>
          <w:shd w:val="clear" w:color="auto" w:fill="FFFFFF"/>
        </w:rPr>
        <w:t xml:space="preserve"> </w:t>
      </w:r>
      <w:r>
        <w:rPr>
          <w:color w:val="000000" w:themeColor="text1"/>
          <w:sz w:val="24"/>
          <w:szCs w:val="24"/>
          <w:shd w:val="clear" w:color="auto" w:fill="FFFFFF"/>
        </w:rPr>
        <w:t>três</w:t>
      </w:r>
      <w:r w:rsidRPr="00914661">
        <w:rPr>
          <w:color w:val="000000" w:themeColor="text1"/>
          <w:sz w:val="24"/>
          <w:szCs w:val="24"/>
          <w:shd w:val="clear" w:color="auto" w:fill="FFFFFF"/>
        </w:rPr>
        <w:t xml:space="preserve"> fitofisionomia</w:t>
      </w:r>
      <w:r>
        <w:rPr>
          <w:color w:val="000000" w:themeColor="text1"/>
          <w:sz w:val="24"/>
          <w:szCs w:val="24"/>
          <w:shd w:val="clear" w:color="auto" w:fill="FFFFFF"/>
        </w:rPr>
        <w:t>s</w:t>
      </w:r>
      <w:r w:rsidRPr="00914661">
        <w:rPr>
          <w:color w:val="000000" w:themeColor="text1"/>
          <w:sz w:val="24"/>
          <w:szCs w:val="24"/>
          <w:shd w:val="clear" w:color="auto" w:fill="FFFFFF"/>
        </w:rPr>
        <w:t xml:space="preserve"> </w:t>
      </w:r>
      <w:r>
        <w:rPr>
          <w:color w:val="000000" w:themeColor="text1"/>
          <w:sz w:val="24"/>
          <w:szCs w:val="24"/>
          <w:shd w:val="clear" w:color="auto" w:fill="FFFFFF"/>
        </w:rPr>
        <w:t>onde ocorreram as coletas foram</w:t>
      </w:r>
      <w:r w:rsidRPr="00914661">
        <w:rPr>
          <w:color w:val="000000" w:themeColor="text1"/>
          <w:sz w:val="24"/>
          <w:szCs w:val="24"/>
          <w:shd w:val="clear" w:color="auto" w:fill="FFFFFF"/>
        </w:rPr>
        <w:t xml:space="preserve">: Cerrado </w:t>
      </w:r>
      <w:r w:rsidRPr="00914661">
        <w:rPr>
          <w:i/>
          <w:iCs/>
          <w:color w:val="000000" w:themeColor="text1"/>
          <w:sz w:val="24"/>
          <w:szCs w:val="24"/>
          <w:shd w:val="clear" w:color="auto" w:fill="FFFFFF"/>
        </w:rPr>
        <w:t>stricto sensu</w:t>
      </w:r>
      <w:r w:rsidRPr="00914661">
        <w:rPr>
          <w:color w:val="000000" w:themeColor="text1"/>
          <w:sz w:val="24"/>
          <w:szCs w:val="24"/>
          <w:shd w:val="clear" w:color="auto" w:fill="FFFFFF"/>
        </w:rPr>
        <w:t xml:space="preserve"> (ponto 1, </w:t>
      </w:r>
      <w:r w:rsidRPr="00914661">
        <w:rPr>
          <w:color w:val="000000" w:themeColor="text1"/>
          <w:sz w:val="24"/>
          <w:szCs w:val="24"/>
          <w:lang w:eastAsia="pt-BR"/>
        </w:rPr>
        <w:t>20°39'00"S 46°12'27"O);</w:t>
      </w:r>
      <w:r w:rsidRPr="00914661">
        <w:rPr>
          <w:i/>
          <w:iCs/>
          <w:color w:val="000000" w:themeColor="text1"/>
          <w:sz w:val="24"/>
          <w:szCs w:val="24"/>
          <w:shd w:val="clear" w:color="auto" w:fill="FFFFFF"/>
        </w:rPr>
        <w:t xml:space="preserve"> </w:t>
      </w:r>
      <w:r w:rsidRPr="00914661">
        <w:rPr>
          <w:color w:val="000000" w:themeColor="text1"/>
          <w:sz w:val="24"/>
          <w:szCs w:val="24"/>
          <w:shd w:val="clear" w:color="auto" w:fill="FFFFFF"/>
        </w:rPr>
        <w:t xml:space="preserve">Cerrado campestre (ponto 2, </w:t>
      </w:r>
      <w:r w:rsidRPr="00914661">
        <w:rPr>
          <w:color w:val="000000" w:themeColor="text1"/>
          <w:sz w:val="24"/>
          <w:szCs w:val="24"/>
          <w:lang w:eastAsia="pt-BR"/>
        </w:rPr>
        <w:t>20°38'58"S 46°12'23"O)</w:t>
      </w:r>
      <w:r w:rsidR="0034662E">
        <w:rPr>
          <w:color w:val="000000" w:themeColor="text1"/>
          <w:sz w:val="24"/>
          <w:szCs w:val="24"/>
          <w:lang w:eastAsia="pt-BR"/>
        </w:rPr>
        <w:t xml:space="preserve"> </w:t>
      </w:r>
      <w:r>
        <w:rPr>
          <w:color w:val="000000" w:themeColor="text1"/>
          <w:sz w:val="24"/>
          <w:szCs w:val="24"/>
          <w:shd w:val="clear" w:color="auto" w:fill="FFFFFF"/>
        </w:rPr>
        <w:t xml:space="preserve">e </w:t>
      </w:r>
      <w:r w:rsidRPr="00914661">
        <w:rPr>
          <w:color w:val="000000" w:themeColor="text1"/>
          <w:sz w:val="24"/>
          <w:szCs w:val="24"/>
          <w:shd w:val="clear" w:color="auto" w:fill="FFFFFF"/>
        </w:rPr>
        <w:t xml:space="preserve">Mata de galeria (ponto 3, </w:t>
      </w:r>
      <w:r w:rsidRPr="00914661">
        <w:rPr>
          <w:color w:val="000000" w:themeColor="text1"/>
          <w:sz w:val="24"/>
          <w:szCs w:val="24"/>
          <w:lang w:eastAsia="pt-BR"/>
        </w:rPr>
        <w:t>20°38'40"S 46°12'31"O).</w:t>
      </w:r>
    </w:p>
    <w:p w14:paraId="0CCE23B6" w14:textId="47438631" w:rsidR="00C366BE" w:rsidRDefault="00C366BE" w:rsidP="00C366BE">
      <w:pPr>
        <w:spacing w:line="360" w:lineRule="auto"/>
        <w:ind w:firstLine="708"/>
        <w:jc w:val="both"/>
        <w:rPr>
          <w:color w:val="000000" w:themeColor="text1"/>
          <w:sz w:val="24"/>
          <w:szCs w:val="24"/>
          <w:shd w:val="clear" w:color="auto" w:fill="FFFFFF"/>
        </w:rPr>
      </w:pPr>
      <w:r>
        <w:rPr>
          <w:color w:val="000000" w:themeColor="text1"/>
          <w:sz w:val="24"/>
          <w:szCs w:val="24"/>
          <w:shd w:val="clear" w:color="auto" w:fill="FFFFFF"/>
        </w:rPr>
        <w:t xml:space="preserve">As técnicas e frequência de coleta foram como se segue: </w:t>
      </w:r>
      <w:r w:rsidRPr="00F27F55">
        <w:rPr>
          <w:color w:val="000000" w:themeColor="text1"/>
          <w:sz w:val="24"/>
          <w:szCs w:val="24"/>
          <w:shd w:val="clear" w:color="auto" w:fill="FFFFFF"/>
        </w:rPr>
        <w:t>Armadilha do tipo Malaise, com coleta contínua e frasco</w:t>
      </w:r>
      <w:r>
        <w:rPr>
          <w:color w:val="000000" w:themeColor="text1"/>
          <w:sz w:val="24"/>
          <w:szCs w:val="24"/>
          <w:shd w:val="clear" w:color="auto" w:fill="FFFFFF"/>
        </w:rPr>
        <w:t xml:space="preserve"> </w:t>
      </w:r>
      <w:r w:rsidRPr="00F27F55">
        <w:rPr>
          <w:color w:val="000000" w:themeColor="text1"/>
          <w:sz w:val="24"/>
          <w:szCs w:val="24"/>
          <w:shd w:val="clear" w:color="auto" w:fill="FFFFFF"/>
        </w:rPr>
        <w:t xml:space="preserve">coletor retirado </w:t>
      </w:r>
      <w:r>
        <w:rPr>
          <w:color w:val="000000" w:themeColor="text1"/>
          <w:sz w:val="24"/>
          <w:szCs w:val="24"/>
          <w:shd w:val="clear" w:color="auto" w:fill="FFFFFF"/>
        </w:rPr>
        <w:t>a cada 30 a 45 dias</w:t>
      </w:r>
      <w:r w:rsidRPr="00F27F55">
        <w:rPr>
          <w:color w:val="000000" w:themeColor="text1"/>
          <w:sz w:val="24"/>
          <w:szCs w:val="24"/>
          <w:shd w:val="clear" w:color="auto" w:fill="FFFFFF"/>
        </w:rPr>
        <w:t>.</w:t>
      </w:r>
      <w:r>
        <w:rPr>
          <w:color w:val="000000" w:themeColor="text1"/>
          <w:sz w:val="24"/>
          <w:szCs w:val="24"/>
          <w:shd w:val="clear" w:color="auto" w:fill="FFFFFF"/>
        </w:rPr>
        <w:t xml:space="preserve"> Neste estudo foram utilizadas duas amostras por ponto a cada ano (2012, 2016 e 2017); r</w:t>
      </w:r>
      <w:r w:rsidRPr="00F27F55">
        <w:rPr>
          <w:color w:val="000000" w:themeColor="text1"/>
          <w:sz w:val="24"/>
          <w:szCs w:val="24"/>
          <w:shd w:val="clear" w:color="auto" w:fill="FFFFFF"/>
        </w:rPr>
        <w:t xml:space="preserve">ede de varredura, </w:t>
      </w:r>
      <w:r>
        <w:rPr>
          <w:color w:val="000000" w:themeColor="text1"/>
          <w:sz w:val="24"/>
          <w:szCs w:val="24"/>
          <w:shd w:val="clear" w:color="auto" w:fill="FFFFFF"/>
        </w:rPr>
        <w:t>utilizada</w:t>
      </w:r>
      <w:r w:rsidR="001D797A">
        <w:rPr>
          <w:color w:val="000000" w:themeColor="text1"/>
          <w:sz w:val="24"/>
          <w:szCs w:val="24"/>
          <w:shd w:val="clear" w:color="auto" w:fill="FFFFFF"/>
        </w:rPr>
        <w:t>ndo-se</w:t>
      </w:r>
      <w:r>
        <w:rPr>
          <w:color w:val="000000" w:themeColor="text1"/>
          <w:sz w:val="24"/>
          <w:szCs w:val="24"/>
          <w:shd w:val="clear" w:color="auto" w:fill="FFFFFF"/>
        </w:rPr>
        <w:t xml:space="preserve"> 2 redes por 10 minutos em cada ponto, durante 7 meses nos anos de 2012, 2016, 2017 e 2019</w:t>
      </w:r>
      <w:r w:rsidR="00A73146">
        <w:rPr>
          <w:color w:val="000000" w:themeColor="text1"/>
          <w:sz w:val="24"/>
          <w:szCs w:val="24"/>
          <w:shd w:val="clear" w:color="auto" w:fill="FFFFFF"/>
        </w:rPr>
        <w:t>;</w:t>
      </w:r>
      <w:r>
        <w:rPr>
          <w:color w:val="000000" w:themeColor="text1"/>
          <w:sz w:val="24"/>
          <w:szCs w:val="24"/>
          <w:shd w:val="clear" w:color="auto" w:fill="FFFFFF"/>
        </w:rPr>
        <w:t xml:space="preserve"> </w:t>
      </w:r>
      <w:r>
        <w:rPr>
          <w:color w:val="000000" w:themeColor="text1"/>
          <w:sz w:val="24"/>
          <w:szCs w:val="24"/>
          <w:shd w:val="clear" w:color="auto" w:fill="FFFFFF"/>
        </w:rPr>
        <w:lastRenderedPageBreak/>
        <w:t>a</w:t>
      </w:r>
      <w:r w:rsidRPr="00F27F55">
        <w:rPr>
          <w:color w:val="000000" w:themeColor="text1"/>
          <w:sz w:val="24"/>
          <w:szCs w:val="24"/>
          <w:shd w:val="clear" w:color="auto" w:fill="FFFFFF"/>
        </w:rPr>
        <w:t>rmadilha</w:t>
      </w:r>
      <w:r>
        <w:rPr>
          <w:color w:val="000000" w:themeColor="text1"/>
          <w:sz w:val="24"/>
          <w:szCs w:val="24"/>
          <w:shd w:val="clear" w:color="auto" w:fill="FFFFFF"/>
        </w:rPr>
        <w:t xml:space="preserve"> de</w:t>
      </w:r>
      <w:r w:rsidRPr="00F27F55">
        <w:rPr>
          <w:color w:val="000000" w:themeColor="text1"/>
          <w:sz w:val="24"/>
          <w:szCs w:val="24"/>
          <w:shd w:val="clear" w:color="auto" w:fill="FFFFFF"/>
        </w:rPr>
        <w:t xml:space="preserve"> Möericke ou </w:t>
      </w:r>
      <w:r w:rsidR="001D797A">
        <w:rPr>
          <w:i/>
          <w:iCs/>
          <w:color w:val="000000" w:themeColor="text1"/>
          <w:sz w:val="24"/>
          <w:szCs w:val="24"/>
          <w:shd w:val="clear" w:color="auto" w:fill="FFFFFF"/>
        </w:rPr>
        <w:t>p</w:t>
      </w:r>
      <w:r w:rsidRPr="00FE1334">
        <w:rPr>
          <w:i/>
          <w:iCs/>
          <w:color w:val="000000" w:themeColor="text1"/>
          <w:sz w:val="24"/>
          <w:szCs w:val="24"/>
          <w:shd w:val="clear" w:color="auto" w:fill="FFFFFF"/>
        </w:rPr>
        <w:t>an</w:t>
      </w:r>
      <w:r>
        <w:rPr>
          <w:i/>
          <w:iCs/>
          <w:color w:val="000000" w:themeColor="text1"/>
          <w:sz w:val="24"/>
          <w:szCs w:val="24"/>
          <w:shd w:val="clear" w:color="auto" w:fill="FFFFFF"/>
        </w:rPr>
        <w:t xml:space="preserve"> </w:t>
      </w:r>
      <w:r w:rsidRPr="00FE1334">
        <w:rPr>
          <w:i/>
          <w:iCs/>
          <w:color w:val="000000" w:themeColor="text1"/>
          <w:sz w:val="24"/>
          <w:szCs w:val="24"/>
          <w:shd w:val="clear" w:color="auto" w:fill="FFFFFF"/>
        </w:rPr>
        <w:t>traps</w:t>
      </w:r>
      <w:r w:rsidRPr="00F27F55">
        <w:rPr>
          <w:color w:val="000000" w:themeColor="text1"/>
          <w:sz w:val="24"/>
          <w:szCs w:val="24"/>
          <w:shd w:val="clear" w:color="auto" w:fill="FFFFFF"/>
        </w:rPr>
        <w:t xml:space="preserve">, </w:t>
      </w:r>
      <w:r w:rsidR="001D797A">
        <w:rPr>
          <w:color w:val="000000" w:themeColor="text1"/>
          <w:sz w:val="24"/>
          <w:szCs w:val="24"/>
          <w:shd w:val="clear" w:color="auto" w:fill="FFFFFF"/>
        </w:rPr>
        <w:t>com as</w:t>
      </w:r>
      <w:r>
        <w:rPr>
          <w:color w:val="000000" w:themeColor="text1"/>
          <w:sz w:val="24"/>
          <w:szCs w:val="24"/>
          <w:shd w:val="clear" w:color="auto" w:fill="FFFFFF"/>
        </w:rPr>
        <w:t xml:space="preserve"> amostras </w:t>
      </w:r>
      <w:r w:rsidR="001D797A">
        <w:rPr>
          <w:color w:val="000000" w:themeColor="text1"/>
          <w:sz w:val="24"/>
          <w:szCs w:val="24"/>
          <w:shd w:val="clear" w:color="auto" w:fill="FFFFFF"/>
        </w:rPr>
        <w:t>sendo</w:t>
      </w:r>
      <w:r>
        <w:rPr>
          <w:color w:val="000000" w:themeColor="text1"/>
          <w:sz w:val="24"/>
          <w:szCs w:val="24"/>
          <w:shd w:val="clear" w:color="auto" w:fill="FFFFFF"/>
        </w:rPr>
        <w:t xml:space="preserve"> resultado de 10 pratos amarelos, expostos por 3 horas em cada ponto a cada mês, durante 7 meses, </w:t>
      </w:r>
      <w:r w:rsidR="001D797A">
        <w:rPr>
          <w:color w:val="000000" w:themeColor="text1"/>
          <w:sz w:val="24"/>
          <w:szCs w:val="24"/>
          <w:shd w:val="clear" w:color="auto" w:fill="FFFFFF"/>
        </w:rPr>
        <w:t>entre</w:t>
      </w:r>
      <w:r>
        <w:rPr>
          <w:color w:val="000000" w:themeColor="text1"/>
          <w:sz w:val="24"/>
          <w:szCs w:val="24"/>
          <w:shd w:val="clear" w:color="auto" w:fill="FFFFFF"/>
        </w:rPr>
        <w:t xml:space="preserve"> 2012</w:t>
      </w:r>
      <w:r w:rsidR="001D797A">
        <w:rPr>
          <w:color w:val="000000" w:themeColor="text1"/>
          <w:sz w:val="24"/>
          <w:szCs w:val="24"/>
          <w:shd w:val="clear" w:color="auto" w:fill="FFFFFF"/>
        </w:rPr>
        <w:t xml:space="preserve"> e</w:t>
      </w:r>
      <w:r>
        <w:rPr>
          <w:color w:val="000000" w:themeColor="text1"/>
          <w:sz w:val="24"/>
          <w:szCs w:val="24"/>
          <w:shd w:val="clear" w:color="auto" w:fill="FFFFFF"/>
        </w:rPr>
        <w:t xml:space="preserve"> 2019</w:t>
      </w:r>
      <w:r w:rsidRPr="00F27F55">
        <w:rPr>
          <w:color w:val="000000" w:themeColor="text1"/>
          <w:sz w:val="24"/>
          <w:szCs w:val="24"/>
          <w:shd w:val="clear" w:color="auto" w:fill="FFFFFF"/>
        </w:rPr>
        <w:t>.</w:t>
      </w:r>
    </w:p>
    <w:p w14:paraId="5B3CC51F" w14:textId="5340E36D" w:rsidR="00C366BE" w:rsidRDefault="00C366BE" w:rsidP="00C366BE">
      <w:pPr>
        <w:spacing w:line="360" w:lineRule="auto"/>
        <w:ind w:firstLine="708"/>
        <w:jc w:val="both"/>
        <w:rPr>
          <w:color w:val="000000" w:themeColor="text1"/>
          <w:sz w:val="24"/>
          <w:szCs w:val="24"/>
          <w:lang w:eastAsia="pt-BR"/>
        </w:rPr>
      </w:pPr>
      <w:r w:rsidRPr="00083450">
        <w:rPr>
          <w:color w:val="000000" w:themeColor="text1"/>
          <w:sz w:val="24"/>
          <w:szCs w:val="24"/>
          <w:lang w:eastAsia="pt-BR"/>
        </w:rPr>
        <w:t>Todas as amostras, devidamente etiquetadas, estão armazenadas em frascos contendo álcool 70%</w:t>
      </w:r>
      <w:r>
        <w:rPr>
          <w:color w:val="000000" w:themeColor="text1"/>
          <w:sz w:val="24"/>
          <w:szCs w:val="24"/>
          <w:lang w:eastAsia="pt-BR"/>
        </w:rPr>
        <w:t xml:space="preserve"> e foram</w:t>
      </w:r>
      <w:r w:rsidRPr="00083450">
        <w:rPr>
          <w:color w:val="000000" w:themeColor="text1"/>
          <w:sz w:val="24"/>
          <w:szCs w:val="24"/>
          <w:lang w:eastAsia="pt-BR"/>
        </w:rPr>
        <w:t xml:space="preserve"> identificadas em nível de família </w:t>
      </w:r>
      <w:r>
        <w:rPr>
          <w:color w:val="000000" w:themeColor="text1"/>
          <w:sz w:val="24"/>
          <w:szCs w:val="24"/>
          <w:lang w:eastAsia="pt-BR"/>
        </w:rPr>
        <w:t>seguindo Fernández</w:t>
      </w:r>
      <w:r w:rsidR="006C3A02">
        <w:rPr>
          <w:color w:val="000000" w:themeColor="text1"/>
          <w:sz w:val="24"/>
          <w:szCs w:val="24"/>
          <w:lang w:eastAsia="pt-BR"/>
        </w:rPr>
        <w:t xml:space="preserve"> e</w:t>
      </w:r>
      <w:r w:rsidR="006C3A02" w:rsidRPr="006C3A02">
        <w:rPr>
          <w:color w:val="000000" w:themeColor="text1"/>
          <w:sz w:val="24"/>
          <w:szCs w:val="24"/>
          <w:lang w:eastAsia="pt-BR"/>
        </w:rPr>
        <w:t xml:space="preserve"> </w:t>
      </w:r>
      <w:r w:rsidR="006C3A02">
        <w:rPr>
          <w:color w:val="000000" w:themeColor="text1"/>
          <w:sz w:val="24"/>
          <w:szCs w:val="24"/>
          <w:lang w:eastAsia="pt-BR"/>
        </w:rPr>
        <w:t>Sharkey</w:t>
      </w:r>
      <w:r>
        <w:rPr>
          <w:color w:val="000000" w:themeColor="text1"/>
          <w:sz w:val="24"/>
          <w:szCs w:val="24"/>
          <w:lang w:eastAsia="pt-BR"/>
        </w:rPr>
        <w:t xml:space="preserve"> </w:t>
      </w:r>
      <w:r w:rsidR="006C3A02">
        <w:rPr>
          <w:color w:val="000000" w:themeColor="text1"/>
          <w:sz w:val="24"/>
          <w:szCs w:val="24"/>
          <w:lang w:eastAsia="pt-BR"/>
        </w:rPr>
        <w:t>(</w:t>
      </w:r>
      <w:r>
        <w:rPr>
          <w:color w:val="000000" w:themeColor="text1"/>
          <w:sz w:val="24"/>
          <w:szCs w:val="24"/>
          <w:lang w:eastAsia="pt-BR"/>
        </w:rPr>
        <w:t>2006</w:t>
      </w:r>
      <w:r w:rsidR="006C3A02">
        <w:rPr>
          <w:color w:val="000000" w:themeColor="text1"/>
          <w:sz w:val="24"/>
          <w:szCs w:val="24"/>
          <w:lang w:eastAsia="pt-BR"/>
        </w:rPr>
        <w:t>)</w:t>
      </w:r>
      <w:r w:rsidRPr="00083450">
        <w:rPr>
          <w:color w:val="000000" w:themeColor="text1"/>
          <w:sz w:val="24"/>
          <w:szCs w:val="24"/>
          <w:lang w:eastAsia="pt-BR"/>
        </w:rPr>
        <w:t>.</w:t>
      </w:r>
      <w:r>
        <w:rPr>
          <w:color w:val="000000" w:themeColor="text1"/>
          <w:sz w:val="24"/>
          <w:szCs w:val="24"/>
          <w:lang w:eastAsia="pt-BR"/>
        </w:rPr>
        <w:t xml:space="preserve"> </w:t>
      </w:r>
      <w:r w:rsidRPr="00083450">
        <w:rPr>
          <w:color w:val="000000" w:themeColor="text1"/>
          <w:sz w:val="24"/>
          <w:szCs w:val="24"/>
          <w:lang w:eastAsia="pt-BR"/>
        </w:rPr>
        <w:t xml:space="preserve">Os dados </w:t>
      </w:r>
      <w:r>
        <w:rPr>
          <w:color w:val="000000" w:themeColor="text1"/>
          <w:sz w:val="24"/>
          <w:szCs w:val="24"/>
          <w:lang w:eastAsia="pt-BR"/>
        </w:rPr>
        <w:t>foram</w:t>
      </w:r>
      <w:r w:rsidRPr="00083450">
        <w:rPr>
          <w:color w:val="000000" w:themeColor="text1"/>
          <w:sz w:val="24"/>
          <w:szCs w:val="24"/>
          <w:lang w:eastAsia="pt-BR"/>
        </w:rPr>
        <w:t xml:space="preserve"> tabelados e analisados </w:t>
      </w:r>
      <w:r>
        <w:rPr>
          <w:color w:val="000000" w:themeColor="text1"/>
          <w:sz w:val="24"/>
          <w:szCs w:val="24"/>
          <w:lang w:eastAsia="pt-BR"/>
        </w:rPr>
        <w:t>com estatística descritiva, com</w:t>
      </w:r>
      <w:r w:rsidRPr="00083450">
        <w:rPr>
          <w:color w:val="000000" w:themeColor="text1"/>
          <w:sz w:val="24"/>
          <w:szCs w:val="24"/>
          <w:lang w:eastAsia="pt-BR"/>
        </w:rPr>
        <w:t xml:space="preserve"> auxílio do programa Excel</w:t>
      </w:r>
      <w:r w:rsidRPr="00C152A5">
        <w:rPr>
          <w:color w:val="000000" w:themeColor="text1"/>
          <w:sz w:val="24"/>
          <w:szCs w:val="24"/>
          <w:vertAlign w:val="superscript"/>
          <w:lang w:eastAsia="pt-BR"/>
        </w:rPr>
        <w:t>®</w:t>
      </w:r>
      <w:r w:rsidRPr="00083450">
        <w:rPr>
          <w:color w:val="000000" w:themeColor="text1"/>
          <w:sz w:val="24"/>
          <w:szCs w:val="24"/>
          <w:lang w:eastAsia="pt-BR"/>
        </w:rPr>
        <w:t xml:space="preserve"> for Windows.</w:t>
      </w:r>
    </w:p>
    <w:p w14:paraId="6AB1C1F9" w14:textId="77777777" w:rsidR="00E3782C" w:rsidRPr="005F70B0" w:rsidRDefault="00E3782C" w:rsidP="00E3782C">
      <w:pPr>
        <w:pStyle w:val="Corpodetexto"/>
        <w:spacing w:before="1" w:line="360" w:lineRule="auto"/>
        <w:rPr>
          <w:sz w:val="24"/>
          <w:szCs w:val="24"/>
        </w:rPr>
      </w:pPr>
    </w:p>
    <w:p w14:paraId="71573541" w14:textId="4E79BD08"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5459F41E" w14:textId="5F14BBAF" w:rsidR="00C366BE" w:rsidRDefault="00C366BE" w:rsidP="00C366BE">
      <w:pPr>
        <w:spacing w:line="360" w:lineRule="auto"/>
        <w:ind w:firstLine="708"/>
        <w:jc w:val="both"/>
        <w:rPr>
          <w:color w:val="000000" w:themeColor="text1"/>
          <w:sz w:val="24"/>
          <w:szCs w:val="24"/>
          <w:lang w:eastAsia="pt-BR"/>
        </w:rPr>
      </w:pPr>
      <w:r>
        <w:rPr>
          <w:color w:val="000000" w:themeColor="text1"/>
          <w:sz w:val="24"/>
          <w:szCs w:val="24"/>
          <w:lang w:eastAsia="pt-BR"/>
        </w:rPr>
        <w:t xml:space="preserve">Foram coletados e identificados um total de 14160 espécimes de Hymenoptera, distribuídos em 17 superfamílias e 51 famílias. Este dado por si só é bastante relevante, uma vez que aproximadamente 59% das superfamílias registradas no mundo foram identificadas neste estudo, assim como 35% das famílias registradas mundialmente </w:t>
      </w:r>
      <w:r w:rsidRPr="006C3A02">
        <w:rPr>
          <w:color w:val="000000" w:themeColor="text1"/>
          <w:sz w:val="24"/>
          <w:szCs w:val="24"/>
          <w:lang w:eastAsia="pt-BR"/>
        </w:rPr>
        <w:t>(</w:t>
      </w:r>
      <w:r w:rsidR="006C3A02" w:rsidRPr="006C3A02">
        <w:rPr>
          <w:sz w:val="24"/>
          <w:szCs w:val="24"/>
        </w:rPr>
        <w:t>van Noort</w:t>
      </w:r>
      <w:r w:rsidRPr="006C3A02">
        <w:rPr>
          <w:color w:val="000000" w:themeColor="text1"/>
          <w:sz w:val="24"/>
          <w:szCs w:val="24"/>
          <w:lang w:eastAsia="pt-BR"/>
        </w:rPr>
        <w:t>, 2026).</w:t>
      </w:r>
    </w:p>
    <w:p w14:paraId="4D65741C" w14:textId="77777777" w:rsidR="0003655A" w:rsidRDefault="00C366BE" w:rsidP="00C366BE">
      <w:pPr>
        <w:spacing w:line="360" w:lineRule="auto"/>
        <w:ind w:firstLine="708"/>
        <w:jc w:val="both"/>
        <w:rPr>
          <w:color w:val="000000" w:themeColor="text1"/>
          <w:sz w:val="24"/>
          <w:szCs w:val="24"/>
          <w:lang w:eastAsia="pt-BR"/>
        </w:rPr>
      </w:pPr>
      <w:r>
        <w:rPr>
          <w:color w:val="000000" w:themeColor="text1"/>
          <w:sz w:val="24"/>
          <w:szCs w:val="24"/>
          <w:lang w:eastAsia="pt-BR"/>
        </w:rPr>
        <w:t xml:space="preserve">A tabela 1 mostra a comparação da abundância e riqueza das famílias de Hymenoptera em relação aos anos em que puderam ser comparadas. Assim, foi possível comparar as amostragens de dois métodos durante os quatro anos (2012, 2016, 2017 e 2019) e três métodos durante 2012, 2016 e 2017. </w:t>
      </w:r>
    </w:p>
    <w:p w14:paraId="516BE68B" w14:textId="77777777" w:rsidR="0003655A" w:rsidRPr="00CD2650" w:rsidRDefault="0003655A" w:rsidP="0003655A">
      <w:pPr>
        <w:spacing w:line="360" w:lineRule="auto"/>
        <w:jc w:val="both"/>
        <w:rPr>
          <w:b/>
          <w:bCs/>
          <w:sz w:val="20"/>
          <w:szCs w:val="20"/>
        </w:rPr>
      </w:pPr>
      <w:r w:rsidRPr="00CD2650">
        <w:rPr>
          <w:b/>
          <w:bCs/>
          <w:color w:val="000000" w:themeColor="text1"/>
          <w:sz w:val="20"/>
          <w:szCs w:val="20"/>
          <w:lang w:eastAsia="pt-BR"/>
        </w:rPr>
        <w:t xml:space="preserve">Tabela 1. </w:t>
      </w:r>
      <w:r w:rsidRPr="0003655A">
        <w:rPr>
          <w:b/>
          <w:bCs/>
          <w:color w:val="000000" w:themeColor="text1"/>
          <w:sz w:val="20"/>
          <w:szCs w:val="20"/>
          <w:lang w:eastAsia="pt-BR"/>
        </w:rPr>
        <w:t>Abundância, riqueza de famílias e variação temporal da comunidade de</w:t>
      </w:r>
      <w:r>
        <w:rPr>
          <w:b/>
          <w:bCs/>
          <w:color w:val="000000" w:themeColor="text1"/>
          <w:sz w:val="20"/>
          <w:szCs w:val="20"/>
          <w:lang w:eastAsia="pt-BR"/>
        </w:rPr>
        <w:t xml:space="preserve"> famílias de</w:t>
      </w:r>
      <w:r w:rsidRPr="0003655A">
        <w:rPr>
          <w:b/>
          <w:bCs/>
          <w:color w:val="000000" w:themeColor="text1"/>
          <w:sz w:val="20"/>
          <w:szCs w:val="20"/>
          <w:lang w:eastAsia="pt-BR"/>
        </w:rPr>
        <w:t xml:space="preserve"> Hymenoptera amostrada</w:t>
      </w:r>
      <w:r>
        <w:rPr>
          <w:b/>
          <w:bCs/>
          <w:color w:val="000000" w:themeColor="text1"/>
          <w:sz w:val="20"/>
          <w:szCs w:val="20"/>
          <w:lang w:eastAsia="pt-BR"/>
        </w:rPr>
        <w:t>s</w:t>
      </w:r>
      <w:r w:rsidRPr="0003655A">
        <w:rPr>
          <w:b/>
          <w:bCs/>
          <w:color w:val="000000" w:themeColor="text1"/>
          <w:sz w:val="20"/>
          <w:szCs w:val="20"/>
          <w:lang w:eastAsia="pt-BR"/>
        </w:rPr>
        <w:t xml:space="preserve"> na Trilha do Sol, Capitólio, Minas Gerais, entre 2012 e 2019.</w:t>
      </w:r>
    </w:p>
    <w:tbl>
      <w:tblPr>
        <w:tblW w:w="9066" w:type="dxa"/>
        <w:jc w:val="center"/>
        <w:tblCellMar>
          <w:left w:w="70" w:type="dxa"/>
          <w:right w:w="70" w:type="dxa"/>
        </w:tblCellMar>
        <w:tblLook w:val="04A0" w:firstRow="1" w:lastRow="0" w:firstColumn="1" w:lastColumn="0" w:noHBand="0" w:noVBand="1"/>
      </w:tblPr>
      <w:tblGrid>
        <w:gridCol w:w="796"/>
        <w:gridCol w:w="1568"/>
        <w:gridCol w:w="1227"/>
        <w:gridCol w:w="1433"/>
        <w:gridCol w:w="2174"/>
        <w:gridCol w:w="1868"/>
      </w:tblGrid>
      <w:tr w:rsidR="0003655A" w:rsidRPr="00536AA6" w14:paraId="0756F70A" w14:textId="77777777" w:rsidTr="00725FAA">
        <w:trPr>
          <w:trHeight w:val="453"/>
          <w:jc w:val="center"/>
        </w:trPr>
        <w:tc>
          <w:tcPr>
            <w:tcW w:w="796" w:type="dxa"/>
            <w:tcBorders>
              <w:top w:val="single" w:sz="4" w:space="0" w:color="auto"/>
              <w:left w:val="nil"/>
              <w:bottom w:val="single" w:sz="4" w:space="0" w:color="auto"/>
              <w:right w:val="nil"/>
            </w:tcBorders>
            <w:vAlign w:val="center"/>
            <w:hideMark/>
          </w:tcPr>
          <w:p w14:paraId="33783585" w14:textId="77777777" w:rsidR="0003655A" w:rsidRPr="00536AA6" w:rsidRDefault="0003655A" w:rsidP="00725FAA">
            <w:pPr>
              <w:jc w:val="center"/>
              <w:rPr>
                <w:rFonts w:ascii="Calibri" w:hAnsi="Calibri" w:cs="Calibri"/>
                <w:b/>
                <w:bCs/>
                <w:color w:val="000000"/>
                <w:lang w:eastAsia="pt-BR"/>
              </w:rPr>
            </w:pPr>
            <w:r w:rsidRPr="00536AA6">
              <w:rPr>
                <w:rFonts w:ascii="Calibri" w:hAnsi="Calibri" w:cs="Calibri"/>
                <w:b/>
                <w:bCs/>
                <w:color w:val="000000"/>
                <w:lang w:eastAsia="pt-BR"/>
              </w:rPr>
              <w:t>Ano</w:t>
            </w:r>
          </w:p>
        </w:tc>
        <w:tc>
          <w:tcPr>
            <w:tcW w:w="1568" w:type="dxa"/>
            <w:tcBorders>
              <w:top w:val="single" w:sz="4" w:space="0" w:color="auto"/>
              <w:left w:val="nil"/>
              <w:bottom w:val="single" w:sz="4" w:space="0" w:color="auto"/>
              <w:right w:val="nil"/>
            </w:tcBorders>
            <w:vAlign w:val="center"/>
            <w:hideMark/>
          </w:tcPr>
          <w:p w14:paraId="25A9ECAF" w14:textId="77777777" w:rsidR="0003655A" w:rsidRPr="00536AA6" w:rsidRDefault="0003655A" w:rsidP="00725FAA">
            <w:pPr>
              <w:jc w:val="center"/>
              <w:rPr>
                <w:rFonts w:ascii="Calibri" w:hAnsi="Calibri" w:cs="Calibri"/>
                <w:b/>
                <w:bCs/>
                <w:color w:val="000000"/>
                <w:lang w:eastAsia="pt-BR"/>
              </w:rPr>
            </w:pPr>
            <w:r w:rsidRPr="00536AA6">
              <w:rPr>
                <w:rFonts w:ascii="Calibri" w:hAnsi="Calibri" w:cs="Calibri"/>
                <w:b/>
                <w:bCs/>
                <w:color w:val="000000"/>
                <w:lang w:eastAsia="pt-BR"/>
              </w:rPr>
              <w:t>Métodos comparados</w:t>
            </w:r>
          </w:p>
        </w:tc>
        <w:tc>
          <w:tcPr>
            <w:tcW w:w="1227" w:type="dxa"/>
            <w:tcBorders>
              <w:top w:val="single" w:sz="4" w:space="0" w:color="auto"/>
              <w:left w:val="nil"/>
              <w:bottom w:val="single" w:sz="4" w:space="0" w:color="auto"/>
              <w:right w:val="nil"/>
            </w:tcBorders>
            <w:vAlign w:val="center"/>
            <w:hideMark/>
          </w:tcPr>
          <w:p w14:paraId="02E9C65A" w14:textId="77777777" w:rsidR="0003655A" w:rsidRPr="00536AA6" w:rsidRDefault="0003655A" w:rsidP="00725FAA">
            <w:pPr>
              <w:jc w:val="center"/>
              <w:rPr>
                <w:rFonts w:ascii="Calibri" w:hAnsi="Calibri" w:cs="Calibri"/>
                <w:b/>
                <w:bCs/>
                <w:color w:val="000000"/>
                <w:lang w:eastAsia="pt-BR"/>
              </w:rPr>
            </w:pPr>
            <w:r w:rsidRPr="00536AA6">
              <w:rPr>
                <w:rFonts w:ascii="Calibri" w:hAnsi="Calibri" w:cs="Calibri"/>
                <w:b/>
                <w:bCs/>
                <w:color w:val="000000"/>
                <w:lang w:eastAsia="pt-BR"/>
              </w:rPr>
              <w:t>Abundância</w:t>
            </w:r>
          </w:p>
        </w:tc>
        <w:tc>
          <w:tcPr>
            <w:tcW w:w="1433" w:type="dxa"/>
            <w:tcBorders>
              <w:top w:val="single" w:sz="4" w:space="0" w:color="auto"/>
              <w:left w:val="nil"/>
              <w:bottom w:val="single" w:sz="4" w:space="0" w:color="auto"/>
              <w:right w:val="nil"/>
            </w:tcBorders>
            <w:vAlign w:val="center"/>
            <w:hideMark/>
          </w:tcPr>
          <w:p w14:paraId="5D6B16D4" w14:textId="77777777" w:rsidR="0003655A" w:rsidRPr="00536AA6" w:rsidRDefault="0003655A" w:rsidP="00725FAA">
            <w:pPr>
              <w:jc w:val="center"/>
              <w:rPr>
                <w:rFonts w:ascii="Calibri" w:hAnsi="Calibri" w:cs="Calibri"/>
                <w:b/>
                <w:bCs/>
                <w:color w:val="000000"/>
                <w:lang w:eastAsia="pt-BR"/>
              </w:rPr>
            </w:pPr>
            <w:r w:rsidRPr="00536AA6">
              <w:rPr>
                <w:rFonts w:ascii="Calibri" w:hAnsi="Calibri" w:cs="Calibri"/>
                <w:b/>
                <w:bCs/>
                <w:color w:val="000000"/>
                <w:lang w:eastAsia="pt-BR"/>
              </w:rPr>
              <w:t>Riqueza (famílias)</w:t>
            </w:r>
          </w:p>
        </w:tc>
        <w:tc>
          <w:tcPr>
            <w:tcW w:w="2174" w:type="dxa"/>
            <w:tcBorders>
              <w:top w:val="single" w:sz="4" w:space="0" w:color="auto"/>
              <w:left w:val="nil"/>
              <w:bottom w:val="single" w:sz="4" w:space="0" w:color="auto"/>
              <w:right w:val="nil"/>
            </w:tcBorders>
            <w:vAlign w:val="center"/>
            <w:hideMark/>
          </w:tcPr>
          <w:p w14:paraId="70579C54" w14:textId="77777777" w:rsidR="0003655A" w:rsidRPr="00536AA6" w:rsidRDefault="0003655A" w:rsidP="00725FAA">
            <w:pPr>
              <w:jc w:val="center"/>
              <w:rPr>
                <w:rFonts w:ascii="Calibri" w:hAnsi="Calibri" w:cs="Calibri"/>
                <w:b/>
                <w:bCs/>
                <w:color w:val="000000"/>
                <w:lang w:eastAsia="pt-BR"/>
              </w:rPr>
            </w:pPr>
            <w:r w:rsidRPr="00536AA6">
              <w:rPr>
                <w:rFonts w:ascii="Calibri" w:hAnsi="Calibri" w:cs="Calibri"/>
                <w:b/>
                <w:bCs/>
                <w:color w:val="000000"/>
                <w:lang w:eastAsia="pt-BR"/>
              </w:rPr>
              <w:t>Variação da abundância (%)</w:t>
            </w:r>
          </w:p>
        </w:tc>
        <w:tc>
          <w:tcPr>
            <w:tcW w:w="1868" w:type="dxa"/>
            <w:tcBorders>
              <w:top w:val="single" w:sz="4" w:space="0" w:color="auto"/>
              <w:left w:val="nil"/>
              <w:bottom w:val="single" w:sz="4" w:space="0" w:color="auto"/>
              <w:right w:val="nil"/>
            </w:tcBorders>
            <w:vAlign w:val="center"/>
            <w:hideMark/>
          </w:tcPr>
          <w:p w14:paraId="6C154723" w14:textId="77777777" w:rsidR="0003655A" w:rsidRPr="00536AA6" w:rsidRDefault="0003655A" w:rsidP="00725FAA">
            <w:pPr>
              <w:jc w:val="center"/>
              <w:rPr>
                <w:rFonts w:ascii="Calibri" w:hAnsi="Calibri" w:cs="Calibri"/>
                <w:b/>
                <w:bCs/>
                <w:color w:val="000000"/>
                <w:lang w:eastAsia="pt-BR"/>
              </w:rPr>
            </w:pPr>
            <w:r w:rsidRPr="00536AA6">
              <w:rPr>
                <w:rFonts w:ascii="Calibri" w:hAnsi="Calibri" w:cs="Calibri"/>
                <w:b/>
                <w:bCs/>
                <w:color w:val="000000"/>
                <w:lang w:eastAsia="pt-BR"/>
              </w:rPr>
              <w:t>Variação da riqueza (%)</w:t>
            </w:r>
          </w:p>
        </w:tc>
      </w:tr>
      <w:tr w:rsidR="0003655A" w:rsidRPr="00536AA6" w14:paraId="004A0A38" w14:textId="77777777" w:rsidTr="00725FAA">
        <w:trPr>
          <w:trHeight w:val="453"/>
          <w:jc w:val="center"/>
        </w:trPr>
        <w:tc>
          <w:tcPr>
            <w:tcW w:w="796" w:type="dxa"/>
            <w:tcBorders>
              <w:top w:val="single" w:sz="4" w:space="0" w:color="auto"/>
              <w:left w:val="nil"/>
              <w:bottom w:val="nil"/>
              <w:right w:val="nil"/>
            </w:tcBorders>
            <w:vAlign w:val="center"/>
            <w:hideMark/>
          </w:tcPr>
          <w:p w14:paraId="2E4FEEB6"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2012</w:t>
            </w:r>
          </w:p>
        </w:tc>
        <w:tc>
          <w:tcPr>
            <w:tcW w:w="1568" w:type="dxa"/>
            <w:tcBorders>
              <w:top w:val="single" w:sz="4" w:space="0" w:color="auto"/>
              <w:left w:val="nil"/>
              <w:bottom w:val="nil"/>
              <w:right w:val="nil"/>
            </w:tcBorders>
            <w:vAlign w:val="center"/>
            <w:hideMark/>
          </w:tcPr>
          <w:p w14:paraId="4B8578CF"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Pan + Varredura</w:t>
            </w:r>
          </w:p>
        </w:tc>
        <w:tc>
          <w:tcPr>
            <w:tcW w:w="1227" w:type="dxa"/>
            <w:tcBorders>
              <w:top w:val="single" w:sz="4" w:space="0" w:color="auto"/>
              <w:left w:val="nil"/>
              <w:bottom w:val="nil"/>
              <w:right w:val="nil"/>
            </w:tcBorders>
            <w:vAlign w:val="center"/>
            <w:hideMark/>
          </w:tcPr>
          <w:p w14:paraId="5A787BFB"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1245</w:t>
            </w:r>
          </w:p>
        </w:tc>
        <w:tc>
          <w:tcPr>
            <w:tcW w:w="1433" w:type="dxa"/>
            <w:tcBorders>
              <w:top w:val="single" w:sz="4" w:space="0" w:color="auto"/>
              <w:left w:val="nil"/>
              <w:bottom w:val="nil"/>
              <w:right w:val="nil"/>
            </w:tcBorders>
            <w:vAlign w:val="center"/>
            <w:hideMark/>
          </w:tcPr>
          <w:p w14:paraId="5B3943C5"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33</w:t>
            </w:r>
          </w:p>
        </w:tc>
        <w:tc>
          <w:tcPr>
            <w:tcW w:w="2174" w:type="dxa"/>
            <w:tcBorders>
              <w:top w:val="single" w:sz="4" w:space="0" w:color="auto"/>
              <w:left w:val="nil"/>
              <w:bottom w:val="nil"/>
              <w:right w:val="nil"/>
            </w:tcBorders>
            <w:vAlign w:val="center"/>
            <w:hideMark/>
          </w:tcPr>
          <w:p w14:paraId="3EE9B282"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w:t>
            </w:r>
          </w:p>
        </w:tc>
        <w:tc>
          <w:tcPr>
            <w:tcW w:w="1868" w:type="dxa"/>
            <w:tcBorders>
              <w:top w:val="single" w:sz="4" w:space="0" w:color="auto"/>
              <w:left w:val="nil"/>
              <w:bottom w:val="nil"/>
              <w:right w:val="nil"/>
            </w:tcBorders>
            <w:noWrap/>
            <w:vAlign w:val="center"/>
            <w:hideMark/>
          </w:tcPr>
          <w:p w14:paraId="26720C2E"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w:t>
            </w:r>
          </w:p>
        </w:tc>
      </w:tr>
      <w:tr w:rsidR="0003655A" w:rsidRPr="00536AA6" w14:paraId="1BDD2E08" w14:textId="77777777" w:rsidTr="00725FAA">
        <w:trPr>
          <w:trHeight w:val="521"/>
          <w:jc w:val="center"/>
        </w:trPr>
        <w:tc>
          <w:tcPr>
            <w:tcW w:w="796" w:type="dxa"/>
            <w:tcBorders>
              <w:top w:val="nil"/>
              <w:left w:val="nil"/>
              <w:bottom w:val="nil"/>
              <w:right w:val="nil"/>
            </w:tcBorders>
            <w:vAlign w:val="center"/>
            <w:hideMark/>
          </w:tcPr>
          <w:p w14:paraId="3376C117"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2016</w:t>
            </w:r>
          </w:p>
        </w:tc>
        <w:tc>
          <w:tcPr>
            <w:tcW w:w="1568" w:type="dxa"/>
            <w:tcBorders>
              <w:top w:val="nil"/>
              <w:left w:val="nil"/>
              <w:bottom w:val="nil"/>
              <w:right w:val="nil"/>
            </w:tcBorders>
            <w:vAlign w:val="center"/>
            <w:hideMark/>
          </w:tcPr>
          <w:p w14:paraId="6DDA526A"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Pan + Varredura</w:t>
            </w:r>
          </w:p>
        </w:tc>
        <w:tc>
          <w:tcPr>
            <w:tcW w:w="1227" w:type="dxa"/>
            <w:tcBorders>
              <w:top w:val="nil"/>
              <w:left w:val="nil"/>
              <w:bottom w:val="nil"/>
              <w:right w:val="nil"/>
            </w:tcBorders>
            <w:vAlign w:val="center"/>
            <w:hideMark/>
          </w:tcPr>
          <w:p w14:paraId="6B98AA89"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1208</w:t>
            </w:r>
          </w:p>
        </w:tc>
        <w:tc>
          <w:tcPr>
            <w:tcW w:w="1433" w:type="dxa"/>
            <w:tcBorders>
              <w:top w:val="nil"/>
              <w:left w:val="nil"/>
              <w:bottom w:val="nil"/>
              <w:right w:val="nil"/>
            </w:tcBorders>
            <w:vAlign w:val="center"/>
            <w:hideMark/>
          </w:tcPr>
          <w:p w14:paraId="5AD337B0"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26</w:t>
            </w:r>
          </w:p>
        </w:tc>
        <w:tc>
          <w:tcPr>
            <w:tcW w:w="2174" w:type="dxa"/>
            <w:tcBorders>
              <w:top w:val="nil"/>
              <w:left w:val="nil"/>
              <w:bottom w:val="nil"/>
              <w:right w:val="nil"/>
            </w:tcBorders>
            <w:vAlign w:val="center"/>
            <w:hideMark/>
          </w:tcPr>
          <w:p w14:paraId="740C46C2"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-3</w:t>
            </w:r>
          </w:p>
        </w:tc>
        <w:tc>
          <w:tcPr>
            <w:tcW w:w="1868" w:type="dxa"/>
            <w:tcBorders>
              <w:top w:val="nil"/>
              <w:left w:val="nil"/>
              <w:bottom w:val="nil"/>
              <w:right w:val="nil"/>
            </w:tcBorders>
            <w:noWrap/>
            <w:vAlign w:val="center"/>
            <w:hideMark/>
          </w:tcPr>
          <w:p w14:paraId="160368EE"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-21</w:t>
            </w:r>
          </w:p>
        </w:tc>
      </w:tr>
      <w:tr w:rsidR="0003655A" w:rsidRPr="00536AA6" w14:paraId="74664DC9" w14:textId="77777777" w:rsidTr="00725FAA">
        <w:trPr>
          <w:trHeight w:val="476"/>
          <w:jc w:val="center"/>
        </w:trPr>
        <w:tc>
          <w:tcPr>
            <w:tcW w:w="796" w:type="dxa"/>
            <w:tcBorders>
              <w:top w:val="nil"/>
              <w:left w:val="nil"/>
              <w:bottom w:val="nil"/>
              <w:right w:val="nil"/>
            </w:tcBorders>
            <w:vAlign w:val="center"/>
            <w:hideMark/>
          </w:tcPr>
          <w:p w14:paraId="0F3BABE5"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2017</w:t>
            </w:r>
          </w:p>
        </w:tc>
        <w:tc>
          <w:tcPr>
            <w:tcW w:w="1568" w:type="dxa"/>
            <w:tcBorders>
              <w:top w:val="nil"/>
              <w:left w:val="nil"/>
              <w:bottom w:val="nil"/>
              <w:right w:val="nil"/>
            </w:tcBorders>
            <w:vAlign w:val="center"/>
            <w:hideMark/>
          </w:tcPr>
          <w:p w14:paraId="7F3E3280"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Pan + Varredura</w:t>
            </w:r>
          </w:p>
        </w:tc>
        <w:tc>
          <w:tcPr>
            <w:tcW w:w="1227" w:type="dxa"/>
            <w:tcBorders>
              <w:top w:val="nil"/>
              <w:left w:val="nil"/>
              <w:bottom w:val="nil"/>
              <w:right w:val="nil"/>
            </w:tcBorders>
            <w:vAlign w:val="center"/>
            <w:hideMark/>
          </w:tcPr>
          <w:p w14:paraId="10244F31"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1050</w:t>
            </w:r>
          </w:p>
        </w:tc>
        <w:tc>
          <w:tcPr>
            <w:tcW w:w="1433" w:type="dxa"/>
            <w:tcBorders>
              <w:top w:val="nil"/>
              <w:left w:val="nil"/>
              <w:bottom w:val="nil"/>
              <w:right w:val="nil"/>
            </w:tcBorders>
            <w:vAlign w:val="center"/>
            <w:hideMark/>
          </w:tcPr>
          <w:p w14:paraId="5BFEB37C"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28</w:t>
            </w:r>
          </w:p>
        </w:tc>
        <w:tc>
          <w:tcPr>
            <w:tcW w:w="2174" w:type="dxa"/>
            <w:tcBorders>
              <w:top w:val="nil"/>
              <w:left w:val="nil"/>
              <w:bottom w:val="nil"/>
              <w:right w:val="nil"/>
            </w:tcBorders>
            <w:vAlign w:val="center"/>
            <w:hideMark/>
          </w:tcPr>
          <w:p w14:paraId="55388E16"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-16</w:t>
            </w:r>
          </w:p>
        </w:tc>
        <w:tc>
          <w:tcPr>
            <w:tcW w:w="1868" w:type="dxa"/>
            <w:tcBorders>
              <w:top w:val="nil"/>
              <w:left w:val="nil"/>
              <w:bottom w:val="nil"/>
              <w:right w:val="nil"/>
            </w:tcBorders>
            <w:noWrap/>
            <w:vAlign w:val="center"/>
            <w:hideMark/>
          </w:tcPr>
          <w:p w14:paraId="75AFCD5D"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-15</w:t>
            </w:r>
          </w:p>
        </w:tc>
      </w:tr>
      <w:tr w:rsidR="0003655A" w:rsidRPr="00536AA6" w14:paraId="5D68ECFA" w14:textId="77777777" w:rsidTr="00725FAA">
        <w:trPr>
          <w:trHeight w:val="453"/>
          <w:jc w:val="center"/>
        </w:trPr>
        <w:tc>
          <w:tcPr>
            <w:tcW w:w="796" w:type="dxa"/>
            <w:tcBorders>
              <w:top w:val="nil"/>
              <w:left w:val="nil"/>
              <w:bottom w:val="nil"/>
              <w:right w:val="nil"/>
            </w:tcBorders>
            <w:vAlign w:val="center"/>
            <w:hideMark/>
          </w:tcPr>
          <w:p w14:paraId="13C31288"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2019</w:t>
            </w:r>
          </w:p>
        </w:tc>
        <w:tc>
          <w:tcPr>
            <w:tcW w:w="1568" w:type="dxa"/>
            <w:tcBorders>
              <w:top w:val="nil"/>
              <w:left w:val="nil"/>
              <w:bottom w:val="nil"/>
              <w:right w:val="nil"/>
            </w:tcBorders>
            <w:vAlign w:val="center"/>
            <w:hideMark/>
          </w:tcPr>
          <w:p w14:paraId="3DAA9E48"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Pan + Varredura</w:t>
            </w:r>
          </w:p>
        </w:tc>
        <w:tc>
          <w:tcPr>
            <w:tcW w:w="1227" w:type="dxa"/>
            <w:tcBorders>
              <w:top w:val="nil"/>
              <w:left w:val="nil"/>
              <w:bottom w:val="nil"/>
              <w:right w:val="nil"/>
            </w:tcBorders>
            <w:vAlign w:val="center"/>
            <w:hideMark/>
          </w:tcPr>
          <w:p w14:paraId="558716CF"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706</w:t>
            </w:r>
          </w:p>
        </w:tc>
        <w:tc>
          <w:tcPr>
            <w:tcW w:w="1433" w:type="dxa"/>
            <w:tcBorders>
              <w:top w:val="nil"/>
              <w:left w:val="nil"/>
              <w:bottom w:val="nil"/>
              <w:right w:val="nil"/>
            </w:tcBorders>
            <w:vAlign w:val="center"/>
            <w:hideMark/>
          </w:tcPr>
          <w:p w14:paraId="3A82D732"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27</w:t>
            </w:r>
          </w:p>
        </w:tc>
        <w:tc>
          <w:tcPr>
            <w:tcW w:w="2174" w:type="dxa"/>
            <w:tcBorders>
              <w:top w:val="nil"/>
              <w:left w:val="nil"/>
              <w:bottom w:val="nil"/>
              <w:right w:val="nil"/>
            </w:tcBorders>
            <w:vAlign w:val="center"/>
            <w:hideMark/>
          </w:tcPr>
          <w:p w14:paraId="48866464"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-43</w:t>
            </w:r>
          </w:p>
        </w:tc>
        <w:tc>
          <w:tcPr>
            <w:tcW w:w="1868" w:type="dxa"/>
            <w:tcBorders>
              <w:top w:val="nil"/>
              <w:left w:val="nil"/>
              <w:bottom w:val="nil"/>
              <w:right w:val="nil"/>
            </w:tcBorders>
            <w:noWrap/>
            <w:vAlign w:val="center"/>
            <w:hideMark/>
          </w:tcPr>
          <w:p w14:paraId="66C63840"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-18</w:t>
            </w:r>
          </w:p>
        </w:tc>
      </w:tr>
      <w:tr w:rsidR="0003655A" w:rsidRPr="00536AA6" w14:paraId="066B5376" w14:textId="77777777" w:rsidTr="00725FAA">
        <w:trPr>
          <w:trHeight w:val="906"/>
          <w:jc w:val="center"/>
        </w:trPr>
        <w:tc>
          <w:tcPr>
            <w:tcW w:w="796" w:type="dxa"/>
            <w:tcBorders>
              <w:top w:val="nil"/>
              <w:left w:val="nil"/>
              <w:bottom w:val="nil"/>
              <w:right w:val="nil"/>
            </w:tcBorders>
            <w:vAlign w:val="center"/>
            <w:hideMark/>
          </w:tcPr>
          <w:p w14:paraId="1D582B15"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2012</w:t>
            </w:r>
          </w:p>
        </w:tc>
        <w:tc>
          <w:tcPr>
            <w:tcW w:w="1568" w:type="dxa"/>
            <w:tcBorders>
              <w:top w:val="nil"/>
              <w:left w:val="nil"/>
              <w:bottom w:val="nil"/>
              <w:right w:val="nil"/>
            </w:tcBorders>
            <w:vAlign w:val="center"/>
            <w:hideMark/>
          </w:tcPr>
          <w:p w14:paraId="5A798C8F"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Pan + Varredura + Malaise</w:t>
            </w:r>
          </w:p>
        </w:tc>
        <w:tc>
          <w:tcPr>
            <w:tcW w:w="1227" w:type="dxa"/>
            <w:tcBorders>
              <w:top w:val="nil"/>
              <w:left w:val="nil"/>
              <w:bottom w:val="nil"/>
              <w:right w:val="nil"/>
            </w:tcBorders>
            <w:noWrap/>
            <w:vAlign w:val="center"/>
            <w:hideMark/>
          </w:tcPr>
          <w:p w14:paraId="0412322E"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5581</w:t>
            </w:r>
          </w:p>
        </w:tc>
        <w:tc>
          <w:tcPr>
            <w:tcW w:w="1433" w:type="dxa"/>
            <w:tcBorders>
              <w:top w:val="nil"/>
              <w:left w:val="nil"/>
              <w:bottom w:val="nil"/>
              <w:right w:val="nil"/>
            </w:tcBorders>
            <w:noWrap/>
            <w:vAlign w:val="center"/>
            <w:hideMark/>
          </w:tcPr>
          <w:p w14:paraId="491BB539"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42</w:t>
            </w:r>
          </w:p>
        </w:tc>
        <w:tc>
          <w:tcPr>
            <w:tcW w:w="2174" w:type="dxa"/>
            <w:tcBorders>
              <w:top w:val="nil"/>
              <w:left w:val="nil"/>
              <w:bottom w:val="nil"/>
              <w:right w:val="nil"/>
            </w:tcBorders>
            <w:noWrap/>
            <w:vAlign w:val="center"/>
            <w:hideMark/>
          </w:tcPr>
          <w:p w14:paraId="4704337C"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w:t>
            </w:r>
          </w:p>
        </w:tc>
        <w:tc>
          <w:tcPr>
            <w:tcW w:w="1868" w:type="dxa"/>
            <w:tcBorders>
              <w:top w:val="nil"/>
              <w:left w:val="nil"/>
              <w:bottom w:val="nil"/>
              <w:right w:val="nil"/>
            </w:tcBorders>
            <w:noWrap/>
            <w:vAlign w:val="center"/>
            <w:hideMark/>
          </w:tcPr>
          <w:p w14:paraId="0737E57B"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w:t>
            </w:r>
          </w:p>
        </w:tc>
      </w:tr>
      <w:tr w:rsidR="0003655A" w:rsidRPr="00536AA6" w14:paraId="512C1A34" w14:textId="77777777" w:rsidTr="00725FAA">
        <w:trPr>
          <w:trHeight w:val="906"/>
          <w:jc w:val="center"/>
        </w:trPr>
        <w:tc>
          <w:tcPr>
            <w:tcW w:w="796" w:type="dxa"/>
            <w:tcBorders>
              <w:top w:val="nil"/>
              <w:left w:val="nil"/>
              <w:right w:val="nil"/>
            </w:tcBorders>
            <w:vAlign w:val="center"/>
            <w:hideMark/>
          </w:tcPr>
          <w:p w14:paraId="5E6D9D0C"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2016</w:t>
            </w:r>
          </w:p>
        </w:tc>
        <w:tc>
          <w:tcPr>
            <w:tcW w:w="1568" w:type="dxa"/>
            <w:tcBorders>
              <w:top w:val="nil"/>
              <w:left w:val="nil"/>
              <w:right w:val="nil"/>
            </w:tcBorders>
            <w:vAlign w:val="center"/>
            <w:hideMark/>
          </w:tcPr>
          <w:p w14:paraId="2E2EC4A1"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Pan + Varredura + Malaise</w:t>
            </w:r>
          </w:p>
        </w:tc>
        <w:tc>
          <w:tcPr>
            <w:tcW w:w="1227" w:type="dxa"/>
            <w:tcBorders>
              <w:top w:val="nil"/>
              <w:left w:val="nil"/>
              <w:right w:val="nil"/>
            </w:tcBorders>
            <w:noWrap/>
            <w:vAlign w:val="center"/>
            <w:hideMark/>
          </w:tcPr>
          <w:p w14:paraId="533A2436"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4643</w:t>
            </w:r>
          </w:p>
        </w:tc>
        <w:tc>
          <w:tcPr>
            <w:tcW w:w="1433" w:type="dxa"/>
            <w:tcBorders>
              <w:top w:val="nil"/>
              <w:left w:val="nil"/>
              <w:right w:val="nil"/>
            </w:tcBorders>
            <w:noWrap/>
            <w:vAlign w:val="center"/>
            <w:hideMark/>
          </w:tcPr>
          <w:p w14:paraId="788C0FA5"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34</w:t>
            </w:r>
          </w:p>
        </w:tc>
        <w:tc>
          <w:tcPr>
            <w:tcW w:w="2174" w:type="dxa"/>
            <w:tcBorders>
              <w:top w:val="nil"/>
              <w:left w:val="nil"/>
              <w:right w:val="nil"/>
            </w:tcBorders>
            <w:noWrap/>
            <w:vAlign w:val="center"/>
            <w:hideMark/>
          </w:tcPr>
          <w:p w14:paraId="30411997"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-17</w:t>
            </w:r>
          </w:p>
        </w:tc>
        <w:tc>
          <w:tcPr>
            <w:tcW w:w="1868" w:type="dxa"/>
            <w:tcBorders>
              <w:top w:val="nil"/>
              <w:left w:val="nil"/>
              <w:right w:val="nil"/>
            </w:tcBorders>
            <w:noWrap/>
            <w:vAlign w:val="center"/>
            <w:hideMark/>
          </w:tcPr>
          <w:p w14:paraId="4C7F7804"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-19</w:t>
            </w:r>
          </w:p>
        </w:tc>
      </w:tr>
      <w:tr w:rsidR="0003655A" w:rsidRPr="00536AA6" w14:paraId="1BB8AB42" w14:textId="77777777" w:rsidTr="00725FAA">
        <w:trPr>
          <w:trHeight w:val="906"/>
          <w:jc w:val="center"/>
        </w:trPr>
        <w:tc>
          <w:tcPr>
            <w:tcW w:w="796" w:type="dxa"/>
            <w:tcBorders>
              <w:top w:val="nil"/>
              <w:left w:val="nil"/>
              <w:bottom w:val="single" w:sz="4" w:space="0" w:color="auto"/>
              <w:right w:val="nil"/>
            </w:tcBorders>
            <w:vAlign w:val="center"/>
            <w:hideMark/>
          </w:tcPr>
          <w:p w14:paraId="23F6142F"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2017</w:t>
            </w:r>
          </w:p>
        </w:tc>
        <w:tc>
          <w:tcPr>
            <w:tcW w:w="1568" w:type="dxa"/>
            <w:tcBorders>
              <w:top w:val="nil"/>
              <w:left w:val="nil"/>
              <w:bottom w:val="single" w:sz="4" w:space="0" w:color="auto"/>
              <w:right w:val="nil"/>
            </w:tcBorders>
            <w:vAlign w:val="center"/>
            <w:hideMark/>
          </w:tcPr>
          <w:p w14:paraId="32711A01"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Pan + Varredura + Malaise</w:t>
            </w:r>
          </w:p>
        </w:tc>
        <w:tc>
          <w:tcPr>
            <w:tcW w:w="1227" w:type="dxa"/>
            <w:tcBorders>
              <w:top w:val="nil"/>
              <w:left w:val="nil"/>
              <w:bottom w:val="single" w:sz="4" w:space="0" w:color="auto"/>
              <w:right w:val="nil"/>
            </w:tcBorders>
            <w:noWrap/>
            <w:vAlign w:val="center"/>
            <w:hideMark/>
          </w:tcPr>
          <w:p w14:paraId="37FF646B"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3230</w:t>
            </w:r>
          </w:p>
        </w:tc>
        <w:tc>
          <w:tcPr>
            <w:tcW w:w="1433" w:type="dxa"/>
            <w:tcBorders>
              <w:top w:val="nil"/>
              <w:left w:val="nil"/>
              <w:bottom w:val="single" w:sz="4" w:space="0" w:color="auto"/>
              <w:right w:val="nil"/>
            </w:tcBorders>
            <w:noWrap/>
            <w:vAlign w:val="center"/>
            <w:hideMark/>
          </w:tcPr>
          <w:p w14:paraId="5BBC1E5B"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37</w:t>
            </w:r>
          </w:p>
        </w:tc>
        <w:tc>
          <w:tcPr>
            <w:tcW w:w="2174" w:type="dxa"/>
            <w:tcBorders>
              <w:top w:val="nil"/>
              <w:left w:val="nil"/>
              <w:bottom w:val="single" w:sz="4" w:space="0" w:color="auto"/>
              <w:right w:val="nil"/>
            </w:tcBorders>
            <w:noWrap/>
            <w:vAlign w:val="center"/>
            <w:hideMark/>
          </w:tcPr>
          <w:p w14:paraId="5AE57FD2"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-42</w:t>
            </w:r>
          </w:p>
        </w:tc>
        <w:tc>
          <w:tcPr>
            <w:tcW w:w="1868" w:type="dxa"/>
            <w:tcBorders>
              <w:top w:val="nil"/>
              <w:left w:val="nil"/>
              <w:bottom w:val="single" w:sz="4" w:space="0" w:color="auto"/>
              <w:right w:val="nil"/>
            </w:tcBorders>
            <w:noWrap/>
            <w:vAlign w:val="center"/>
            <w:hideMark/>
          </w:tcPr>
          <w:p w14:paraId="3165714F" w14:textId="77777777" w:rsidR="0003655A" w:rsidRPr="00536AA6" w:rsidRDefault="0003655A" w:rsidP="00725FAA">
            <w:pPr>
              <w:jc w:val="center"/>
              <w:rPr>
                <w:rFonts w:ascii="Calibri" w:hAnsi="Calibri" w:cs="Calibri"/>
                <w:color w:val="000000"/>
                <w:lang w:eastAsia="pt-BR"/>
              </w:rPr>
            </w:pPr>
            <w:r w:rsidRPr="00536AA6">
              <w:rPr>
                <w:rFonts w:ascii="Calibri" w:hAnsi="Calibri" w:cs="Calibri"/>
                <w:color w:val="000000"/>
                <w:lang w:eastAsia="pt-BR"/>
              </w:rPr>
              <w:t>-12</w:t>
            </w:r>
          </w:p>
        </w:tc>
      </w:tr>
    </w:tbl>
    <w:p w14:paraId="19F71205" w14:textId="6C1A70C7" w:rsidR="00C366BE" w:rsidRDefault="00C366BE" w:rsidP="00C366BE">
      <w:pPr>
        <w:spacing w:line="360" w:lineRule="auto"/>
        <w:ind w:firstLine="708"/>
        <w:jc w:val="both"/>
        <w:rPr>
          <w:color w:val="000000" w:themeColor="text1"/>
          <w:sz w:val="24"/>
          <w:szCs w:val="24"/>
          <w:lang w:eastAsia="pt-BR"/>
        </w:rPr>
      </w:pPr>
      <w:r>
        <w:rPr>
          <w:color w:val="000000" w:themeColor="text1"/>
          <w:sz w:val="24"/>
          <w:szCs w:val="24"/>
          <w:lang w:eastAsia="pt-BR"/>
        </w:rPr>
        <w:t xml:space="preserve">Independente do conjunto de métodos empregados, os dados são consistentes e mostram uma queda na abundância de 43% quando se compara a soma de insetos amostrados com </w:t>
      </w:r>
      <w:r w:rsidRPr="00E8242F">
        <w:rPr>
          <w:i/>
          <w:iCs/>
          <w:color w:val="000000" w:themeColor="text1"/>
          <w:sz w:val="24"/>
          <w:szCs w:val="24"/>
          <w:lang w:eastAsia="pt-BR"/>
        </w:rPr>
        <w:t xml:space="preserve">Pan </w:t>
      </w:r>
      <w:r w:rsidRPr="00E8242F">
        <w:rPr>
          <w:i/>
          <w:iCs/>
          <w:color w:val="000000" w:themeColor="text1"/>
          <w:sz w:val="24"/>
          <w:szCs w:val="24"/>
          <w:lang w:eastAsia="pt-BR"/>
        </w:rPr>
        <w:lastRenderedPageBreak/>
        <w:t>traps</w:t>
      </w:r>
      <w:r>
        <w:rPr>
          <w:color w:val="000000" w:themeColor="text1"/>
          <w:sz w:val="24"/>
          <w:szCs w:val="24"/>
          <w:lang w:eastAsia="pt-BR"/>
        </w:rPr>
        <w:t xml:space="preserve"> e varredura em sete anos (2012 e 2019) e queda de 42% quando se leva em conta a</w:t>
      </w:r>
      <w:r w:rsidR="00A73146">
        <w:rPr>
          <w:color w:val="000000" w:themeColor="text1"/>
          <w:sz w:val="24"/>
          <w:szCs w:val="24"/>
          <w:lang w:eastAsia="pt-BR"/>
        </w:rPr>
        <w:t xml:space="preserve">s técnicas anteriores </w:t>
      </w:r>
      <w:r w:rsidR="0003655A">
        <w:rPr>
          <w:color w:val="000000" w:themeColor="text1"/>
          <w:sz w:val="24"/>
          <w:szCs w:val="24"/>
          <w:lang w:eastAsia="pt-BR"/>
        </w:rPr>
        <w:t xml:space="preserve">mais </w:t>
      </w:r>
      <w:r w:rsidR="00A73146">
        <w:rPr>
          <w:color w:val="000000" w:themeColor="text1"/>
          <w:sz w:val="24"/>
          <w:szCs w:val="24"/>
          <w:lang w:eastAsia="pt-BR"/>
        </w:rPr>
        <w:t>os dados de</w:t>
      </w:r>
      <w:r>
        <w:rPr>
          <w:color w:val="000000" w:themeColor="text1"/>
          <w:sz w:val="24"/>
          <w:szCs w:val="24"/>
          <w:lang w:eastAsia="pt-BR"/>
        </w:rPr>
        <w:t xml:space="preserve"> armadilha Malaise entre 2012 e 2017.</w:t>
      </w:r>
    </w:p>
    <w:p w14:paraId="73D89243" w14:textId="6F0A49A1" w:rsidR="001D797A" w:rsidRDefault="001D797A" w:rsidP="001D797A">
      <w:pPr>
        <w:spacing w:line="360" w:lineRule="auto"/>
        <w:ind w:firstLine="708"/>
        <w:jc w:val="both"/>
        <w:rPr>
          <w:sz w:val="24"/>
          <w:szCs w:val="24"/>
        </w:rPr>
      </w:pPr>
      <w:r>
        <w:rPr>
          <w:sz w:val="24"/>
          <w:szCs w:val="24"/>
        </w:rPr>
        <w:t xml:space="preserve">Os </w:t>
      </w:r>
      <w:r w:rsidR="0003655A">
        <w:rPr>
          <w:sz w:val="24"/>
          <w:szCs w:val="24"/>
        </w:rPr>
        <w:t>resultados</w:t>
      </w:r>
      <w:r>
        <w:rPr>
          <w:sz w:val="24"/>
          <w:szCs w:val="24"/>
        </w:rPr>
        <w:t xml:space="preserve"> são congruentes com estudos que apontam para a redução, seja da biomassa ou da abundância e riqueza de espécies (</w:t>
      </w:r>
      <w:r w:rsidRPr="002C5C7B">
        <w:rPr>
          <w:sz w:val="24"/>
          <w:szCs w:val="24"/>
        </w:rPr>
        <w:t xml:space="preserve">Hallmann </w:t>
      </w:r>
      <w:r w:rsidRPr="00C152A5">
        <w:rPr>
          <w:i/>
          <w:iCs/>
          <w:sz w:val="24"/>
          <w:szCs w:val="24"/>
        </w:rPr>
        <w:t>et al</w:t>
      </w:r>
      <w:r w:rsidRPr="002C5C7B">
        <w:rPr>
          <w:sz w:val="24"/>
          <w:szCs w:val="24"/>
        </w:rPr>
        <w:t>.</w:t>
      </w:r>
      <w:r>
        <w:rPr>
          <w:sz w:val="24"/>
          <w:szCs w:val="24"/>
        </w:rPr>
        <w:t xml:space="preserve">, </w:t>
      </w:r>
      <w:r w:rsidRPr="002C5C7B">
        <w:rPr>
          <w:sz w:val="24"/>
          <w:szCs w:val="24"/>
        </w:rPr>
        <w:t>2017</w:t>
      </w:r>
      <w:r>
        <w:rPr>
          <w:sz w:val="24"/>
          <w:szCs w:val="24"/>
        </w:rPr>
        <w:t xml:space="preserve">; </w:t>
      </w:r>
      <w:r w:rsidRPr="002C5C7B">
        <w:rPr>
          <w:sz w:val="24"/>
          <w:szCs w:val="24"/>
        </w:rPr>
        <w:t>Seibold</w:t>
      </w:r>
      <w:r>
        <w:rPr>
          <w:sz w:val="24"/>
          <w:szCs w:val="24"/>
        </w:rPr>
        <w:t xml:space="preserve"> </w:t>
      </w:r>
      <w:r w:rsidRPr="00C152A5">
        <w:rPr>
          <w:i/>
          <w:iCs/>
          <w:sz w:val="24"/>
          <w:szCs w:val="24"/>
        </w:rPr>
        <w:t>et al</w:t>
      </w:r>
      <w:r>
        <w:rPr>
          <w:sz w:val="24"/>
          <w:szCs w:val="24"/>
        </w:rPr>
        <w:t>., 2019</w:t>
      </w:r>
      <w:r w:rsidRPr="002C5C7B">
        <w:rPr>
          <w:sz w:val="24"/>
          <w:szCs w:val="24"/>
        </w:rPr>
        <w:t>)</w:t>
      </w:r>
      <w:r>
        <w:rPr>
          <w:sz w:val="24"/>
          <w:szCs w:val="24"/>
        </w:rPr>
        <w:t>.</w:t>
      </w:r>
    </w:p>
    <w:p w14:paraId="5670191D" w14:textId="6E332313" w:rsidR="001D797A" w:rsidRDefault="001D797A" w:rsidP="001D797A">
      <w:pPr>
        <w:spacing w:line="360" w:lineRule="auto"/>
        <w:ind w:firstLine="709"/>
        <w:jc w:val="both"/>
        <w:rPr>
          <w:sz w:val="24"/>
          <w:szCs w:val="24"/>
        </w:rPr>
      </w:pPr>
      <w:r>
        <w:rPr>
          <w:sz w:val="24"/>
          <w:szCs w:val="24"/>
        </w:rPr>
        <w:t xml:space="preserve">Em termos de famílias, é importante relatar que na superfamília que compreende as abelhas e vespas apoideas tivemos uma redução </w:t>
      </w:r>
      <w:r w:rsidR="0003655A">
        <w:rPr>
          <w:sz w:val="24"/>
          <w:szCs w:val="24"/>
        </w:rPr>
        <w:t xml:space="preserve">na abundância </w:t>
      </w:r>
      <w:r>
        <w:rPr>
          <w:sz w:val="24"/>
          <w:szCs w:val="24"/>
        </w:rPr>
        <w:t xml:space="preserve">de 69% em Apidae (de 217 para 66 indivíduos) e 78% em Crabronidae (de 140 para 31) entre 2012 e 2017 somando-se os três métodos de coleta. As abelhas são importantes polinizadoras e a perda de funções ecológicas é uma das principais preocupações entre os especialistas (Cardoso </w:t>
      </w:r>
      <w:r w:rsidRPr="00C152A5">
        <w:rPr>
          <w:i/>
          <w:iCs/>
          <w:sz w:val="24"/>
          <w:szCs w:val="24"/>
        </w:rPr>
        <w:t>et al</w:t>
      </w:r>
      <w:r>
        <w:rPr>
          <w:sz w:val="24"/>
          <w:szCs w:val="24"/>
        </w:rPr>
        <w:t>., 2020).</w:t>
      </w:r>
    </w:p>
    <w:p w14:paraId="1062DD1F" w14:textId="77777777" w:rsidR="001D797A" w:rsidRDefault="001D797A" w:rsidP="0003655A">
      <w:pPr>
        <w:spacing w:line="360" w:lineRule="auto"/>
        <w:ind w:firstLine="709"/>
        <w:jc w:val="both"/>
        <w:rPr>
          <w:sz w:val="24"/>
          <w:szCs w:val="24"/>
        </w:rPr>
      </w:pPr>
      <w:r>
        <w:rPr>
          <w:sz w:val="24"/>
          <w:szCs w:val="24"/>
        </w:rPr>
        <w:t>As formigas, componente abundante e importantes “engenheiras” dos ecossistemas também apresentaram uma queda expressiva na abundância, de 3484 indivíduos em 2012 para 1187 em 2017, queda de 66% no período, considerando os três métodos de amostragem. Mesmo panorama quando observamos as vespas parasíticas da superfamília Ichneumonoidea, importantes na regulação da população de outros artrópodes, com queda de 36% entre os Braconidae e 60% entre os Ichneumonidae.</w:t>
      </w:r>
    </w:p>
    <w:p w14:paraId="5236712A" w14:textId="58C1B3EB" w:rsidR="00C366BE" w:rsidRDefault="00C366BE" w:rsidP="00C366BE">
      <w:pPr>
        <w:spacing w:line="360" w:lineRule="auto"/>
        <w:ind w:firstLine="709"/>
        <w:jc w:val="both"/>
        <w:rPr>
          <w:sz w:val="24"/>
          <w:szCs w:val="24"/>
        </w:rPr>
      </w:pPr>
      <w:r>
        <w:rPr>
          <w:sz w:val="24"/>
          <w:szCs w:val="24"/>
        </w:rPr>
        <w:t xml:space="preserve">Apesar da redução generalizada na abundância, os números para algumas famílias apresentam comportamento oposto, demonstrando que o declínio não é uniforme entre as famílias, </w:t>
      </w:r>
      <w:r w:rsidRPr="00937236">
        <w:rPr>
          <w:sz w:val="24"/>
          <w:szCs w:val="24"/>
        </w:rPr>
        <w:t xml:space="preserve">reforçando exatamente o que Didham </w:t>
      </w:r>
      <w:r w:rsidR="00C152A5" w:rsidRPr="00C152A5">
        <w:rPr>
          <w:i/>
          <w:iCs/>
          <w:sz w:val="24"/>
          <w:szCs w:val="24"/>
        </w:rPr>
        <w:t>et al</w:t>
      </w:r>
      <w:r w:rsidRPr="00937236">
        <w:rPr>
          <w:sz w:val="24"/>
          <w:szCs w:val="24"/>
        </w:rPr>
        <w:t>. (2020) discutem: diferentes grupos respondem de maneiras distintas aos estressores ambientais.</w:t>
      </w:r>
      <w:r>
        <w:rPr>
          <w:sz w:val="24"/>
          <w:szCs w:val="24"/>
        </w:rPr>
        <w:t xml:space="preserve"> É o caso, por exemplo, das microvespas das famílias Eupelmidae (aumento de 300%)</w:t>
      </w:r>
      <w:r w:rsidR="001A222A">
        <w:rPr>
          <w:sz w:val="24"/>
          <w:szCs w:val="24"/>
        </w:rPr>
        <w:t>,</w:t>
      </w:r>
      <w:r>
        <w:rPr>
          <w:sz w:val="24"/>
          <w:szCs w:val="24"/>
        </w:rPr>
        <w:t xml:space="preserve"> Eulophidae (aumento de 302%)</w:t>
      </w:r>
      <w:r w:rsidR="001A222A">
        <w:rPr>
          <w:sz w:val="24"/>
          <w:szCs w:val="24"/>
        </w:rPr>
        <w:t>,</w:t>
      </w:r>
      <w:r>
        <w:rPr>
          <w:sz w:val="24"/>
          <w:szCs w:val="24"/>
        </w:rPr>
        <w:t xml:space="preserve"> Bethylidae (aumento de 279%) e Scelionidae (aumento</w:t>
      </w:r>
      <w:r w:rsidR="001A222A">
        <w:rPr>
          <w:sz w:val="24"/>
          <w:szCs w:val="24"/>
        </w:rPr>
        <w:t xml:space="preserve"> de</w:t>
      </w:r>
      <w:r>
        <w:rPr>
          <w:sz w:val="24"/>
          <w:szCs w:val="24"/>
        </w:rPr>
        <w:t xml:space="preserve"> 648%).</w:t>
      </w:r>
    </w:p>
    <w:p w14:paraId="0DA0431C" w14:textId="53AEFA64" w:rsidR="00C366BE" w:rsidRDefault="00C366BE" w:rsidP="00C366BE">
      <w:pPr>
        <w:spacing w:line="360" w:lineRule="auto"/>
        <w:ind w:firstLine="709"/>
        <w:jc w:val="both"/>
        <w:rPr>
          <w:sz w:val="24"/>
          <w:szCs w:val="24"/>
        </w:rPr>
      </w:pPr>
      <w:r>
        <w:rPr>
          <w:sz w:val="24"/>
          <w:szCs w:val="24"/>
        </w:rPr>
        <w:t xml:space="preserve">Quanto à riqueza de famílias, ou seja, o número de famílias amostradas a cada ano, de maneira geral tivemos redução, porém proporcionalmente menor do que da abundância (Tabela 1). Se considerarmos todos os métodos de coleta, a redução de famílias varia entre 12 e 21%, perda de 5 a 7 famílias, o que é preocupante, porém congruente com a literatura que aponta para a redução das populações antes do desaparecimento de táxons (Cardoso </w:t>
      </w:r>
      <w:r w:rsidR="00C152A5" w:rsidRPr="00C152A5">
        <w:rPr>
          <w:i/>
          <w:iCs/>
          <w:sz w:val="24"/>
          <w:szCs w:val="24"/>
        </w:rPr>
        <w:t>et al</w:t>
      </w:r>
      <w:r>
        <w:rPr>
          <w:sz w:val="24"/>
          <w:szCs w:val="24"/>
        </w:rPr>
        <w:t>., 2020).</w:t>
      </w:r>
    </w:p>
    <w:p w14:paraId="583B3D65" w14:textId="77777777" w:rsidR="00C366BE" w:rsidRDefault="00C366BE" w:rsidP="00C366BE">
      <w:pPr>
        <w:spacing w:line="360" w:lineRule="auto"/>
        <w:ind w:firstLine="709"/>
        <w:jc w:val="both"/>
        <w:rPr>
          <w:sz w:val="24"/>
          <w:szCs w:val="24"/>
        </w:rPr>
      </w:pPr>
      <w:r>
        <w:rPr>
          <w:sz w:val="24"/>
          <w:szCs w:val="24"/>
        </w:rPr>
        <w:t xml:space="preserve">A redução da abundância e da riqueza de famílias de himenópteros registrados neste estudo não pode ser explicada apenas por um fator, </w:t>
      </w:r>
      <w:r w:rsidRPr="00636B9B">
        <w:rPr>
          <w:sz w:val="24"/>
          <w:szCs w:val="24"/>
        </w:rPr>
        <w:t>corrobora</w:t>
      </w:r>
      <w:r>
        <w:rPr>
          <w:sz w:val="24"/>
          <w:szCs w:val="24"/>
        </w:rPr>
        <w:t>ndo</w:t>
      </w:r>
      <w:r w:rsidRPr="00636B9B">
        <w:rPr>
          <w:sz w:val="24"/>
          <w:szCs w:val="24"/>
        </w:rPr>
        <w:t xml:space="preserve"> a hipótese de que alterações nas comunidades de insetos representam um fenômeno multifatorial ("</w:t>
      </w:r>
      <w:r w:rsidRPr="00636B9B">
        <w:rPr>
          <w:i/>
          <w:iCs/>
          <w:sz w:val="24"/>
          <w:szCs w:val="24"/>
        </w:rPr>
        <w:t>death by a thousand cuts</w:t>
      </w:r>
      <w:r w:rsidRPr="00636B9B">
        <w:rPr>
          <w:sz w:val="24"/>
          <w:szCs w:val="24"/>
        </w:rPr>
        <w:t>"), no qual diferentes pressões ambientais atuam simultaneamente sobre as populações.</w:t>
      </w:r>
      <w:r>
        <w:rPr>
          <w:sz w:val="24"/>
          <w:szCs w:val="24"/>
        </w:rPr>
        <w:t xml:space="preserve"> </w:t>
      </w:r>
      <w:r w:rsidRPr="002019DA">
        <w:rPr>
          <w:sz w:val="24"/>
          <w:szCs w:val="24"/>
        </w:rPr>
        <w:t>Entre os fatores potencialmente associados</w:t>
      </w:r>
      <w:r>
        <w:rPr>
          <w:sz w:val="24"/>
          <w:szCs w:val="24"/>
        </w:rPr>
        <w:t>, neste caso, estão a pressão de turismo presente na área, as queimadas que ocorreram em algumas ocasiões neste ambiente e o avanço da agricultura ao redor.</w:t>
      </w:r>
    </w:p>
    <w:p w14:paraId="77106C74" w14:textId="5DEA955A" w:rsidR="00E3782C" w:rsidRPr="005F70B0" w:rsidRDefault="00C366BE" w:rsidP="00C366BE">
      <w:pPr>
        <w:pStyle w:val="Corpodetexto"/>
        <w:spacing w:before="1" w:line="360" w:lineRule="auto"/>
        <w:ind w:firstLine="720"/>
        <w:jc w:val="both"/>
        <w:rPr>
          <w:sz w:val="24"/>
          <w:szCs w:val="24"/>
        </w:rPr>
      </w:pPr>
      <w:r w:rsidRPr="001F00E8">
        <w:rPr>
          <w:sz w:val="24"/>
          <w:szCs w:val="24"/>
        </w:rPr>
        <w:lastRenderedPageBreak/>
        <w:t xml:space="preserve">Embora o Cerrado seja reconhecido como um </w:t>
      </w:r>
      <w:r w:rsidRPr="001A222A">
        <w:rPr>
          <w:i/>
          <w:iCs/>
          <w:sz w:val="24"/>
          <w:szCs w:val="24"/>
        </w:rPr>
        <w:t>hotspot</w:t>
      </w:r>
      <w:r w:rsidRPr="001F00E8">
        <w:rPr>
          <w:sz w:val="24"/>
          <w:szCs w:val="24"/>
        </w:rPr>
        <w:t xml:space="preserve"> mundial de biodiversidade, séries temporais padronizadas para monitoramento da entomofauna permanecem escassas na região Neotropical, dificultando a compreensão dos processos de mudança das comunidades de insetos e o estabelecimento de estratégias de conservação baseadas em evidências (Duffus </w:t>
      </w:r>
      <w:r w:rsidR="00C152A5" w:rsidRPr="00C152A5">
        <w:rPr>
          <w:i/>
          <w:iCs/>
          <w:sz w:val="24"/>
          <w:szCs w:val="24"/>
        </w:rPr>
        <w:t>et al</w:t>
      </w:r>
      <w:r w:rsidRPr="001F00E8">
        <w:rPr>
          <w:sz w:val="24"/>
          <w:szCs w:val="24"/>
        </w:rPr>
        <w:t>., 2023)</w:t>
      </w:r>
      <w:r w:rsidRPr="000E6247">
        <w:rPr>
          <w:sz w:val="24"/>
          <w:szCs w:val="24"/>
        </w:rPr>
        <w:t xml:space="preserve">. </w:t>
      </w:r>
      <w:r>
        <w:rPr>
          <w:sz w:val="24"/>
          <w:szCs w:val="24"/>
        </w:rPr>
        <w:t>O estudo dos insetos na Trilha do Sol foi retomado em 2026 e espera</w:t>
      </w:r>
      <w:r w:rsidR="001A222A">
        <w:rPr>
          <w:sz w:val="24"/>
          <w:szCs w:val="24"/>
        </w:rPr>
        <w:t>-se</w:t>
      </w:r>
      <w:r>
        <w:rPr>
          <w:sz w:val="24"/>
          <w:szCs w:val="24"/>
        </w:rPr>
        <w:t xml:space="preserve"> poder ampliar a discussão em um futuro próximo, contribuindo com o monitoramento desta fauna e acumulando dados na intenção de melhor entender o fenômeno da mudança temporal da biodiversidade.</w:t>
      </w:r>
    </w:p>
    <w:p w14:paraId="021079D3" w14:textId="77777777" w:rsidR="00243512" w:rsidRPr="005F70B0" w:rsidRDefault="00243512" w:rsidP="00CD2650">
      <w:pPr>
        <w:pStyle w:val="Corpodetexto"/>
        <w:spacing w:line="360" w:lineRule="auto"/>
        <w:jc w:val="both"/>
        <w:rPr>
          <w:sz w:val="24"/>
          <w:szCs w:val="24"/>
        </w:rPr>
      </w:pPr>
    </w:p>
    <w:p w14:paraId="1C25DF7A" w14:textId="738FF30F" w:rsidR="00243512" w:rsidRPr="005F70B0" w:rsidRDefault="00243512" w:rsidP="009C4B75">
      <w:pPr>
        <w:pStyle w:val="Corpodetexto"/>
        <w:spacing w:line="360" w:lineRule="auto"/>
        <w:jc w:val="both"/>
        <w:rPr>
          <w:b/>
          <w:bCs/>
          <w:sz w:val="28"/>
          <w:szCs w:val="28"/>
        </w:rPr>
      </w:pPr>
      <w:r w:rsidRPr="005F70B0">
        <w:rPr>
          <w:b/>
          <w:bCs/>
          <w:sz w:val="28"/>
          <w:szCs w:val="28"/>
        </w:rPr>
        <w:t>Considerações Finais</w:t>
      </w:r>
    </w:p>
    <w:p w14:paraId="2BB2CAFC" w14:textId="77777777" w:rsidR="00CD2650" w:rsidRDefault="00CD2650" w:rsidP="00CD2650">
      <w:pPr>
        <w:spacing w:line="360" w:lineRule="auto"/>
        <w:ind w:firstLine="709"/>
        <w:jc w:val="both"/>
        <w:rPr>
          <w:sz w:val="24"/>
          <w:szCs w:val="24"/>
        </w:rPr>
      </w:pPr>
      <w:r>
        <w:rPr>
          <w:sz w:val="24"/>
          <w:szCs w:val="24"/>
        </w:rPr>
        <w:t>Os achados neste estudo evidenciaram uma redução consistente de mais de 40% na abundância e de aproximadamente 20% na riqueza de famílias de himenópteros entre os anos de 2012 e 2019 independente do conjunto de métodos utilizados, indicando uma tendência temporal de declínio da comunidade estudada e que essas alterações s</w:t>
      </w:r>
      <w:r w:rsidRPr="006A0AB4">
        <w:rPr>
          <w:sz w:val="24"/>
          <w:szCs w:val="24"/>
        </w:rPr>
        <w:t>ão compatíveis com a hipótese de que reduções populacionais possam anteceder perdas taxonômicas</w:t>
      </w:r>
      <w:r>
        <w:rPr>
          <w:sz w:val="24"/>
          <w:szCs w:val="24"/>
        </w:rPr>
        <w:t xml:space="preserve"> e funcionais</w:t>
      </w:r>
      <w:r w:rsidRPr="006A0AB4">
        <w:rPr>
          <w:sz w:val="24"/>
          <w:szCs w:val="24"/>
        </w:rPr>
        <w:t xml:space="preserve"> mais expressivas</w:t>
      </w:r>
      <w:r>
        <w:rPr>
          <w:sz w:val="24"/>
          <w:szCs w:val="24"/>
        </w:rPr>
        <w:t>.</w:t>
      </w:r>
    </w:p>
    <w:p w14:paraId="0521FF9E" w14:textId="77777777" w:rsidR="00CD2650" w:rsidRDefault="00CD2650" w:rsidP="00CD2650">
      <w:pPr>
        <w:spacing w:line="360" w:lineRule="auto"/>
        <w:ind w:firstLine="709"/>
        <w:jc w:val="both"/>
        <w:rPr>
          <w:sz w:val="24"/>
          <w:szCs w:val="24"/>
        </w:rPr>
      </w:pPr>
      <w:r>
        <w:rPr>
          <w:sz w:val="24"/>
          <w:szCs w:val="24"/>
        </w:rPr>
        <w:t xml:space="preserve">Apesar de estar limitado a um único remanescente de Cerrado em Minas Gerais, este estudo contribui para suprir a necessidade de séries temporais padronizadas e </w:t>
      </w:r>
      <w:r w:rsidRPr="000E6247">
        <w:rPr>
          <w:sz w:val="24"/>
          <w:szCs w:val="24"/>
        </w:rPr>
        <w:t xml:space="preserve">representa uma importante contribuição para o conhecimento da biodiversidade regional </w:t>
      </w:r>
      <w:r>
        <w:rPr>
          <w:sz w:val="24"/>
          <w:szCs w:val="24"/>
        </w:rPr>
        <w:t>podendo</w:t>
      </w:r>
      <w:r w:rsidRPr="000E6247">
        <w:rPr>
          <w:sz w:val="24"/>
          <w:szCs w:val="24"/>
        </w:rPr>
        <w:t xml:space="preserve"> servir como referência para futuros programas de monitoramento e conservação.</w:t>
      </w:r>
    </w:p>
    <w:p w14:paraId="1459CD48" w14:textId="77777777" w:rsidR="009C4B75" w:rsidRPr="005F70B0" w:rsidRDefault="009C4B75" w:rsidP="009C4B75">
      <w:pPr>
        <w:pStyle w:val="Corpodetexto"/>
        <w:spacing w:line="360" w:lineRule="auto"/>
        <w:ind w:firstLine="720"/>
        <w:jc w:val="both"/>
        <w:rPr>
          <w:sz w:val="24"/>
          <w:szCs w:val="24"/>
        </w:rPr>
      </w:pPr>
    </w:p>
    <w:p w14:paraId="58B32154" w14:textId="3AF5B758" w:rsidR="00624629" w:rsidRPr="005F70B0" w:rsidRDefault="00624629" w:rsidP="009C4B75">
      <w:pPr>
        <w:pStyle w:val="Corpodetexto"/>
        <w:spacing w:line="360" w:lineRule="auto"/>
        <w:jc w:val="both"/>
        <w:rPr>
          <w:b/>
          <w:bCs/>
          <w:sz w:val="28"/>
          <w:szCs w:val="28"/>
        </w:rPr>
      </w:pPr>
      <w:r w:rsidRPr="005F70B0">
        <w:rPr>
          <w:b/>
          <w:bCs/>
          <w:sz w:val="28"/>
          <w:szCs w:val="28"/>
        </w:rPr>
        <w:t>Agradecimentos</w:t>
      </w:r>
    </w:p>
    <w:p w14:paraId="731FE0DA" w14:textId="2778FB67" w:rsidR="005F70B0" w:rsidRDefault="00624629" w:rsidP="00095B33">
      <w:pPr>
        <w:pStyle w:val="Corpodetexto"/>
        <w:spacing w:line="360" w:lineRule="auto"/>
        <w:jc w:val="both"/>
        <w:rPr>
          <w:sz w:val="24"/>
          <w:szCs w:val="24"/>
        </w:rPr>
      </w:pPr>
      <w:r w:rsidRPr="005F70B0">
        <w:rPr>
          <w:sz w:val="24"/>
          <w:szCs w:val="24"/>
        </w:rPr>
        <w:tab/>
      </w:r>
      <w:r w:rsidR="00095B33">
        <w:rPr>
          <w:sz w:val="24"/>
          <w:szCs w:val="24"/>
        </w:rPr>
        <w:t>Agradecemos aos proprietários da Trilha do Sol pela parceria</w:t>
      </w:r>
      <w:r w:rsidR="0043442D">
        <w:rPr>
          <w:sz w:val="24"/>
          <w:szCs w:val="24"/>
        </w:rPr>
        <w:t>, a</w:t>
      </w:r>
      <w:r w:rsidR="00095B33">
        <w:rPr>
          <w:sz w:val="24"/>
          <w:szCs w:val="24"/>
        </w:rPr>
        <w:t>o</w:t>
      </w:r>
      <w:r w:rsidR="00CD2650" w:rsidRPr="00095B33">
        <w:rPr>
          <w:sz w:val="24"/>
          <w:szCs w:val="24"/>
        </w:rPr>
        <w:t xml:space="preserve"> </w:t>
      </w:r>
      <w:r w:rsidR="00095B33" w:rsidRPr="00095B33">
        <w:rPr>
          <w:sz w:val="24"/>
          <w:szCs w:val="24"/>
          <w:lang w:val="pt-BR"/>
        </w:rPr>
        <w:t xml:space="preserve">PIBIC/FAPEMIG/UEMG </w:t>
      </w:r>
      <w:r w:rsidR="00CD2650">
        <w:rPr>
          <w:sz w:val="24"/>
          <w:szCs w:val="24"/>
        </w:rPr>
        <w:t xml:space="preserve">pela bolsa concedida ao segundo autor e à FAPEMIG </w:t>
      </w:r>
      <w:r w:rsidR="00095B33" w:rsidRPr="00095B33">
        <w:rPr>
          <w:sz w:val="24"/>
          <w:szCs w:val="24"/>
        </w:rPr>
        <w:t>FCT-00058-25</w:t>
      </w:r>
      <w:r w:rsidR="00095B33">
        <w:rPr>
          <w:sz w:val="24"/>
          <w:szCs w:val="24"/>
        </w:rPr>
        <w:t xml:space="preserve"> </w:t>
      </w:r>
      <w:r w:rsidR="00CD2650">
        <w:rPr>
          <w:sz w:val="24"/>
          <w:szCs w:val="24"/>
        </w:rPr>
        <w:t xml:space="preserve">pela bolsa </w:t>
      </w:r>
      <w:r w:rsidR="00095B33">
        <w:rPr>
          <w:sz w:val="24"/>
          <w:szCs w:val="24"/>
        </w:rPr>
        <w:t>concedida a</w:t>
      </w:r>
      <w:r w:rsidR="00CD2650">
        <w:rPr>
          <w:sz w:val="24"/>
          <w:szCs w:val="24"/>
        </w:rPr>
        <w:t xml:space="preserve">o primeiro autor. </w:t>
      </w:r>
    </w:p>
    <w:p w14:paraId="29AC6C40" w14:textId="77777777" w:rsidR="009C4B75" w:rsidRDefault="009C4B75" w:rsidP="009C4B75">
      <w:pPr>
        <w:pStyle w:val="Corpodetexto"/>
        <w:spacing w:line="360" w:lineRule="auto"/>
        <w:jc w:val="both"/>
        <w:rPr>
          <w:sz w:val="24"/>
          <w:szCs w:val="24"/>
        </w:rPr>
      </w:pPr>
    </w:p>
    <w:p w14:paraId="46C53EB6" w14:textId="178C0EC9" w:rsidR="00624629" w:rsidRPr="005F70B0" w:rsidRDefault="00624629" w:rsidP="00624629">
      <w:pPr>
        <w:pStyle w:val="Corpodetexto"/>
        <w:spacing w:line="360" w:lineRule="auto"/>
        <w:jc w:val="both"/>
        <w:rPr>
          <w:sz w:val="24"/>
          <w:szCs w:val="24"/>
        </w:rPr>
      </w:pPr>
      <w:r w:rsidRPr="005F70B0">
        <w:rPr>
          <w:b/>
          <w:bCs/>
          <w:sz w:val="28"/>
          <w:szCs w:val="28"/>
        </w:rPr>
        <w:t>Referências</w:t>
      </w:r>
    </w:p>
    <w:p w14:paraId="6A8C3D0A" w14:textId="77777777" w:rsidR="000F2F25" w:rsidRDefault="000F2F25" w:rsidP="000F2F25">
      <w:pPr>
        <w:jc w:val="both"/>
        <w:rPr>
          <w:sz w:val="24"/>
          <w:szCs w:val="24"/>
        </w:rPr>
      </w:pPr>
      <w:r w:rsidRPr="007E125E">
        <w:rPr>
          <w:sz w:val="24"/>
          <w:szCs w:val="24"/>
        </w:rPr>
        <w:t>Blüthgen, N., Dicks, L.V., Forister, M.L. </w:t>
      </w:r>
      <w:r w:rsidRPr="007E125E">
        <w:rPr>
          <w:i/>
          <w:iCs/>
          <w:sz w:val="24"/>
          <w:szCs w:val="24"/>
        </w:rPr>
        <w:t>et al.</w:t>
      </w:r>
      <w:r w:rsidRPr="007E125E">
        <w:rPr>
          <w:sz w:val="24"/>
          <w:szCs w:val="24"/>
        </w:rPr>
        <w:t> Insect declines in the Anthropocene. </w:t>
      </w:r>
      <w:r w:rsidRPr="007E125E">
        <w:rPr>
          <w:i/>
          <w:iCs/>
          <w:sz w:val="24"/>
          <w:szCs w:val="24"/>
        </w:rPr>
        <w:t>Nat Rev Earth Environ</w:t>
      </w:r>
      <w:r w:rsidRPr="007E125E">
        <w:rPr>
          <w:sz w:val="24"/>
          <w:szCs w:val="24"/>
        </w:rPr>
        <w:t> </w:t>
      </w:r>
      <w:r w:rsidRPr="007E125E">
        <w:rPr>
          <w:b/>
          <w:bCs/>
          <w:sz w:val="24"/>
          <w:szCs w:val="24"/>
        </w:rPr>
        <w:t>4</w:t>
      </w:r>
      <w:r w:rsidRPr="007E125E">
        <w:rPr>
          <w:sz w:val="24"/>
          <w:szCs w:val="24"/>
        </w:rPr>
        <w:t xml:space="preserve">, 683–686 (2023). </w:t>
      </w:r>
      <w:hyperlink r:id="rId8" w:history="1">
        <w:r w:rsidRPr="0033729E">
          <w:rPr>
            <w:rStyle w:val="Hyperlink"/>
            <w:sz w:val="24"/>
            <w:szCs w:val="24"/>
          </w:rPr>
          <w:t>https://doi.org/10.1038/s43017-023-00478-x</w:t>
        </w:r>
      </w:hyperlink>
    </w:p>
    <w:p w14:paraId="661BED2A" w14:textId="77777777" w:rsidR="000F2F25" w:rsidRDefault="000F2F25" w:rsidP="006C3A02">
      <w:pPr>
        <w:pStyle w:val="Corpodetexto"/>
        <w:rPr>
          <w:sz w:val="24"/>
          <w:szCs w:val="24"/>
        </w:rPr>
      </w:pPr>
    </w:p>
    <w:p w14:paraId="19F9FE8D" w14:textId="63D7BA88" w:rsidR="000815CB" w:rsidRDefault="006C3A02" w:rsidP="006C3A02">
      <w:pPr>
        <w:pStyle w:val="Corpodetexto"/>
        <w:rPr>
          <w:sz w:val="24"/>
          <w:szCs w:val="24"/>
        </w:rPr>
      </w:pPr>
      <w:r w:rsidRPr="006C3A02">
        <w:rPr>
          <w:sz w:val="24"/>
          <w:szCs w:val="24"/>
        </w:rPr>
        <w:t xml:space="preserve">CARDOSO, P. </w:t>
      </w:r>
      <w:r w:rsidR="00C152A5" w:rsidRPr="00C152A5">
        <w:rPr>
          <w:i/>
          <w:iCs/>
          <w:sz w:val="24"/>
          <w:szCs w:val="24"/>
        </w:rPr>
        <w:t>et al</w:t>
      </w:r>
      <w:r w:rsidRPr="006C3A02">
        <w:rPr>
          <w:sz w:val="24"/>
          <w:szCs w:val="24"/>
        </w:rPr>
        <w:t xml:space="preserve">. Scientists' warning to humanity on insect extinctions. </w:t>
      </w:r>
      <w:r w:rsidRPr="006C3A02">
        <w:rPr>
          <w:i/>
          <w:iCs/>
          <w:sz w:val="24"/>
          <w:szCs w:val="24"/>
        </w:rPr>
        <w:t>Biological Conservation</w:t>
      </w:r>
      <w:r w:rsidRPr="006C3A02">
        <w:rPr>
          <w:sz w:val="24"/>
          <w:szCs w:val="24"/>
        </w:rPr>
        <w:t xml:space="preserve">, v. 242, 108426, 2020. DOI: </w:t>
      </w:r>
      <w:hyperlink r:id="rId9" w:tgtFrame="_new" w:history="1">
        <w:r w:rsidRPr="006C3A02">
          <w:rPr>
            <w:rStyle w:val="Hyperlink"/>
            <w:sz w:val="24"/>
            <w:szCs w:val="24"/>
          </w:rPr>
          <w:t>https://doi.org/10.1016/j.biocon.2020.108426</w:t>
        </w:r>
      </w:hyperlink>
      <w:r w:rsidRPr="006C3A02">
        <w:rPr>
          <w:sz w:val="24"/>
          <w:szCs w:val="24"/>
        </w:rPr>
        <w:t>.</w:t>
      </w:r>
    </w:p>
    <w:p w14:paraId="0C8AC841" w14:textId="77777777" w:rsidR="006C3A02" w:rsidRDefault="006C3A02" w:rsidP="006C3A02">
      <w:pPr>
        <w:pStyle w:val="Corpodetexto"/>
        <w:rPr>
          <w:sz w:val="24"/>
          <w:szCs w:val="24"/>
        </w:rPr>
      </w:pPr>
    </w:p>
    <w:p w14:paraId="435A0C1B" w14:textId="509D0928" w:rsidR="006C3A02" w:rsidRDefault="006C3A02" w:rsidP="006C3A02">
      <w:pPr>
        <w:pStyle w:val="Corpodetexto"/>
        <w:rPr>
          <w:sz w:val="24"/>
          <w:szCs w:val="24"/>
        </w:rPr>
      </w:pPr>
      <w:r w:rsidRPr="006C3A02">
        <w:rPr>
          <w:sz w:val="24"/>
          <w:szCs w:val="24"/>
        </w:rPr>
        <w:t xml:space="preserve">DIDHAM, R. K. </w:t>
      </w:r>
      <w:r w:rsidR="00C152A5" w:rsidRPr="00C152A5">
        <w:rPr>
          <w:i/>
          <w:iCs/>
          <w:sz w:val="24"/>
          <w:szCs w:val="24"/>
        </w:rPr>
        <w:t>et al</w:t>
      </w:r>
      <w:r w:rsidRPr="006C3A02">
        <w:rPr>
          <w:sz w:val="24"/>
          <w:szCs w:val="24"/>
        </w:rPr>
        <w:t xml:space="preserve">. Interpreting insect declines: seven challenges and a way forward. Insect Conservation and Diversity, v. 13, p. 103-114, 2020. DOI: </w:t>
      </w:r>
      <w:hyperlink r:id="rId10" w:history="1">
        <w:r w:rsidRPr="0033729E">
          <w:rPr>
            <w:rStyle w:val="Hyperlink"/>
            <w:sz w:val="24"/>
            <w:szCs w:val="24"/>
          </w:rPr>
          <w:t>https://doi.org/10.1111/icad.12408</w:t>
        </w:r>
      </w:hyperlink>
      <w:r w:rsidRPr="006C3A02">
        <w:rPr>
          <w:sz w:val="24"/>
          <w:szCs w:val="24"/>
        </w:rPr>
        <w:t>.</w:t>
      </w:r>
    </w:p>
    <w:p w14:paraId="4DDE760D" w14:textId="77777777" w:rsidR="006C3A02" w:rsidRDefault="006C3A02" w:rsidP="006C3A02">
      <w:pPr>
        <w:pStyle w:val="Corpodetexto"/>
        <w:rPr>
          <w:sz w:val="24"/>
          <w:szCs w:val="24"/>
        </w:rPr>
      </w:pPr>
    </w:p>
    <w:p w14:paraId="3D987FF7" w14:textId="31199E7C" w:rsidR="006C3A02" w:rsidRDefault="006C3A02" w:rsidP="006C3A02">
      <w:pPr>
        <w:pStyle w:val="Corpodetexto"/>
        <w:rPr>
          <w:sz w:val="24"/>
          <w:szCs w:val="24"/>
        </w:rPr>
      </w:pPr>
      <w:r w:rsidRPr="006C3A02">
        <w:rPr>
          <w:sz w:val="24"/>
          <w:szCs w:val="24"/>
        </w:rPr>
        <w:t xml:space="preserve">DUFFUS, N. E. </w:t>
      </w:r>
      <w:r w:rsidR="00C152A5" w:rsidRPr="00C152A5">
        <w:rPr>
          <w:i/>
          <w:iCs/>
          <w:sz w:val="24"/>
          <w:szCs w:val="24"/>
        </w:rPr>
        <w:t>et al</w:t>
      </w:r>
      <w:r w:rsidRPr="006C3A02">
        <w:rPr>
          <w:sz w:val="24"/>
          <w:szCs w:val="24"/>
        </w:rPr>
        <w:t xml:space="preserve">. The present and future of insect biodiversity conservation in the Neotropics: policy gaps and recommendations. </w:t>
      </w:r>
      <w:r w:rsidRPr="006C3A02">
        <w:rPr>
          <w:i/>
          <w:iCs/>
          <w:sz w:val="24"/>
          <w:szCs w:val="24"/>
        </w:rPr>
        <w:t>Neotropical Entomology</w:t>
      </w:r>
      <w:r w:rsidRPr="006C3A02">
        <w:rPr>
          <w:sz w:val="24"/>
          <w:szCs w:val="24"/>
        </w:rPr>
        <w:t xml:space="preserve">, 2023. DOI: </w:t>
      </w:r>
      <w:hyperlink r:id="rId11" w:tgtFrame="_new" w:history="1">
        <w:r w:rsidRPr="006C3A02">
          <w:rPr>
            <w:rStyle w:val="Hyperlink"/>
            <w:sz w:val="24"/>
            <w:szCs w:val="24"/>
          </w:rPr>
          <w:t>https://doi.org/10.1007/s13744-023-01031-7</w:t>
        </w:r>
      </w:hyperlink>
      <w:r w:rsidRPr="006C3A02">
        <w:rPr>
          <w:sz w:val="24"/>
          <w:szCs w:val="24"/>
        </w:rPr>
        <w:t>.</w:t>
      </w:r>
    </w:p>
    <w:p w14:paraId="68E1BBE2" w14:textId="77777777" w:rsidR="006C3A02" w:rsidRDefault="006C3A02" w:rsidP="006C3A02">
      <w:pPr>
        <w:pStyle w:val="Corpodetexto"/>
        <w:rPr>
          <w:sz w:val="24"/>
          <w:szCs w:val="24"/>
        </w:rPr>
      </w:pPr>
    </w:p>
    <w:p w14:paraId="3E082524" w14:textId="4C8A48C0" w:rsidR="006C3A02" w:rsidRDefault="006C3A02" w:rsidP="006C3A02">
      <w:pPr>
        <w:pStyle w:val="Corpodetexto"/>
        <w:rPr>
          <w:sz w:val="24"/>
          <w:szCs w:val="24"/>
        </w:rPr>
      </w:pPr>
      <w:r w:rsidRPr="006C3A02">
        <w:rPr>
          <w:sz w:val="24"/>
          <w:szCs w:val="24"/>
        </w:rPr>
        <w:t xml:space="preserve">FERNÁNDEZ, F.; SHARKEY, M. J. (eds.). </w:t>
      </w:r>
      <w:r w:rsidRPr="006C3A02">
        <w:rPr>
          <w:i/>
          <w:iCs/>
          <w:sz w:val="24"/>
          <w:szCs w:val="24"/>
        </w:rPr>
        <w:t>Introducción a los Hymenoptera de la región neotropical</w:t>
      </w:r>
      <w:r w:rsidRPr="006C3A02">
        <w:rPr>
          <w:sz w:val="24"/>
          <w:szCs w:val="24"/>
        </w:rPr>
        <w:t>. Bogotá: Sociedad Colombiana de Entomología; Universidad Nacional de Colombia, 2006. 893 p.</w:t>
      </w:r>
    </w:p>
    <w:p w14:paraId="50DBC8EF" w14:textId="77777777" w:rsidR="006C3A02" w:rsidRDefault="006C3A02" w:rsidP="006C3A02">
      <w:pPr>
        <w:pStyle w:val="Corpodetexto"/>
        <w:rPr>
          <w:sz w:val="24"/>
          <w:szCs w:val="24"/>
        </w:rPr>
      </w:pPr>
    </w:p>
    <w:p w14:paraId="75A5D7C6" w14:textId="75A5DD2E" w:rsidR="006C3A02" w:rsidRDefault="006C3A02" w:rsidP="006C3A02">
      <w:pPr>
        <w:pStyle w:val="Corpodetexto"/>
        <w:rPr>
          <w:sz w:val="24"/>
          <w:szCs w:val="24"/>
        </w:rPr>
      </w:pPr>
      <w:r w:rsidRPr="006C3A02">
        <w:rPr>
          <w:sz w:val="24"/>
          <w:szCs w:val="24"/>
        </w:rPr>
        <w:t xml:space="preserve">HALLMANN, C. A. </w:t>
      </w:r>
      <w:r w:rsidR="00C152A5" w:rsidRPr="00C152A5">
        <w:rPr>
          <w:i/>
          <w:iCs/>
          <w:sz w:val="24"/>
          <w:szCs w:val="24"/>
        </w:rPr>
        <w:t>et al</w:t>
      </w:r>
      <w:r w:rsidRPr="006C3A02">
        <w:rPr>
          <w:sz w:val="24"/>
          <w:szCs w:val="24"/>
        </w:rPr>
        <w:t xml:space="preserve">. More than 75 percent decline over 27 years in total flying insect biomass in protected areas. </w:t>
      </w:r>
      <w:r w:rsidRPr="006C3A02">
        <w:rPr>
          <w:i/>
          <w:iCs/>
          <w:sz w:val="24"/>
          <w:szCs w:val="24"/>
        </w:rPr>
        <w:t>PLOS ONE</w:t>
      </w:r>
      <w:r w:rsidRPr="006C3A02">
        <w:rPr>
          <w:sz w:val="24"/>
          <w:szCs w:val="24"/>
        </w:rPr>
        <w:t xml:space="preserve">, v. 12, n. 10, e0185809, 2017. DOI: </w:t>
      </w:r>
      <w:hyperlink r:id="rId12" w:tgtFrame="_new" w:history="1">
        <w:r w:rsidRPr="006C3A02">
          <w:rPr>
            <w:rStyle w:val="Hyperlink"/>
            <w:sz w:val="24"/>
            <w:szCs w:val="24"/>
          </w:rPr>
          <w:t>https://doi.org/10.1371/journal.pone.0185809</w:t>
        </w:r>
      </w:hyperlink>
      <w:r w:rsidRPr="006C3A02">
        <w:rPr>
          <w:sz w:val="24"/>
          <w:szCs w:val="24"/>
        </w:rPr>
        <w:t>.</w:t>
      </w:r>
    </w:p>
    <w:p w14:paraId="5DA739AE" w14:textId="77777777" w:rsidR="006C3A02" w:rsidRDefault="006C3A02" w:rsidP="006C3A02">
      <w:pPr>
        <w:pStyle w:val="Corpodetexto"/>
        <w:rPr>
          <w:sz w:val="24"/>
          <w:szCs w:val="24"/>
        </w:rPr>
      </w:pPr>
    </w:p>
    <w:p w14:paraId="450C2F86" w14:textId="1C37D53D" w:rsidR="006C3A02" w:rsidRDefault="006C3A02" w:rsidP="006C3A02">
      <w:pPr>
        <w:pStyle w:val="Corpodetexto"/>
        <w:rPr>
          <w:sz w:val="24"/>
          <w:szCs w:val="24"/>
        </w:rPr>
      </w:pPr>
      <w:r w:rsidRPr="006C3A02">
        <w:rPr>
          <w:sz w:val="24"/>
          <w:szCs w:val="24"/>
        </w:rPr>
        <w:t xml:space="preserve">MONTGOMERY, G. A. </w:t>
      </w:r>
      <w:r w:rsidR="00C152A5" w:rsidRPr="00C152A5">
        <w:rPr>
          <w:i/>
          <w:iCs/>
          <w:sz w:val="24"/>
          <w:szCs w:val="24"/>
        </w:rPr>
        <w:t>et al</w:t>
      </w:r>
      <w:r w:rsidRPr="006C3A02">
        <w:rPr>
          <w:sz w:val="24"/>
          <w:szCs w:val="24"/>
        </w:rPr>
        <w:t xml:space="preserve">. Is the insect apocalypse upon us? How to find out. </w:t>
      </w:r>
      <w:r w:rsidRPr="006C3A02">
        <w:rPr>
          <w:i/>
          <w:iCs/>
          <w:sz w:val="24"/>
          <w:szCs w:val="24"/>
        </w:rPr>
        <w:t>Biological Conservation</w:t>
      </w:r>
      <w:r w:rsidRPr="006C3A02">
        <w:rPr>
          <w:sz w:val="24"/>
          <w:szCs w:val="24"/>
        </w:rPr>
        <w:t xml:space="preserve">, v. 241, 108327, 2020. DOI: </w:t>
      </w:r>
      <w:hyperlink r:id="rId13" w:tgtFrame="_new" w:history="1">
        <w:r w:rsidRPr="006C3A02">
          <w:rPr>
            <w:rStyle w:val="Hyperlink"/>
            <w:sz w:val="24"/>
            <w:szCs w:val="24"/>
          </w:rPr>
          <w:t>https://doi.org/10.1016/j.biocon.2019.108327</w:t>
        </w:r>
      </w:hyperlink>
      <w:r w:rsidRPr="006C3A02">
        <w:rPr>
          <w:sz w:val="24"/>
          <w:szCs w:val="24"/>
        </w:rPr>
        <w:t>.</w:t>
      </w:r>
    </w:p>
    <w:p w14:paraId="5D16C6CD" w14:textId="77777777" w:rsidR="006C3A02" w:rsidRDefault="006C3A02" w:rsidP="006C3A02">
      <w:pPr>
        <w:pStyle w:val="Corpodetexto"/>
        <w:rPr>
          <w:sz w:val="24"/>
          <w:szCs w:val="24"/>
        </w:rPr>
      </w:pPr>
    </w:p>
    <w:p w14:paraId="153D70FE" w14:textId="7A5D9F29" w:rsidR="006C3A02" w:rsidRDefault="006C3A02" w:rsidP="006C3A02">
      <w:pPr>
        <w:pStyle w:val="Corpodetexto"/>
        <w:rPr>
          <w:sz w:val="24"/>
          <w:szCs w:val="24"/>
        </w:rPr>
      </w:pPr>
      <w:r w:rsidRPr="006C3A02">
        <w:rPr>
          <w:sz w:val="24"/>
          <w:szCs w:val="24"/>
        </w:rPr>
        <w:t xml:space="preserve">NORIEGA, J. A. </w:t>
      </w:r>
      <w:r w:rsidR="00C152A5" w:rsidRPr="00C152A5">
        <w:rPr>
          <w:i/>
          <w:iCs/>
          <w:sz w:val="24"/>
          <w:szCs w:val="24"/>
        </w:rPr>
        <w:t>et al</w:t>
      </w:r>
      <w:r w:rsidRPr="006C3A02">
        <w:rPr>
          <w:sz w:val="24"/>
          <w:szCs w:val="24"/>
        </w:rPr>
        <w:t xml:space="preserve">. Research trends in ecosystem services provided by insects. </w:t>
      </w:r>
      <w:r w:rsidRPr="006C3A02">
        <w:rPr>
          <w:i/>
          <w:iCs/>
          <w:sz w:val="24"/>
          <w:szCs w:val="24"/>
        </w:rPr>
        <w:t>Basic and Applied Ecology</w:t>
      </w:r>
      <w:r w:rsidRPr="006C3A02">
        <w:rPr>
          <w:sz w:val="24"/>
          <w:szCs w:val="24"/>
        </w:rPr>
        <w:t xml:space="preserve">, v. 26, p. 8-23, 2018. DOI: </w:t>
      </w:r>
      <w:hyperlink r:id="rId14" w:tgtFrame="_new" w:history="1">
        <w:r w:rsidRPr="006C3A02">
          <w:rPr>
            <w:rStyle w:val="Hyperlink"/>
            <w:sz w:val="24"/>
            <w:szCs w:val="24"/>
          </w:rPr>
          <w:t>https://doi.org/10.1016/j.baae.2017.09.006</w:t>
        </w:r>
      </w:hyperlink>
      <w:r w:rsidRPr="006C3A02">
        <w:rPr>
          <w:sz w:val="24"/>
          <w:szCs w:val="24"/>
        </w:rPr>
        <w:t>.</w:t>
      </w:r>
    </w:p>
    <w:p w14:paraId="10F6AE73" w14:textId="77777777" w:rsidR="006C3A02" w:rsidRDefault="006C3A02" w:rsidP="006C3A02">
      <w:pPr>
        <w:pStyle w:val="Corpodetexto"/>
        <w:rPr>
          <w:sz w:val="24"/>
          <w:szCs w:val="24"/>
        </w:rPr>
      </w:pPr>
    </w:p>
    <w:p w14:paraId="2710F1BF" w14:textId="254560B3" w:rsidR="006C3A02" w:rsidRDefault="006C3A02" w:rsidP="006C3A02">
      <w:pPr>
        <w:pStyle w:val="Corpodetexto"/>
        <w:rPr>
          <w:sz w:val="24"/>
          <w:szCs w:val="24"/>
        </w:rPr>
      </w:pPr>
      <w:r w:rsidRPr="006C3A02">
        <w:rPr>
          <w:sz w:val="24"/>
          <w:szCs w:val="24"/>
        </w:rPr>
        <w:t xml:space="preserve">POLASZEK, A.; VILHEMSEN, L. Biodiversity of hymenopteran parasitoids. </w:t>
      </w:r>
      <w:r w:rsidRPr="006C3A02">
        <w:rPr>
          <w:i/>
          <w:iCs/>
          <w:sz w:val="24"/>
          <w:szCs w:val="24"/>
        </w:rPr>
        <w:t>Current Opinion in Insect Science</w:t>
      </w:r>
      <w:r w:rsidRPr="006C3A02">
        <w:rPr>
          <w:sz w:val="24"/>
          <w:szCs w:val="24"/>
        </w:rPr>
        <w:t xml:space="preserve">, v. 56, 101026, 2023. DOI: </w:t>
      </w:r>
      <w:hyperlink r:id="rId15" w:tgtFrame="_new" w:history="1">
        <w:r w:rsidRPr="006C3A02">
          <w:rPr>
            <w:rStyle w:val="Hyperlink"/>
            <w:sz w:val="24"/>
            <w:szCs w:val="24"/>
          </w:rPr>
          <w:t>https://doi.org/10.1016/j.cois.2023.101026</w:t>
        </w:r>
      </w:hyperlink>
      <w:r w:rsidRPr="006C3A02">
        <w:rPr>
          <w:sz w:val="24"/>
          <w:szCs w:val="24"/>
        </w:rPr>
        <w:t>.</w:t>
      </w:r>
    </w:p>
    <w:p w14:paraId="2CDE113F" w14:textId="77777777" w:rsidR="006C3A02" w:rsidRDefault="006C3A02" w:rsidP="006C3A02">
      <w:pPr>
        <w:pStyle w:val="Corpodetexto"/>
        <w:rPr>
          <w:sz w:val="24"/>
          <w:szCs w:val="24"/>
        </w:rPr>
      </w:pPr>
    </w:p>
    <w:p w14:paraId="1A93A9DC" w14:textId="1A9EA1E2" w:rsidR="006C3A02" w:rsidRDefault="006C3A02" w:rsidP="006C3A02">
      <w:pPr>
        <w:pStyle w:val="Corpodetexto"/>
        <w:rPr>
          <w:sz w:val="24"/>
          <w:szCs w:val="24"/>
        </w:rPr>
      </w:pPr>
      <w:r w:rsidRPr="006C3A02">
        <w:rPr>
          <w:sz w:val="24"/>
          <w:szCs w:val="24"/>
        </w:rPr>
        <w:t xml:space="preserve">RAFAEL, J. A. </w:t>
      </w:r>
      <w:r w:rsidR="00C152A5" w:rsidRPr="00C152A5">
        <w:rPr>
          <w:i/>
          <w:iCs/>
          <w:sz w:val="24"/>
          <w:szCs w:val="24"/>
        </w:rPr>
        <w:t>et al</w:t>
      </w:r>
      <w:r w:rsidRPr="006C3A02">
        <w:rPr>
          <w:sz w:val="24"/>
          <w:szCs w:val="24"/>
        </w:rPr>
        <w:t xml:space="preserve">. </w:t>
      </w:r>
      <w:r w:rsidRPr="006C3A02">
        <w:rPr>
          <w:i/>
          <w:iCs/>
          <w:sz w:val="24"/>
          <w:szCs w:val="24"/>
        </w:rPr>
        <w:t>Insetos do Brasil: diversidade e taxonomia</w:t>
      </w:r>
      <w:r w:rsidRPr="006C3A02">
        <w:rPr>
          <w:sz w:val="24"/>
          <w:szCs w:val="24"/>
        </w:rPr>
        <w:t>. Ribeirão Preto: Editora INPA, 2024. 880 p.</w:t>
      </w:r>
    </w:p>
    <w:p w14:paraId="3B6E6113" w14:textId="77777777" w:rsidR="006C3A02" w:rsidRDefault="006C3A02" w:rsidP="006C3A02">
      <w:pPr>
        <w:pStyle w:val="Corpodetexto"/>
        <w:rPr>
          <w:sz w:val="24"/>
          <w:szCs w:val="24"/>
        </w:rPr>
      </w:pPr>
    </w:p>
    <w:p w14:paraId="4C5C0901" w14:textId="0AF6A7A9" w:rsidR="006C3A02" w:rsidRDefault="006C3A02" w:rsidP="006C3A02">
      <w:pPr>
        <w:pStyle w:val="Corpodetexto"/>
        <w:rPr>
          <w:sz w:val="24"/>
          <w:szCs w:val="24"/>
        </w:rPr>
      </w:pPr>
      <w:r w:rsidRPr="006C3A02">
        <w:rPr>
          <w:sz w:val="24"/>
          <w:szCs w:val="24"/>
        </w:rPr>
        <w:t xml:space="preserve">RAMOS, D. L. </w:t>
      </w:r>
      <w:r w:rsidR="00C152A5" w:rsidRPr="00C152A5">
        <w:rPr>
          <w:i/>
          <w:iCs/>
          <w:sz w:val="24"/>
          <w:szCs w:val="24"/>
        </w:rPr>
        <w:t>et al</w:t>
      </w:r>
      <w:r w:rsidRPr="006C3A02">
        <w:rPr>
          <w:sz w:val="24"/>
          <w:szCs w:val="24"/>
        </w:rPr>
        <w:t xml:space="preserve">. Ecosystem services provided by insects in Brazil: what do we really know? </w:t>
      </w:r>
      <w:r w:rsidRPr="006C3A02">
        <w:rPr>
          <w:i/>
          <w:iCs/>
          <w:sz w:val="24"/>
          <w:szCs w:val="24"/>
        </w:rPr>
        <w:t>Neotropical Entomology</w:t>
      </w:r>
      <w:r w:rsidRPr="006C3A02">
        <w:rPr>
          <w:sz w:val="24"/>
          <w:szCs w:val="24"/>
        </w:rPr>
        <w:t xml:space="preserve">, v. 49, n. 6, p. 783-794, 2020. DOI: </w:t>
      </w:r>
      <w:hyperlink r:id="rId16" w:history="1">
        <w:r w:rsidRPr="0033729E">
          <w:rPr>
            <w:rStyle w:val="Hyperlink"/>
            <w:sz w:val="24"/>
            <w:szCs w:val="24"/>
          </w:rPr>
          <w:t>https://doi.org/10.1007/s13744-020-00781-y</w:t>
        </w:r>
      </w:hyperlink>
      <w:r w:rsidRPr="006C3A02">
        <w:rPr>
          <w:sz w:val="24"/>
          <w:szCs w:val="24"/>
        </w:rPr>
        <w:t>.</w:t>
      </w:r>
    </w:p>
    <w:p w14:paraId="11029306" w14:textId="77777777" w:rsidR="006C3A02" w:rsidRDefault="006C3A02" w:rsidP="006C3A02">
      <w:pPr>
        <w:pStyle w:val="Corpodetexto"/>
        <w:rPr>
          <w:sz w:val="24"/>
          <w:szCs w:val="24"/>
        </w:rPr>
      </w:pPr>
    </w:p>
    <w:p w14:paraId="7C473C29" w14:textId="7E0272E4" w:rsidR="006C3A02" w:rsidRDefault="006C3A02" w:rsidP="006C3A02">
      <w:pPr>
        <w:pStyle w:val="Corpodetexto"/>
        <w:rPr>
          <w:sz w:val="24"/>
          <w:szCs w:val="24"/>
        </w:rPr>
      </w:pPr>
      <w:r w:rsidRPr="006C3A02">
        <w:rPr>
          <w:sz w:val="24"/>
          <w:szCs w:val="24"/>
        </w:rPr>
        <w:t xml:space="preserve">SÁNCHEZ-BAYO, F.; WYCKHUYS, K. A. G. Worldwide decline of the entomofauna: a review of its drivers. </w:t>
      </w:r>
      <w:r w:rsidRPr="006C3A02">
        <w:rPr>
          <w:i/>
          <w:iCs/>
          <w:sz w:val="24"/>
          <w:szCs w:val="24"/>
        </w:rPr>
        <w:t>Biological Conservation</w:t>
      </w:r>
      <w:r w:rsidRPr="006C3A02">
        <w:rPr>
          <w:sz w:val="24"/>
          <w:szCs w:val="24"/>
        </w:rPr>
        <w:t xml:space="preserve">, v. 232, p. 8-27, 2019. DOI: </w:t>
      </w:r>
      <w:hyperlink r:id="rId17" w:tgtFrame="_new" w:history="1">
        <w:r w:rsidRPr="006C3A02">
          <w:rPr>
            <w:rStyle w:val="Hyperlink"/>
            <w:sz w:val="24"/>
            <w:szCs w:val="24"/>
          </w:rPr>
          <w:t>https://doi.org/10.1016/j.biocon.2019.01.020</w:t>
        </w:r>
      </w:hyperlink>
      <w:r w:rsidRPr="006C3A02">
        <w:rPr>
          <w:sz w:val="24"/>
          <w:szCs w:val="24"/>
        </w:rPr>
        <w:t>.</w:t>
      </w:r>
    </w:p>
    <w:p w14:paraId="66341F0E" w14:textId="77777777" w:rsidR="006C3A02" w:rsidRDefault="006C3A02" w:rsidP="006C3A02">
      <w:pPr>
        <w:pStyle w:val="Corpodetexto"/>
        <w:rPr>
          <w:sz w:val="24"/>
          <w:szCs w:val="24"/>
        </w:rPr>
      </w:pPr>
    </w:p>
    <w:p w14:paraId="07A379DC" w14:textId="6A9D0C45" w:rsidR="006C3A02" w:rsidRDefault="006C3A02" w:rsidP="006C3A02">
      <w:pPr>
        <w:pStyle w:val="Corpodetexto"/>
        <w:rPr>
          <w:sz w:val="24"/>
          <w:szCs w:val="24"/>
        </w:rPr>
      </w:pPr>
      <w:r w:rsidRPr="006C3A02">
        <w:rPr>
          <w:sz w:val="24"/>
          <w:szCs w:val="24"/>
        </w:rPr>
        <w:t xml:space="preserve">SEIBOLD, S. </w:t>
      </w:r>
      <w:r w:rsidR="00C152A5" w:rsidRPr="00C152A5">
        <w:rPr>
          <w:i/>
          <w:iCs/>
          <w:sz w:val="24"/>
          <w:szCs w:val="24"/>
        </w:rPr>
        <w:t>et al</w:t>
      </w:r>
      <w:r w:rsidRPr="006C3A02">
        <w:rPr>
          <w:sz w:val="24"/>
          <w:szCs w:val="24"/>
        </w:rPr>
        <w:t xml:space="preserve">. Arthropod decline in grasslands and forests is associated with landscape-level drivers. </w:t>
      </w:r>
      <w:r w:rsidRPr="006C3A02">
        <w:rPr>
          <w:i/>
          <w:iCs/>
          <w:sz w:val="24"/>
          <w:szCs w:val="24"/>
        </w:rPr>
        <w:t>Nature</w:t>
      </w:r>
      <w:r w:rsidRPr="006C3A02">
        <w:rPr>
          <w:sz w:val="24"/>
          <w:szCs w:val="24"/>
        </w:rPr>
        <w:t xml:space="preserve">, v. 574, p. 671-674, 2019. DOI: </w:t>
      </w:r>
      <w:hyperlink r:id="rId18" w:tgtFrame="_new" w:history="1">
        <w:r w:rsidRPr="006C3A02">
          <w:rPr>
            <w:rStyle w:val="Hyperlink"/>
            <w:sz w:val="24"/>
            <w:szCs w:val="24"/>
          </w:rPr>
          <w:t>https://doi.org/10.1038/s41586-019-1684-3</w:t>
        </w:r>
      </w:hyperlink>
      <w:r w:rsidRPr="006C3A02">
        <w:rPr>
          <w:sz w:val="24"/>
          <w:szCs w:val="24"/>
        </w:rPr>
        <w:t>.</w:t>
      </w:r>
    </w:p>
    <w:p w14:paraId="2ADD5AD0" w14:textId="77777777" w:rsidR="006C3A02" w:rsidRDefault="006C3A02" w:rsidP="006C3A02">
      <w:pPr>
        <w:pStyle w:val="Corpodetexto"/>
        <w:rPr>
          <w:sz w:val="24"/>
          <w:szCs w:val="24"/>
        </w:rPr>
      </w:pPr>
    </w:p>
    <w:p w14:paraId="3B9478EA" w14:textId="20BF2BAD" w:rsidR="006C3A02" w:rsidRDefault="006C3A02" w:rsidP="006C3A02">
      <w:pPr>
        <w:pStyle w:val="Corpodetexto"/>
        <w:rPr>
          <w:sz w:val="24"/>
          <w:szCs w:val="24"/>
        </w:rPr>
      </w:pPr>
      <w:r w:rsidRPr="006C3A02">
        <w:rPr>
          <w:sz w:val="24"/>
          <w:szCs w:val="24"/>
        </w:rPr>
        <w:t xml:space="preserve">STORK, N. E. How many species of insects and other terrestrial arthropods are there on Earth? </w:t>
      </w:r>
      <w:r w:rsidRPr="006C3A02">
        <w:rPr>
          <w:i/>
          <w:iCs/>
          <w:sz w:val="24"/>
          <w:szCs w:val="24"/>
        </w:rPr>
        <w:t>Annual Review of Entomology</w:t>
      </w:r>
      <w:r w:rsidRPr="006C3A02">
        <w:rPr>
          <w:sz w:val="24"/>
          <w:szCs w:val="24"/>
        </w:rPr>
        <w:t xml:space="preserve">, v. 63, p. 31-45, 2018. DOI: </w:t>
      </w:r>
      <w:hyperlink r:id="rId19" w:tgtFrame="_new" w:history="1">
        <w:r w:rsidRPr="006C3A02">
          <w:rPr>
            <w:rStyle w:val="Hyperlink"/>
            <w:sz w:val="24"/>
            <w:szCs w:val="24"/>
          </w:rPr>
          <w:t>https://doi.org/10.1146/annurev-ento-020117-043348</w:t>
        </w:r>
      </w:hyperlink>
      <w:r w:rsidRPr="006C3A02">
        <w:rPr>
          <w:sz w:val="24"/>
          <w:szCs w:val="24"/>
        </w:rPr>
        <w:t>.</w:t>
      </w:r>
    </w:p>
    <w:p w14:paraId="39651471" w14:textId="77777777" w:rsidR="006C3A02" w:rsidRDefault="006C3A02" w:rsidP="006C3A02">
      <w:pPr>
        <w:pStyle w:val="Corpodetexto"/>
        <w:rPr>
          <w:sz w:val="24"/>
          <w:szCs w:val="24"/>
        </w:rPr>
      </w:pPr>
    </w:p>
    <w:p w14:paraId="7F815E1B" w14:textId="028ECF0A" w:rsidR="0043442D" w:rsidRDefault="0043442D" w:rsidP="0043442D">
      <w:pPr>
        <w:pStyle w:val="Corpodetexto"/>
        <w:rPr>
          <w:sz w:val="24"/>
          <w:szCs w:val="24"/>
        </w:rPr>
      </w:pPr>
      <w:r>
        <w:rPr>
          <w:sz w:val="24"/>
          <w:szCs w:val="24"/>
        </w:rPr>
        <w:t>V</w:t>
      </w:r>
      <w:r w:rsidRPr="006C3A02">
        <w:rPr>
          <w:sz w:val="24"/>
          <w:szCs w:val="24"/>
        </w:rPr>
        <w:t>an Noort, S. 2026. WaspWeb: Hymenoptera of the World. URL: www.waspweb.org (</w:t>
      </w:r>
      <w:r>
        <w:rPr>
          <w:sz w:val="24"/>
          <w:szCs w:val="24"/>
        </w:rPr>
        <w:t>acesso em</w:t>
      </w:r>
      <w:r w:rsidRPr="006C3A02">
        <w:rPr>
          <w:sz w:val="24"/>
          <w:szCs w:val="24"/>
        </w:rPr>
        <w:t xml:space="preserve"> &lt;</w:t>
      </w:r>
      <w:r>
        <w:rPr>
          <w:sz w:val="24"/>
          <w:szCs w:val="24"/>
        </w:rPr>
        <w:t>23</w:t>
      </w:r>
      <w:r w:rsidRPr="006C3A02">
        <w:rPr>
          <w:sz w:val="24"/>
          <w:szCs w:val="24"/>
        </w:rPr>
        <w:t>/</w:t>
      </w:r>
      <w:r>
        <w:rPr>
          <w:sz w:val="24"/>
          <w:szCs w:val="24"/>
        </w:rPr>
        <w:t>jul.</w:t>
      </w:r>
      <w:r w:rsidRPr="006C3A02">
        <w:rPr>
          <w:sz w:val="24"/>
          <w:szCs w:val="24"/>
        </w:rPr>
        <w:t>/</w:t>
      </w:r>
      <w:r>
        <w:rPr>
          <w:sz w:val="24"/>
          <w:szCs w:val="24"/>
        </w:rPr>
        <w:t>2026</w:t>
      </w:r>
      <w:r w:rsidRPr="006C3A02">
        <w:rPr>
          <w:sz w:val="24"/>
          <w:szCs w:val="24"/>
        </w:rPr>
        <w:t>&gt;).</w:t>
      </w:r>
    </w:p>
    <w:p w14:paraId="3886B445" w14:textId="77777777" w:rsidR="0043442D" w:rsidRDefault="0043442D" w:rsidP="0043442D">
      <w:pPr>
        <w:pStyle w:val="Corpodetexto"/>
      </w:pPr>
    </w:p>
    <w:p w14:paraId="2F16B519" w14:textId="2285F9AE" w:rsidR="006C3A02" w:rsidRDefault="006C3A02" w:rsidP="006C3A02">
      <w:pPr>
        <w:pStyle w:val="Corpodetexto"/>
        <w:rPr>
          <w:sz w:val="24"/>
          <w:szCs w:val="24"/>
        </w:rPr>
      </w:pPr>
      <w:r w:rsidRPr="006C3A02">
        <w:rPr>
          <w:sz w:val="24"/>
          <w:szCs w:val="24"/>
        </w:rPr>
        <w:t xml:space="preserve">WAGNER, D. L. </w:t>
      </w:r>
      <w:r w:rsidR="00C152A5" w:rsidRPr="00C152A5">
        <w:rPr>
          <w:i/>
          <w:iCs/>
          <w:sz w:val="24"/>
          <w:szCs w:val="24"/>
        </w:rPr>
        <w:t>et al</w:t>
      </w:r>
      <w:r w:rsidRPr="006C3A02">
        <w:rPr>
          <w:sz w:val="24"/>
          <w:szCs w:val="24"/>
        </w:rPr>
        <w:t xml:space="preserve">. Insect decline in the Anthropocene: death by a thousand cuts. </w:t>
      </w:r>
      <w:r w:rsidRPr="006C3A02">
        <w:rPr>
          <w:i/>
          <w:iCs/>
          <w:sz w:val="24"/>
          <w:szCs w:val="24"/>
        </w:rPr>
        <w:t>Proceedings of the National Academy of Sciences</w:t>
      </w:r>
      <w:r w:rsidRPr="006C3A02">
        <w:rPr>
          <w:sz w:val="24"/>
          <w:szCs w:val="24"/>
        </w:rPr>
        <w:t xml:space="preserve">, v. 118, n. 2, e2023989118, 2021. DOI: </w:t>
      </w:r>
      <w:hyperlink r:id="rId20" w:tgtFrame="_new" w:history="1">
        <w:r w:rsidRPr="006C3A02">
          <w:rPr>
            <w:rStyle w:val="Hyperlink"/>
            <w:sz w:val="24"/>
            <w:szCs w:val="24"/>
          </w:rPr>
          <w:t>https://doi.org/10.1073/pnas.2023989118</w:t>
        </w:r>
      </w:hyperlink>
      <w:r w:rsidRPr="006C3A02">
        <w:rPr>
          <w:sz w:val="24"/>
          <w:szCs w:val="24"/>
        </w:rPr>
        <w:t>.</w:t>
      </w:r>
    </w:p>
    <w:p w14:paraId="67516A51" w14:textId="77777777" w:rsidR="0043442D" w:rsidRDefault="0043442D">
      <w:pPr>
        <w:pStyle w:val="Corpodetexto"/>
      </w:pPr>
    </w:p>
    <w:sectPr w:rsidR="0043442D" w:rsidSect="008913F4">
      <w:headerReference w:type="default" r:id="rId21"/>
      <w:footerReference w:type="default" r:id="rId22"/>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65293" w14:textId="77777777" w:rsidR="00157AC0" w:rsidRDefault="00157AC0">
      <w:r>
        <w:separator/>
      </w:r>
    </w:p>
  </w:endnote>
  <w:endnote w:type="continuationSeparator" w:id="0">
    <w:p w14:paraId="1D97380A" w14:textId="77777777" w:rsidR="00157AC0" w:rsidRDefault="00157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F6DE9" w14:textId="77777777" w:rsidR="00157AC0" w:rsidRDefault="00157AC0">
      <w:r>
        <w:separator/>
      </w:r>
    </w:p>
  </w:footnote>
  <w:footnote w:type="continuationSeparator" w:id="0">
    <w:p w14:paraId="55F3E232" w14:textId="77777777" w:rsidR="00157AC0" w:rsidRDefault="00157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059817059">
    <w:abstractNumId w:val="0"/>
  </w:num>
  <w:num w:numId="2" w16cid:durableId="949705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3655A"/>
    <w:rsid w:val="000449F4"/>
    <w:rsid w:val="000815CB"/>
    <w:rsid w:val="00095B33"/>
    <w:rsid w:val="000F2F25"/>
    <w:rsid w:val="00157AC0"/>
    <w:rsid w:val="001A222A"/>
    <w:rsid w:val="001C5BCC"/>
    <w:rsid w:val="001D797A"/>
    <w:rsid w:val="00243512"/>
    <w:rsid w:val="003351C7"/>
    <w:rsid w:val="0034662E"/>
    <w:rsid w:val="0036697E"/>
    <w:rsid w:val="0043442D"/>
    <w:rsid w:val="004C132D"/>
    <w:rsid w:val="005259CE"/>
    <w:rsid w:val="005F70B0"/>
    <w:rsid w:val="00624629"/>
    <w:rsid w:val="00694319"/>
    <w:rsid w:val="006C3A02"/>
    <w:rsid w:val="007561D8"/>
    <w:rsid w:val="008858BD"/>
    <w:rsid w:val="008913F4"/>
    <w:rsid w:val="008C221D"/>
    <w:rsid w:val="009C4B75"/>
    <w:rsid w:val="00A33E6F"/>
    <w:rsid w:val="00A73146"/>
    <w:rsid w:val="00AD22F1"/>
    <w:rsid w:val="00AF5124"/>
    <w:rsid w:val="00B16532"/>
    <w:rsid w:val="00C152A5"/>
    <w:rsid w:val="00C366BE"/>
    <w:rsid w:val="00C44CDC"/>
    <w:rsid w:val="00C52C3D"/>
    <w:rsid w:val="00C538C1"/>
    <w:rsid w:val="00C60F3C"/>
    <w:rsid w:val="00CB7608"/>
    <w:rsid w:val="00CD2650"/>
    <w:rsid w:val="00CD4DFF"/>
    <w:rsid w:val="00E3782C"/>
    <w:rsid w:val="00EA25BE"/>
    <w:rsid w:val="00EC7E26"/>
    <w:rsid w:val="00ED073D"/>
    <w:rsid w:val="00F135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6C3A02"/>
    <w:rPr>
      <w:color w:val="0000FF" w:themeColor="hyperlink"/>
      <w:u w:val="single"/>
    </w:rPr>
  </w:style>
  <w:style w:type="character" w:styleId="MenoPendente">
    <w:name w:val="Unresolved Mention"/>
    <w:basedOn w:val="Fontepargpadro"/>
    <w:uiPriority w:val="99"/>
    <w:semiHidden/>
    <w:unhideWhenUsed/>
    <w:rsid w:val="006C3A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s43017-023-00478-x" TargetMode="External"/><Relationship Id="rId13" Type="http://schemas.openxmlformats.org/officeDocument/2006/relationships/hyperlink" Target="https://doi.org/10.1016/j.biocon.2019.108327" TargetMode="External"/><Relationship Id="rId18" Type="http://schemas.openxmlformats.org/officeDocument/2006/relationships/hyperlink" Target="https://doi.org/10.1038/s41586-019-1684-3"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oi.org/10.1371/journal.pone.0185809" TargetMode="External"/><Relationship Id="rId17" Type="http://schemas.openxmlformats.org/officeDocument/2006/relationships/hyperlink" Target="https://doi.org/10.1016/j.biocon.2019.01.020" TargetMode="External"/><Relationship Id="rId2" Type="http://schemas.openxmlformats.org/officeDocument/2006/relationships/numbering" Target="numbering.xml"/><Relationship Id="rId16" Type="http://schemas.openxmlformats.org/officeDocument/2006/relationships/hyperlink" Target="https://doi.org/10.1007/s13744-020-00781-y" TargetMode="External"/><Relationship Id="rId20" Type="http://schemas.openxmlformats.org/officeDocument/2006/relationships/hyperlink" Target="https://doi.org/10.1073/pnas.20239891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3744-023-01031-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16/j.cois.2023.101026" TargetMode="External"/><Relationship Id="rId23" Type="http://schemas.openxmlformats.org/officeDocument/2006/relationships/fontTable" Target="fontTable.xml"/><Relationship Id="rId10" Type="http://schemas.openxmlformats.org/officeDocument/2006/relationships/hyperlink" Target="https://doi.org/10.1111/icad.12408" TargetMode="External"/><Relationship Id="rId19" Type="http://schemas.openxmlformats.org/officeDocument/2006/relationships/hyperlink" Target="https://doi.org/10.1146/annurev-ento-020117-043348" TargetMode="External"/><Relationship Id="rId4" Type="http://schemas.openxmlformats.org/officeDocument/2006/relationships/settings" Target="settings.xml"/><Relationship Id="rId9" Type="http://schemas.openxmlformats.org/officeDocument/2006/relationships/hyperlink" Target="https://doi.org/10.1016/j.biocon.2020.108426" TargetMode="External"/><Relationship Id="rId14" Type="http://schemas.openxmlformats.org/officeDocument/2006/relationships/hyperlink" Target="https://doi.org/10.1016/j.baae.2017.09.006"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1C8E1-4AB2-4A3C-BA89-6DCE9D0BE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6</Pages>
  <Words>2400</Words>
  <Characters>12964</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Juliano Fiorelini Nunes</cp:lastModifiedBy>
  <cp:revision>10</cp:revision>
  <dcterms:created xsi:type="dcterms:W3CDTF">2026-07-23T22:38:00Z</dcterms:created>
  <dcterms:modified xsi:type="dcterms:W3CDTF">2026-07-24T18:11:00Z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