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INVERTEBRADOS TERRESTRES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COMPORTAMENTO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val="pt-BR"/>
        </w:rPr>
        <w:t>C</w:t>
      </w:r>
      <w:r>
        <w:rPr>
          <w:rFonts w:eastAsia="Times New Roman"/>
          <w:b/>
          <w:sz w:val="20"/>
          <w:szCs w:val="20"/>
        </w:rPr>
        <w:t>OMPORTAMENT</w:t>
      </w:r>
      <w:r>
        <w:rPr>
          <w:rFonts w:hint="default" w:eastAsia="Times New Roman"/>
          <w:b/>
          <w:sz w:val="20"/>
          <w:szCs w:val="20"/>
          <w:lang w:val="pt-BR"/>
        </w:rPr>
        <w:t>O</w:t>
      </w:r>
      <w:bookmarkStart w:id="1" w:name="_GoBack"/>
      <w:bookmarkEnd w:id="1"/>
      <w:r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DEFENSIVO </w:t>
      </w:r>
      <w:r>
        <w:rPr>
          <w:rFonts w:eastAsia="Times New Roman"/>
          <w:b/>
          <w:sz w:val="20"/>
          <w:szCs w:val="20"/>
        </w:rPr>
        <w:t xml:space="preserve">DO ESCORPIÃO </w:t>
      </w:r>
      <w:r>
        <w:rPr>
          <w:rFonts w:eastAsia="Times New Roman"/>
          <w:b/>
          <w:i/>
          <w:iCs/>
          <w:sz w:val="20"/>
          <w:szCs w:val="20"/>
        </w:rPr>
        <w:t>Ananteris mauryi</w:t>
      </w:r>
      <w:r>
        <w:rPr>
          <w:rFonts w:eastAsia="Times New Roman"/>
          <w:b/>
          <w:sz w:val="20"/>
          <w:szCs w:val="20"/>
        </w:rPr>
        <w:t xml:space="preserve"> LOURENÇO, 1982 MEDIANTE DIFERENTES TIPOS DE PREDADORES</w:t>
      </w:r>
    </w:p>
    <w:p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André O. Silva-Júnior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Hugo R. Barbosa-da-Silva</w:t>
      </w: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>, Renato P. Salomão</w:t>
      </w: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  <w:lang w:val="pt-BR"/>
        </w:rPr>
        <w:t>, Geraldo J. B. Moura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André F. A. Lira</w:t>
      </w:r>
      <w:r>
        <w:rPr>
          <w:rFonts w:eastAsia="Times New Roman"/>
          <w:sz w:val="20"/>
          <w:szCs w:val="20"/>
          <w:vertAlign w:val="superscript"/>
          <w:lang w:val="pt-BR"/>
        </w:rPr>
        <w:t>4</w:t>
      </w:r>
    </w:p>
    <w:p>
      <w:pPr>
        <w:spacing w:line="240" w:lineRule="auto"/>
        <w:jc w:val="center"/>
        <w:rPr>
          <w:sz w:val="20"/>
          <w:szCs w:val="20"/>
          <w:lang w:val="pt-BR" w:eastAsia="zh-CN"/>
        </w:rPr>
      </w:pP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sz w:val="20"/>
          <w:szCs w:val="20"/>
        </w:rPr>
        <w:t xml:space="preserve">¹ Universidade Federal </w:t>
      </w:r>
      <w:r>
        <w:rPr>
          <w:rFonts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Recife, Brasil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E-mail: </w:t>
      </w:r>
      <w:r>
        <w:fldChar w:fldCharType="begin"/>
      </w:r>
      <w:r>
        <w:instrText xml:space="preserve"> HYPERLINK "mailto:andre.otavio@ufrpe.br" </w:instrText>
      </w:r>
      <w:r>
        <w:fldChar w:fldCharType="separate"/>
      </w:r>
      <w:r>
        <w:rPr>
          <w:rStyle w:val="10"/>
          <w:rFonts w:eastAsia="Times New Roman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a</w:t>
      </w:r>
      <w:r>
        <w:rPr>
          <w:rStyle w:val="10"/>
          <w:rFonts w:eastAsia="Times New Roman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t>ndre.otavio@ufrpe.br</w:t>
      </w:r>
      <w:r>
        <w:rPr>
          <w:rStyle w:val="10"/>
          <w:rFonts w:eastAsia="Times New Roman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fldChar w:fldCharType="begin"/>
      </w:r>
      <w:r>
        <w:instrText xml:space="preserve"> HYPERLINK "mailto:geraldojbm@gmail.com" </w:instrText>
      </w:r>
      <w:r>
        <w:fldChar w:fldCharType="separate"/>
      </w:r>
      <w:r>
        <w:rPr>
          <w:rStyle w:val="10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geraldojbm@gmail.com</w:t>
      </w:r>
      <w:r>
        <w:rPr>
          <w:rStyle w:val="10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²Universidade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Recife, Brasil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</w:t>
      </w:r>
      <w:r>
        <w:rPr>
          <w:rFonts w:eastAsia="Times New Roman"/>
          <w:sz w:val="20"/>
          <w:szCs w:val="20"/>
          <w:lang w:val="pt-BR"/>
        </w:rPr>
        <w:t xml:space="preserve">: </w:t>
      </w:r>
      <w:r>
        <w:fldChar w:fldCharType="begin"/>
      </w:r>
      <w:r>
        <w:instrText xml:space="preserve"> HYPERLINK "mailto:hugslovato@gmail.com" </w:instrText>
      </w:r>
      <w:r>
        <w:fldChar w:fldCharType="separate"/>
      </w:r>
      <w:r>
        <w:rPr>
          <w:rStyle w:val="10"/>
          <w:rFonts w:eastAsia="Times New Roman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t>hugslovato@gmail.com</w:t>
      </w:r>
      <w:r>
        <w:rPr>
          <w:rStyle w:val="10"/>
          <w:rFonts w:eastAsia="Times New Roman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jc w:val="center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Facultad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de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Estudios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Superiores</w:t>
      </w:r>
      <w:r>
        <w:rPr>
          <w:spacing w:val="-2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Iztacala,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Universidad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Nacional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Autónoma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de</w:t>
      </w:r>
      <w:r>
        <w:rPr>
          <w:spacing w:val="-4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México, Tlalnepantla de Baz, Mexico. E-mail: </w:t>
      </w:r>
      <w:r>
        <w:fldChar w:fldCharType="begin"/>
      </w:r>
      <w:r>
        <w:instrText xml:space="preserve"> HYPERLINK "mailto:renatopsalomao3@hotmail.com" </w:instrText>
      </w:r>
      <w:r>
        <w:fldChar w:fldCharType="separate"/>
      </w:r>
      <w:r>
        <w:rPr>
          <w:rStyle w:val="10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t>renatopsalomao3@hotmail.com</w:t>
      </w:r>
      <w:r>
        <w:rPr>
          <w:rStyle w:val="10"/>
          <w:color w:val="000000" w:themeColor="text1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  <w:vertAlign w:val="superscript"/>
          <w:lang w:val="pt-BR"/>
        </w:rPr>
        <w:t xml:space="preserve">4 </w:t>
      </w:r>
      <w:r>
        <w:rPr>
          <w:sz w:val="20"/>
          <w:szCs w:val="20"/>
          <w:lang w:val="pt-BR"/>
        </w:rPr>
        <w:t>Universidade Federal</w:t>
      </w:r>
      <w:r>
        <w:rPr>
          <w:spacing w:val="-1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de</w:t>
      </w:r>
      <w:r>
        <w:rPr>
          <w:spacing w:val="-2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Campina</w:t>
      </w:r>
      <w:r>
        <w:rPr>
          <w:spacing w:val="-2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Grande (UFCG),</w:t>
      </w:r>
      <w:r>
        <w:rPr>
          <w:spacing w:val="3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Cuité,</w:t>
      </w:r>
      <w:r>
        <w:rPr>
          <w:spacing w:val="-1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Paraíba,</w:t>
      </w:r>
      <w:r>
        <w:rPr>
          <w:spacing w:val="-2"/>
          <w:sz w:val="20"/>
          <w:szCs w:val="20"/>
          <w:lang w:val="pt-BR"/>
        </w:rPr>
        <w:t xml:space="preserve"> Brasil. E-mail: </w:t>
      </w:r>
      <w:r>
        <w:fldChar w:fldCharType="begin"/>
      </w:r>
      <w:r>
        <w:instrText xml:space="preserve"> HYPERLINK "mailto:andref.lira@gmail.com" </w:instrText>
      </w:r>
      <w:r>
        <w:fldChar w:fldCharType="separate"/>
      </w:r>
      <w:r>
        <w:rPr>
          <w:rStyle w:val="10"/>
          <w:color w:val="000000" w:themeColor="text1"/>
          <w:spacing w:val="-2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t>andref.lira@gmail.com</w:t>
      </w:r>
      <w:r>
        <w:rPr>
          <w:rStyle w:val="10"/>
          <w:color w:val="000000" w:themeColor="text1"/>
          <w:spacing w:val="-2"/>
          <w:sz w:val="20"/>
          <w:szCs w:val="20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pacing w:val="-2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INTRODUÇÃO</w:t>
      </w:r>
    </w:p>
    <w:p>
      <w:pPr>
        <w:pStyle w:val="16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Os animais apresentam diferentes estratégias defensivas de modo a reduzir a probabilidade de encontro com potenciais predadores (Coelho et al., 2017). Estas estratégias podem ser divididas em defesas primárias ou secundárias. As primárias são aquelas onde o animal evita a chance de ser encontrado pelo predador, por exemplo a camuflagem (Pérez-De-La-Fuente et al., 2012; Montano &amp; Maggioni, 2018). Nos casos em que ocorrem a detectação pelos predadores, as presas exibem as defesas secundárias como fugir, morder ou ferroar (Nelsen et al., 2014; Lira et al., 2020). Adicionalmente, as presas podem utilizam diferentes estratégias defensivas de acordo com o tipo do predador (McClure e Despland, 2011).</w:t>
      </w:r>
    </w:p>
    <w:p>
      <w:pPr>
        <w:pStyle w:val="16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Embora os escorpiões atuem como predadores de diversos táxons, esses invertebrados também são predados por outros animais (Polis, 1990). Isso é particularmente verdadeiro para as espécies de escorpião de menor porte (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Lira et al., 2013; Dionisio-da-Silva et al., 2019a; Silva-Júnior et al., 2023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). Exemplos de predação em espécies menores e indivíduos juvenis são recorrentes na literatura (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Lira et al., 2013; Silva-Júnior et al., 2023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). Por exemplo,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Ananteris mauryi 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Lourenço, 1982, uma espécie típica da Floresta Atlântica nordestina já foi registrada sendo predada por outros invertebrados como escorpiões maiores e formigas (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Lira et al., 2013; Dionisio-da-Silva et al., 2019a; Silva-Júnior et al., 2023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sugerindo que esta espécie apresenta uma grande diversidade de predadores. Portanto, visando compreender as estratégias defensivas em escorpiões, no presente estudo, objetivamos avaliar o comportamento defensivo em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A.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contra predadores com diferentes mecanismos de captura de presa.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MATERIAL E MÉTODOS</w:t>
      </w:r>
    </w:p>
    <w:p>
      <w:pPr>
        <w:spacing w:line="240" w:lineRule="auto"/>
        <w:ind w:firstLine="720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Como potenciais predadores com diferentes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estratégias de captura de presa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foram utilizadas aranhas da espécie </w:t>
      </w:r>
      <w:r>
        <w:rPr>
          <w:rFonts w:eastAsia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Ctenus rectipes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F. O. Pickard-Cambridge, 1897 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predador errante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e o escorpião </w:t>
      </w:r>
      <w:r>
        <w:rPr>
          <w:rFonts w:eastAsia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Tityus pusillus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Pocock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 1893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predador de emboscada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)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Griswold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2005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Lira et al., 2013)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 A escolha dos predadores foi baseada em registros prévio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 em campo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período de atividade dos animais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 similar uso de habitat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Os animais usados no presente estudo foram coletados no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“Centro de Instrução Marechal Newton Cavalcanti”, uma área militar composta por um fragmento de 6.280 ha de Floresta Estacional Semidecidual de Mata Atlântica (07°46'55” S, 35°09'02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’’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),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entre janeiro e fevereiro de 2022,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no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município de Abreu e Lima, Pernambuco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Após a coleta os animais foram trazidos para o laboratório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em terrários individuais para evitar o estresse ou a predação dos espécimes,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onde foram mantidos em condições naturais com temperatura de 24°C ± 2°C e 70% ± 5% de umidade relativa em um fotoperíodo de 12:12h claro/escuro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em condições laboratoriais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. Os indivíduos foram mantidos individualmente em recipientes plásticos (6,5cm x 8,5cm x 10cm), com um algodão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embebido em água e um pedaço de papelão como abrigo.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Para os ensaios comportamentais os indivíduos de </w:t>
      </w:r>
      <w:r>
        <w:rPr>
          <w:i/>
          <w:i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A. mauryi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foram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divididos em dois grupos de acordo com o predador, aranha (n = 20) e escorpião (n = 20). Os animais foram colocados em uma arena circular (100 mm de diâmetro) contendo papel filtro como substrato. 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Primeiramente foram 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colocados na arena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os indivíduos de </w:t>
      </w:r>
      <w:r>
        <w:rPr>
          <w:i/>
          <w:i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A. mauryi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e aclimatados por 10 minutos, após esse período o predador foi inserido no lado oposto da arena. Cada experimento foi gravado com um celular (Sansung Galaxy A10) 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por 10 minutos ou até ocorrer a predação. Para os ensaios os indivíduos só foram utilizados uma única vez. 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RESULTADOS E DISCUSSÃO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 presente trabalho avaliou o repertório comportamental do escorpião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Ananteris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mediante diferentes predadores, a aranha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Ctenus rectipes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o escorpião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Tityus pusillus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 Antes do encontro com os predadores os escorpiões exibiram atos comportamentais mais vigilantes como a mudança brusca (aranha: 0,65 ± 0,24; escorpião: 0,65 ± 0,25)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32,98; p = 1) e limpeza de quelas (aranha: 1,90 ± 0,57; escorpião: 0,75 ± 0,31)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37,91; p = 0,05) com frequência parecidas. Resultados similares aos descritos por Dionisio-da-Silva et al. (2019b) onde indivíduos de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A.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foram capazes de alterar o seu comportamento aumentado a proporção de atos vigilantes em arenas com resquícios químicos de um predador.</w:t>
      </w:r>
    </w:p>
    <w:p>
      <w:pPr>
        <w:pStyle w:val="16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Após entrar em contato com o predador, os indivíduos de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A.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apresentaram a capacidade de modular a frequência dos atos comportamentais de acordo com o tipo de predador. Os escorpiões realizaram o ato balanço de metassoma em maior quantidade quando exposto a aranhas (aranhas 1,05 ± 0,27; escorpiões 0,30 ± 0,16)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35,08; p = 0,01) com o tempo de balanço do metassoma não possuindo diferença significativa entre os grupos (aranha: 5,25 s ± 1,77; escorpião: 3,7 s ± 2,36)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28,14, p = 0,69).  Em seguida, os indivíduos de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A.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fugiram das aranhas mais vezes do que quando expostos ao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T. pusillus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(aranha: 2,75 ± 0,56; escorpião: 0,75 ± 0,20) (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X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64,65; p &lt; 0,01), embora o tempo de fuga tenha sido semelhante (aranha: 2,60 ± 0,58; escorpião: 1,50 ± 0,54)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1,91, p = 0,17). Após serem capturados pelos predadores, os indivíduos de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A. mauryi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tentaram ferroar de modo semelhante independente do predador (aranha: 1,45 ± 0,22; escorpião: 1,75 ± 0,34) (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X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36,20; p = 0,42) contudo esse ato foi mais insistente nos escorpiões (aranha: 2,05 ± 0,89; escorpião: 27,95 ± 5,85) (F</w:t>
      </w:r>
      <w:r>
        <w:rPr>
          <w:rStyle w:val="17"/>
          <w:rFonts w:ascii="Arial" w:hAnsi="Arial" w:cs="Arial"/>
          <w:color w:val="000000" w:themeColor="text1"/>
          <w:sz w:val="20"/>
          <w:szCs w:val="20"/>
          <w:vertAlign w:val="subscript"/>
          <w14:textFill>
            <w14:solidFill>
              <w14:schemeClr w14:val="tx1"/>
            </w14:solidFill>
          </w14:textFill>
        </w:rPr>
        <w:t>1,38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= 19,08; p &lt; 0,01). As ações, ferroada (n = 4, duas para cada predador); e autotomia (n = 1, contra escorpião) foram realizadas poucas vezes. Os nossos resultados indicam que as estratégias defensivas a um determinado predador podem não ser eficazes contra todos os predadores. </w:t>
      </w:r>
    </w:p>
    <w:p>
      <w:pPr>
        <w:spacing w:line="240" w:lineRule="auto"/>
        <w:jc w:val="both"/>
        <w:rPr>
          <w:b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CONCLUSÕES</w:t>
      </w:r>
    </w:p>
    <w:p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Os nossos resultados demonstraram que a espécie de escorpião </w:t>
      </w:r>
      <w:r>
        <w:rPr>
          <w:rFonts w:eastAsia="Times New Roman"/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A. mauryi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apresenta a capacidade de modular as suas ações comportamentais mediante o tipo de predador do qual é exposto.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REFERÊNCIAS 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Coelho, P.; Kaliontzopoulou, A.; Rasko, M.; &amp; Van Der Meijiden, A.A. 2017. </w:t>
      </w: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A ‘striking’ relationship: scorpion defensive behaviour and its relation to morphology and performance. 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Functional Ecology, V. 31(7): 1390-1404.</w:t>
      </w:r>
      <w:r>
        <w:rPr>
          <w:rStyle w:val="18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Dionisio-da-Silva, W.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&amp; de Araujo Lira, A. F. 2019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. Record of </w:t>
      </w:r>
      <w:r>
        <w:rPr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Ananteris mauryi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(Scorpiones: Buthidae) preyed upon by </w:t>
      </w:r>
      <w:r>
        <w:rPr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Ectatomma planidens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(Hymenoptera: Formicidae) in the Brazilian Atlantic rainforest. Entomological News, 128(5)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497-503.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Dionisio-da-Silva, W.; Lira, A.F.A.; &amp; Albuquerque, C.M.R. 2019b. </w:t>
      </w: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Prey-predator interactions between two intraguild predators modulate their behavioral decisions. </w:t>
      </w:r>
      <w:r>
        <w:rPr>
          <w:rStyle w:val="17"/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  <w:t>Acta ethologica, 22: 195-201.</w:t>
      </w:r>
      <w:r>
        <w:rPr>
          <w:rStyle w:val="18"/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  <w:t> 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Griswold, C. E.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Ramírez, M. J.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Coddington, J. A.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&amp; Platnick, N. I. 2005. Atlas of phylogenetic data for entelegyne spiders (Araneae: Araneomorphae: Entelegynae) with comments on their phylogeny. Proceedings of the California Academy of Sciences of the 289 United States of America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56: 1– 324.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Lira, A.F.A.; Souza, A.M.; Silva Filho, A.A.; &amp; Albuquerque, C.M. 2013. </w:t>
      </w: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Spatio-temporal microhabitat use by two co-occurring species of scorpions in Atlantic rainforest in Brazil. Zoology, V. 116(3): 182-185.</w:t>
      </w:r>
      <w:r>
        <w:rPr>
          <w:rStyle w:val="18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 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Lira, A.F.A.; Almeida, F.M.F.; &amp; Albuquerque, C.M.R. 2020. Reaction under the risk of predation: effects of age and sexual plasticity on defensive behavior in scorpion </w:t>
      </w:r>
      <w:r>
        <w:rPr>
          <w:rStyle w:val="17"/>
          <w:rFonts w:ascii="Arial" w:hAnsi="Arial" w:cs="Arial"/>
          <w:i/>
          <w:i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Tityus pusillus</w:t>
      </w: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(Scorpiones: Buthidae). </w:t>
      </w:r>
      <w:r>
        <w:rPr>
          <w:rStyle w:val="17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Journal of Ethology, 38(1): 13-19.</w:t>
      </w:r>
      <w:r>
        <w:rPr>
          <w:rStyle w:val="18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 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Pérez-de la Fuente, R.; Delclòs, X.; Peñalver, E.; Speranza, M.; Wierzchos, J., Ascaso, C.; &amp; Engel, M.S. 2012. </w:t>
      </w:r>
      <w:r>
        <w:rPr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Early evolution and ecology of camouflage in insects. Proceedings of the National Academy of Sciences, 109(52): 21414-21419.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Style w:val="17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Polis, G. A. 1990. The biology of scorpions. Stanford: Stanford University Press.</w:t>
      </w:r>
      <w:r>
        <w:rPr>
          <w:rStyle w:val="18"/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 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Mcclure, M.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&amp; Despland, E. 2011. Defensive responses by a social caterpillar are tailored to different predators and change with larval instar and group size. Naturwissenschaften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98: 425-434.</w:t>
      </w:r>
    </w:p>
    <w:p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Montano, S.; &amp; Maggioni, D. 2018. Camouflage of sea spiders (Arthropoda, Pycnogonida) inhabiting </w:t>
      </w:r>
      <w:r>
        <w:rPr>
          <w:rFonts w:eastAsia="Times New Roman"/>
          <w:i/>
          <w:i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Pavona varians</w:t>
      </w:r>
      <w:r>
        <w:rPr>
          <w:rFonts w:eastAsia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. Coral Reefs, 37(1): 153-153.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Nelsen, D.R.; David, E.M.; Harty, C.N.; Hector, J.B.; &amp; Corbit, A.G. 2020. Risk assessment and the effects of refuge availability on the defensive behaviors of the southern unstriped scorpion (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Vaejovis carolinianus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), Toxins, 12(9): 534.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Silva-Júnior, A. O.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Celante, G. L.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Silva, A. M.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Gil-Santana, H. R.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Moura, G. J.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&amp; Lira, A. F.</w:t>
      </w:r>
      <w:r>
        <w:rPr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2023. Report of intraguild predation of the scorpion </w:t>
      </w:r>
      <w:r>
        <w:rPr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Physoctonus debilis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(CL Koch, 1840)(Scorpiones: Buthidae) by the assassin bug </w:t>
      </w:r>
      <w:r>
        <w:rPr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Microtomus tibialis</w:t>
      </w:r>
      <w:r>
        <w:rPr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Stichel, 1926 (Hemiptera: Reduviidae.</w:t>
      </w:r>
      <w:r>
        <w:rPr>
          <w:color w:val="000000" w:themeColor="text1"/>
          <w:sz w:val="20"/>
          <w:szCs w:val="2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Revista Chilena de Entomología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49 (2): 267-270.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006DCE"/>
    <w:rsid w:val="00054288"/>
    <w:rsid w:val="00055E17"/>
    <w:rsid w:val="000A72D4"/>
    <w:rsid w:val="00106A63"/>
    <w:rsid w:val="00116867"/>
    <w:rsid w:val="00135A78"/>
    <w:rsid w:val="001C31BF"/>
    <w:rsid w:val="001D07A4"/>
    <w:rsid w:val="001D373C"/>
    <w:rsid w:val="001F6AFF"/>
    <w:rsid w:val="00215A0E"/>
    <w:rsid w:val="002C7725"/>
    <w:rsid w:val="003C1A2B"/>
    <w:rsid w:val="003F4746"/>
    <w:rsid w:val="004859F4"/>
    <w:rsid w:val="00501A74"/>
    <w:rsid w:val="005401A9"/>
    <w:rsid w:val="00540E7F"/>
    <w:rsid w:val="006722FC"/>
    <w:rsid w:val="006C4874"/>
    <w:rsid w:val="006F74AD"/>
    <w:rsid w:val="008132E9"/>
    <w:rsid w:val="009D3E21"/>
    <w:rsid w:val="00A14CFE"/>
    <w:rsid w:val="00AE58F3"/>
    <w:rsid w:val="00B555C8"/>
    <w:rsid w:val="00B75BF4"/>
    <w:rsid w:val="00BD32CC"/>
    <w:rsid w:val="00BF776A"/>
    <w:rsid w:val="00C15FB3"/>
    <w:rsid w:val="00C52BFC"/>
    <w:rsid w:val="00D06831"/>
    <w:rsid w:val="00D24FA1"/>
    <w:rsid w:val="00D55233"/>
    <w:rsid w:val="00D5669F"/>
    <w:rsid w:val="00DA5037"/>
    <w:rsid w:val="00DE5DBA"/>
    <w:rsid w:val="00E046FB"/>
    <w:rsid w:val="00E1011C"/>
    <w:rsid w:val="00E66F67"/>
    <w:rsid w:val="00E777BE"/>
    <w:rsid w:val="00E900E9"/>
    <w:rsid w:val="00EA612F"/>
    <w:rsid w:val="00EB34CC"/>
    <w:rsid w:val="00F07232"/>
    <w:rsid w:val="00F426D9"/>
    <w:rsid w:val="00F81E8E"/>
    <w:rsid w:val="00F9003F"/>
    <w:rsid w:val="00FC6916"/>
    <w:rsid w:val="00FE66F7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35473A1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/>
    </w:rPr>
  </w:style>
  <w:style w:type="character" w:customStyle="1" w:styleId="17">
    <w:name w:val="normaltextrun"/>
    <w:basedOn w:val="8"/>
    <w:uiPriority w:val="0"/>
  </w:style>
  <w:style w:type="character" w:customStyle="1" w:styleId="18">
    <w:name w:val="eo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1487</Words>
  <Characters>8031</Characters>
  <Lines>66</Lines>
  <Paragraphs>18</Paragraphs>
  <TotalTime>391</TotalTime>
  <ScaleCrop>false</ScaleCrop>
  <LinksUpToDate>false</LinksUpToDate>
  <CharactersWithSpaces>9500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2023-07-25T14:45:00Z</dcterms:created>
  <dc:creator>jesse</dc:creator>
  <cp:lastModifiedBy>ksz</cp:lastModifiedBy>
  <dcterms:modified xsi:type="dcterms:W3CDTF">2023-11-01T16:09:08Z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