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ind w:left="-280" w:right="-280" w:firstLine="0"/>
        <w:jc w:val="center"/>
        <w:rPr>
          <w:rFonts w:ascii="Times New Roman" w:cs="Times New Roman" w:eastAsia="Times New Roman" w:hAnsi="Times New Roman"/>
          <w:b w:val="1"/>
          <w:sz w:val="24"/>
          <w:szCs w:val="24"/>
        </w:rPr>
      </w:pPr>
      <w:bookmarkStart w:colFirst="0" w:colLast="0" w:name="_9x23oujwfkeo" w:id="0"/>
      <w:bookmarkEnd w:id="0"/>
      <w:r w:rsidDel="00000000" w:rsidR="00000000" w:rsidRPr="00000000">
        <w:rPr>
          <w:rFonts w:ascii="Times New Roman" w:cs="Times New Roman" w:eastAsia="Times New Roman" w:hAnsi="Times New Roman"/>
          <w:b w:val="1"/>
          <w:sz w:val="24"/>
          <w:szCs w:val="24"/>
          <w:rtl w:val="0"/>
        </w:rPr>
        <w:t xml:space="preserve">ÚLCERA DE CÓRNEA EM FILHOTE ÓRFÃO DE GAMBÁ-COMUM (</w:t>
      </w:r>
      <w:r w:rsidDel="00000000" w:rsidR="00000000" w:rsidRPr="00000000">
        <w:rPr>
          <w:rFonts w:ascii="Times New Roman" w:cs="Times New Roman" w:eastAsia="Times New Roman" w:hAnsi="Times New Roman"/>
          <w:b w:val="1"/>
          <w:i w:val="1"/>
          <w:sz w:val="24"/>
          <w:szCs w:val="24"/>
          <w:rtl w:val="0"/>
        </w:rPr>
        <w:t xml:space="preserve">Didelphis marsupialis</w:t>
      </w:r>
      <w:r w:rsidDel="00000000" w:rsidR="00000000" w:rsidRPr="00000000">
        <w:rPr>
          <w:rFonts w:ascii="Times New Roman" w:cs="Times New Roman" w:eastAsia="Times New Roman" w:hAnsi="Times New Roman"/>
          <w:b w:val="1"/>
          <w:sz w:val="24"/>
          <w:szCs w:val="24"/>
          <w:rtl w:val="0"/>
        </w:rPr>
        <w:t xml:space="preserve"> Linnaeus, 1758): RELATO DE CONDUTA TERAPÊUTICA </w:t>
      </w:r>
    </w:p>
    <w:p w:rsidR="00000000" w:rsidDel="00000000" w:rsidP="00000000" w:rsidRDefault="00000000" w:rsidRPr="00000000" w14:paraId="00000002">
      <w:pPr>
        <w:shd w:fill="ffffff" w:val="clear"/>
        <w:spacing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MESSIAS, A.C.C.</w:t>
      </w:r>
      <w:r w:rsidDel="00000000" w:rsidR="00000000" w:rsidRPr="00000000">
        <w:rPr>
          <w:rFonts w:ascii="Times New Roman" w:cs="Times New Roman" w:eastAsia="Times New Roman" w:hAnsi="Times New Roman"/>
          <w:sz w:val="24"/>
          <w:szCs w:val="24"/>
          <w:rtl w:val="0"/>
        </w:rPr>
        <w:t xml:space="preserve">¹; URBANO, R.L²; OLIVEIRA, T.M.M.¹; VILHENA, V.H.S¹; RODRIGUES, C.S.M.P.²; GALVÃO, G.R.³</w:t>
      </w:r>
    </w:p>
    <w:p w:rsidR="00000000" w:rsidDel="00000000" w:rsidP="00000000" w:rsidRDefault="00000000" w:rsidRPr="00000000" w14:paraId="00000003">
      <w:pPr>
        <w:shd w:fill="ffffff" w:val="clear"/>
        <w:spacing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Graduanda em Medicina Veterinária, Universidade Federal Rural da Amazônia, Belém, Pará, Brasil (ana.ccmessias@gmail.com) 2. Residente do Programa de Residência em Medicina de Animais Selvagens da Universidade Federal Rural da Amazônia, Belém, Pará, Brasil 3. Médico Veterinário do Hospital Veterinário Mário Dias Teixeira, Belém, Pará, Brasil</w:t>
      </w:r>
    </w:p>
    <w:p w:rsidR="00000000" w:rsidDel="00000000" w:rsidP="00000000" w:rsidRDefault="00000000" w:rsidRPr="00000000" w14:paraId="00000004">
      <w:pPr>
        <w:shd w:fill="ffffff" w:val="clear"/>
        <w:spacing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cuidado parental é essencial para a sobrevivência da prole, em especial dos filhotes altriciais. O mamífero marsupial </w:t>
      </w:r>
      <w:r w:rsidDel="00000000" w:rsidR="00000000" w:rsidRPr="00000000">
        <w:rPr>
          <w:rFonts w:ascii="Times New Roman" w:cs="Times New Roman" w:eastAsia="Times New Roman" w:hAnsi="Times New Roman"/>
          <w:i w:val="1"/>
          <w:sz w:val="24"/>
          <w:szCs w:val="24"/>
          <w:rtl w:val="0"/>
        </w:rPr>
        <w:t xml:space="preserve">Didelphis marsupialis, </w:t>
      </w:r>
      <w:r w:rsidDel="00000000" w:rsidR="00000000" w:rsidRPr="00000000">
        <w:rPr>
          <w:rFonts w:ascii="Times New Roman" w:cs="Times New Roman" w:eastAsia="Times New Roman" w:hAnsi="Times New Roman"/>
          <w:sz w:val="24"/>
          <w:szCs w:val="24"/>
          <w:rtl w:val="0"/>
        </w:rPr>
        <w:t xml:space="preserve">gambá-comum, apresenta curto período de gestação (12-14 dias) e longo período de lactação, de aproximadamente 100 dias. Ao nascer, o filhote é subdesenvolvido, apresentando imaturidade imunológica, o que torna este mais susceptível ao desenvolvimento de infecções. Todavia, através do leite materno, nutrientes e substâncias que conferem proteção para agentes infecciosos são transferidos para o filhote. O gambá-comum é considerado um animal sinantrópico, o que propicia em ambientes urbanos a presença de fêmeas com filhotes, sendo estas mais vulneráveis às ações antrópicas ou ataques por cães, pois se deslocam mais lentamente. A úlcera de córnea consiste em lesão do epitélio corneano com perda parcial ou total do estroma da córnea. É uma condição oftalmológica grave, ocasionada principalmente por traumas e/ou infecções, e que pode levar à perda da visão, se não for tratada. Neste contexto, relatamos a conduta terapêutica realizada durante tratamento de úlcera de córnea unilateral em filhote órfão de gambá-comum. Um filhote de </w:t>
      </w:r>
      <w:r w:rsidDel="00000000" w:rsidR="00000000" w:rsidRPr="00000000">
        <w:rPr>
          <w:rFonts w:ascii="Times New Roman" w:cs="Times New Roman" w:eastAsia="Times New Roman" w:hAnsi="Times New Roman"/>
          <w:i w:val="1"/>
          <w:sz w:val="24"/>
          <w:szCs w:val="24"/>
          <w:rtl w:val="0"/>
        </w:rPr>
        <w:t xml:space="preserve">D. marsupialis</w:t>
      </w:r>
      <w:r w:rsidDel="00000000" w:rsidR="00000000" w:rsidRPr="00000000">
        <w:rPr>
          <w:rFonts w:ascii="Times New Roman" w:cs="Times New Roman" w:eastAsia="Times New Roman" w:hAnsi="Times New Roman"/>
          <w:sz w:val="24"/>
          <w:szCs w:val="24"/>
          <w:rtl w:val="0"/>
        </w:rPr>
        <w:t xml:space="preserve">, fêmea, pesando 22g, foi resgatado no município de Barcarena-PA, após óbito da mãe por ataque de cão, e encaminhado por órgão ambiental ao Centro de Triagem e Reabilitação de Animais Selvagens da Universidade Federal Rural da Amazônia, Belém-PA. Por tratar-se de um filhote, a terapêutica inicial consistiu em: glicose 50% (0,5mL/Kg, VO); fluidoterapia com Ringer Lactato (50mL/Kg, SC); aquecimento; e alimentação com posterior estimulação para defecação e micção. Além disso, preconizou-se suplementação diária com cálcio (41,18g/Kg de produto, 1mL/Kg, VO, SID). O manejo do animal ocorreu conforme protocolos de segurança e bem-estar animal. Contudo, após um mês e três dias de internação, observou-se secreção no olho esquerdo, sendo instituído uso de solução oftálmica de carmelose sódica 5mg/mL (1 gota em olho esquerdo, BID, 4d). Sem melhora, houve evolução para opacidade em córnea. Durante avaliação oftalmológica constatou-se úlcera de córnea através do teste de fluoresceína. Deste modo, estabeleceu-se uso de colírio antibiótico de sulfato de tobramicina 0,3% (1 gota em olho esquerdo, QID, 4d), porém, devido recomendação oftálmica e no intuito de cicatrização, houve substituição por colírio antibiótico cicatrizante a base de ciprofloxacina 0,3% e sulfato de condroitina 20% (1 gota em olho esquerdo, QID, 17d). Posteriormente, perpassados 17 dias de uso e conforme nova avaliação oftalmológica realizou-se alteração por solução oftálmica do antibiótico cloridrato de moxifloxacino 5mg/mL e de forma preventiva o mesmo foi administrado em ambos os olhos (1 gota em cada olho, QID, 10d). Visando auxiliar no processo de cicatrização também foram administrados: soro equino (1 gota em olho esquerdo, QID, 23d) e gel oftálmico lubrificante reepitelizante de dexpantenol 50mg/g (1 gota em olho esquerdo, QID, 42d). Quando ocorrida administração concomitante dos colírios, os mesmos eram realizados com intervalo de 10 minutos entre si. A duração completa do tratamento correspondeu a 51 dias. Ao término do tratamento, após reavaliação oftalmológica, diante da evolução do quadro do animal, constatou-se que as alterações terapêuticas foram necessárias e eficazes para a recuperação clínica do filhote.</w:t>
      </w:r>
    </w:p>
    <w:p w:rsidR="00000000" w:rsidDel="00000000" w:rsidP="00000000" w:rsidRDefault="00000000" w:rsidRPr="00000000" w14:paraId="00000005">
      <w:pPr>
        <w:shd w:fill="ffffff" w:val="clear"/>
        <w:spacing w:after="0" w:line="276" w:lineRule="auto"/>
        <w:ind w:left="-280" w:right="-2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marsupial; fauna sinantrópica; clínica; ceratite ulcerativa.</w:t>
      </w:r>
    </w:p>
    <w:p w:rsidR="00000000" w:rsidDel="00000000" w:rsidP="00000000" w:rsidRDefault="00000000" w:rsidRPr="00000000" w14:paraId="00000007">
      <w:pPr>
        <w:shd w:fill="ffffff" w:val="clear"/>
        <w:spacing w:after="0" w:line="276" w:lineRule="auto"/>
        <w:ind w:left="-280" w:right="-2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hd w:fill="ffffff" w:val="clear"/>
        <w:spacing w:after="0" w:line="276" w:lineRule="auto"/>
        <w:ind w:left="-280" w:right="-2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09">
      <w:pPr>
        <w:shd w:fill="ffffff" w:val="clear"/>
        <w:spacing w:after="0" w:line="276" w:lineRule="auto"/>
        <w:ind w:left="-280" w:right="-2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A">
      <w:pPr>
        <w:shd w:fill="ffffff" w:val="clear"/>
        <w:spacing w:after="0"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NASCIMENTO, C. C.; HORTA, M. C. Didelphimorphia (Gambá e Cuíca). In: CUBAS et al. (Org.). </w:t>
      </w:r>
      <w:r w:rsidDel="00000000" w:rsidR="00000000" w:rsidRPr="00000000">
        <w:rPr>
          <w:rFonts w:ascii="Times New Roman" w:cs="Times New Roman" w:eastAsia="Times New Roman" w:hAnsi="Times New Roman"/>
          <w:b w:val="1"/>
          <w:sz w:val="24"/>
          <w:szCs w:val="24"/>
          <w:rtl w:val="0"/>
        </w:rPr>
        <w:t xml:space="preserve">Tratado De Animais Selvagens: Medicina Veterinária</w:t>
      </w:r>
      <w:r w:rsidDel="00000000" w:rsidR="00000000" w:rsidRPr="00000000">
        <w:rPr>
          <w:rFonts w:ascii="Times New Roman" w:cs="Times New Roman" w:eastAsia="Times New Roman" w:hAnsi="Times New Roman"/>
          <w:sz w:val="24"/>
          <w:szCs w:val="24"/>
          <w:rtl w:val="0"/>
        </w:rPr>
        <w:t xml:space="preserve">. 2a ed. São Paulo: Roca; 2014. p.682-706.</w:t>
      </w:r>
    </w:p>
    <w:p w:rsidR="00000000" w:rsidDel="00000000" w:rsidP="00000000" w:rsidRDefault="00000000" w:rsidRPr="00000000" w14:paraId="0000000B">
      <w:pPr>
        <w:shd w:fill="ffffff" w:val="clear"/>
        <w:spacing w:after="0"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hd w:fill="ffffff" w:val="clear"/>
        <w:spacing w:after="0" w:line="276" w:lineRule="auto"/>
        <w:ind w:left="-28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MACEDO, I.; ARAUJO, C.R.; MUSIELLO, L.L.</w:t>
      </w:r>
      <w:r w:rsidDel="00000000" w:rsidR="00000000" w:rsidRPr="00000000">
        <w:rPr>
          <w:rFonts w:ascii="Times New Roman" w:cs="Times New Roman" w:eastAsia="Times New Roman" w:hAnsi="Times New Roman"/>
          <w:b w:val="1"/>
          <w:sz w:val="24"/>
          <w:szCs w:val="24"/>
          <w:rtl w:val="0"/>
        </w:rPr>
        <w:t xml:space="preserve"> Projeto marsupiais: cuidados, reabilitação e soltura de gambá- de-orelha-preta (</w:t>
      </w:r>
      <w:r w:rsidDel="00000000" w:rsidR="00000000" w:rsidRPr="00000000">
        <w:rPr>
          <w:rFonts w:ascii="Times New Roman" w:cs="Times New Roman" w:eastAsia="Times New Roman" w:hAnsi="Times New Roman"/>
          <w:b w:val="1"/>
          <w:i w:val="1"/>
          <w:sz w:val="24"/>
          <w:szCs w:val="24"/>
          <w:rtl w:val="0"/>
        </w:rPr>
        <w:t xml:space="preserve">Didelphis aurita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Boletim Técnico ABRAVAS. Ano V, nº. 49. Ago/2020.</w:t>
      </w:r>
    </w:p>
    <w:p w:rsidR="00000000" w:rsidDel="00000000" w:rsidP="00000000" w:rsidRDefault="00000000" w:rsidRPr="00000000" w14:paraId="0000000D">
      <w:pPr>
        <w:shd w:fill="ffffff" w:val="clear"/>
        <w:spacing w:after="0" w:line="276" w:lineRule="auto"/>
        <w:ind w:left="-280" w:right="-280" w:firstLine="0"/>
        <w:jc w:val="both"/>
        <w:rPr>
          <w:rFonts w:ascii="Times New Roman" w:cs="Times New Roman" w:eastAsia="Times New Roman" w:hAnsi="Times New Roman"/>
          <w:sz w:val="24"/>
          <w:szCs w:val="24"/>
        </w:rPr>
      </w:pPr>
      <w:bookmarkStart w:colFirst="0" w:colLast="0" w:name="_us1s5pf01i9" w:id="1"/>
      <w:bookmarkEnd w:id="1"/>
      <w:r w:rsidDel="00000000" w:rsidR="00000000" w:rsidRPr="00000000">
        <w:rPr>
          <w:rtl w:val="0"/>
        </w:rPr>
      </w:r>
    </w:p>
    <w:p w:rsidR="00000000" w:rsidDel="00000000" w:rsidP="00000000" w:rsidRDefault="00000000" w:rsidRPr="00000000" w14:paraId="0000000E">
      <w:pPr>
        <w:shd w:fill="ffffff" w:val="clear"/>
        <w:spacing w:after="0" w:line="276" w:lineRule="auto"/>
        <w:ind w:left="-280" w:right="-280" w:firstLine="0"/>
        <w:jc w:val="both"/>
        <w:rPr>
          <w:rFonts w:ascii="Times New Roman" w:cs="Times New Roman" w:eastAsia="Times New Roman" w:hAnsi="Times New Roman"/>
          <w:sz w:val="24"/>
          <w:szCs w:val="24"/>
        </w:rPr>
      </w:pPr>
      <w:bookmarkStart w:colFirst="0" w:colLast="0" w:name="_lxqtfqh7l5f" w:id="2"/>
      <w:bookmarkEnd w:id="2"/>
      <w:r w:rsidDel="00000000" w:rsidR="00000000" w:rsidRPr="00000000">
        <w:rPr>
          <w:rFonts w:ascii="Times New Roman" w:cs="Times New Roman" w:eastAsia="Times New Roman" w:hAnsi="Times New Roman"/>
          <w:sz w:val="24"/>
          <w:szCs w:val="24"/>
          <w:rtl w:val="0"/>
        </w:rPr>
        <w:t xml:space="preserve">REYNOLDS, B.D.; CARUSO, K.A.; WHITTAKER, C.J.; SMITH, J. Ophthalmology of Marsupials: Opossums, Koalas, Kangaroos, Bandicoots, and Relatives. In: MONTIANI-FERREIRA, F.; MOORE, B.A.; BEN-SHLOMO, G. </w:t>
      </w:r>
      <w:r w:rsidDel="00000000" w:rsidR="00000000" w:rsidRPr="00000000">
        <w:rPr>
          <w:rFonts w:ascii="Times New Roman" w:cs="Times New Roman" w:eastAsia="Times New Roman" w:hAnsi="Times New Roman"/>
          <w:b w:val="1"/>
          <w:sz w:val="24"/>
          <w:szCs w:val="24"/>
          <w:rtl w:val="0"/>
        </w:rPr>
        <w:t xml:space="preserve">Wild and Exotic Animal Ophthalmology</w:t>
      </w:r>
      <w:r w:rsidDel="00000000" w:rsidR="00000000" w:rsidRPr="00000000">
        <w:rPr>
          <w:rFonts w:ascii="Times New Roman" w:cs="Times New Roman" w:eastAsia="Times New Roman" w:hAnsi="Times New Roman"/>
          <w:sz w:val="24"/>
          <w:szCs w:val="24"/>
          <w:rtl w:val="0"/>
        </w:rPr>
        <w:t xml:space="preserve">. Springer, Cham. 2022. </w:t>
      </w:r>
    </w:p>
    <w:p w:rsidR="00000000" w:rsidDel="00000000" w:rsidP="00000000" w:rsidRDefault="00000000" w:rsidRPr="00000000" w14:paraId="0000000F">
      <w:pPr>
        <w:shd w:fill="ffffff" w:val="clear"/>
        <w:spacing w:after="0" w:line="240" w:lineRule="auto"/>
        <w:ind w:left="-284" w:right="-285"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6" w:type="default"/>
      <w:footerReference r:id="rId7" w:type="default"/>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color w:val="000000"/>
      </w:rPr>
      <w:drawing>
        <wp:inline distB="0" distT="0" distL="0" distR="0">
          <wp:extent cx="2705100" cy="13525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5100"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