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360" w:line="276" w:lineRule="auto"/>
        <w:jc w:val="center"/>
        <w:rPr>
          <w:color w:val="313131"/>
          <w:sz w:val="28"/>
          <w:szCs w:val="28"/>
        </w:rPr>
      </w:pPr>
      <w:r w:rsidDel="00000000" w:rsidR="00000000" w:rsidRPr="00000000">
        <w:rPr>
          <w:b w:val="1"/>
          <w:color w:val="313131"/>
          <w:sz w:val="28"/>
          <w:szCs w:val="28"/>
          <w:highlight w:val="white"/>
          <w:rtl w:val="0"/>
        </w:rPr>
        <w:t xml:space="preserve">ADENOCARCINOMA INTESTINAL EM FELINO: UM RELATO DE CASO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center"/>
        <w:rPr>
          <w:color w:val="55555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 w:rsidDel="00000000" w:rsidR="00000000" w:rsidRPr="00000000">
        <w:rPr>
          <w:color w:val="313131"/>
          <w:sz w:val="22"/>
          <w:szCs w:val="22"/>
          <w:highlight w:val="white"/>
          <w:u w:val="single"/>
          <w:rtl w:val="0"/>
        </w:rPr>
        <w:t xml:space="preserve">Blanchart, T. V.</w:t>
      </w:r>
      <w:r w:rsidDel="00000000" w:rsidR="00000000" w:rsidRPr="00000000">
        <w:rPr>
          <w:color w:val="313131"/>
          <w:sz w:val="22"/>
          <w:szCs w:val="22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; Pereira, B. B. N.²; Ramos, N. V.³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ind w:left="426" w:hanging="426"/>
        <w:jc w:val="both"/>
        <w:rPr>
          <w:color w:val="555555"/>
          <w:sz w:val="22"/>
          <w:szCs w:val="22"/>
        </w:rPr>
      </w:pPr>
      <w:r w:rsidDel="00000000" w:rsidR="00000000" w:rsidRPr="00000000">
        <w:rPr>
          <w:color w:val="313131"/>
          <w:sz w:val="22"/>
          <w:szCs w:val="22"/>
          <w:highlight w:val="white"/>
          <w:vertAlign w:val="superscript"/>
          <w:rtl w:val="0"/>
        </w:rPr>
        <w:t xml:space="preserve">1 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Graduanda em Medicina Veterinária - Universidade Federal Fluminense - UFF, Niterói - RJ.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² Médica Veterinária autônoma - Clínica Veterinária CliniCat – Niterói - RJ.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³ Professora da Universidade de Vassouras - Campus Maricá – Maricá, RJ.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center"/>
        <w:rPr>
          <w:sz w:val="22"/>
          <w:szCs w:val="22"/>
          <w:highlight w:val="white"/>
        </w:rPr>
      </w:pP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E-mail: </w:t>
      </w:r>
      <w:hyperlink r:id="rId7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thaisblanchart@gmail.com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O adenocarcinoma é um tumor oriundo do tecido glandular, de alta malignidade e caráter infiltrativo, geralmente observado em gatos machos e idosos. Metástases podem ocorrer sobretudo em linfonodos regionais, parede abdominal, mesentério e pulmões. Dentre as neoplasias que acometem felinos, os tumores intestinais correspondem a 6% dos casos, e dentre esses, os adenocarcinomas têm prevalência de 17%. Prostração, emagrecimento progressivo e vômitos são os sinais clínicos observados. Considerando sua malignidade, é de suma importância o diagnóstico diferencial. A remoção cirúrgica é a principal forma de tratamento. Treze felinos acompanhados em um estudo sobreviveram, em média, 80 dias após a exérese do tumor, e apenas um sobreviveu dois anos após a cirurgia. Este relato objetiva descrever o caso de felino com diagnóstico histopatológico de adenocarcinoma intestinal. Foi atendido um felino sem raça definida, macho, castrado de aproximadamente seis anos e 5,2 kg. Relatou-se perda de peso progressiva há dois meses. Ao exame físico, foi identificada uma massa palpável em abdome. Foram realizados exames complementares: teste sorológico rápido para detecção de antígenos do Vírus da Leucemia Felina (FeLV) e anticorpos do Vírus da Imunodeficiência Felina (FIV), com resultado negativo para ambas infecções; hemograma com leucocitose neutrofílica com desvio à esquerda regenerativo, monocitose e linfopenia.</w:t>
      </w:r>
      <w:r w:rsidDel="00000000" w:rsidR="00000000" w:rsidRPr="00000000">
        <w:rPr>
          <w:color w:val="ff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Na bioquímica sérica foram observadas azotemia, hipercalemia e hiperlipidemia e aumento da lipase imunorreativa felina. A ultrassonografia abdominal foi sugestiva de neoformação heterogênea em abdome médio lateral esquerdo, com dimensões aproximadas de 3,4cm x 3,0cm e presença de volume acentuado de líquido livre, para o qual realizou exame citológico que constatou intensa celularidade, principalmente por células atípicas de provável origem epitelial. Foi feito o tratamento sintomático com ondansetrona 1mg/kg/SC, BID, cloridrato de tramadol 2mg/kg/SC, e cobamamida+cloridrato de ciproeptadina 0,5mg/kg/VO, BID, por sete dias na tentativa de estabilizar o paciente para futura cirurgia. Após sete dias, o paciente evoluiu para o óbito. Na necrópsia foram retirados fragmentos do nódulo em omento que, através do exame histopatológico, confirmou o diagnóstico de adenocarcinoma. Devido ao prognóstico ruim desta neoplasia, é fundamental o diagnóstico precoce para possibilitar a exérese do tumor, diminuindo a chance de metástase e assim, manter a qualidade de vida do paciente. 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>
          <w:color w:val="313131"/>
          <w:sz w:val="22"/>
          <w:szCs w:val="22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313131"/>
          <w:sz w:val="22"/>
          <w:szCs w:val="22"/>
          <w:highlight w:val="white"/>
          <w:rtl w:val="0"/>
        </w:rPr>
        <w:t xml:space="preserve">Palavras-chave: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 omento; carcinoma; gatos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both"/>
        <w:rPr>
          <w:color w:val="313131"/>
          <w:sz w:val="22"/>
          <w:szCs w:val="22"/>
          <w:highlight w:val="white"/>
        </w:rPr>
      </w:pPr>
      <w:bookmarkStart w:colFirst="0" w:colLast="0" w:name="_heading=h.l0ahchu7swzc" w:id="1"/>
      <w:bookmarkEnd w:id="1"/>
      <w:r w:rsidDel="00000000" w:rsidR="00000000" w:rsidRPr="00000000">
        <w:rPr>
          <w:b w:val="1"/>
          <w:color w:val="313131"/>
          <w:sz w:val="22"/>
          <w:szCs w:val="22"/>
          <w:highlight w:val="white"/>
          <w:rtl w:val="0"/>
        </w:rPr>
        <w:t xml:space="preserve">Referência: 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MEUTEN, D., J. </w:t>
      </w:r>
      <w:r w:rsidDel="00000000" w:rsidR="00000000" w:rsidRPr="00000000">
        <w:rPr>
          <w:b w:val="1"/>
          <w:color w:val="313131"/>
          <w:sz w:val="22"/>
          <w:szCs w:val="22"/>
          <w:highlight w:val="white"/>
          <w:rtl w:val="0"/>
        </w:rPr>
        <w:t xml:space="preserve">Tumors in domestic animals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. 5 ed. Iowa: Willey Blackwell, 2017. p. 563-568.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jc w:val="both"/>
        <w:rPr>
          <w:color w:val="313131"/>
          <w:sz w:val="22"/>
          <w:szCs w:val="22"/>
          <w:highlight w:val="white"/>
        </w:rPr>
      </w:pPr>
      <w:bookmarkStart w:colFirst="0" w:colLast="0" w:name="_heading=h.yxh9z8dirhz7" w:id="2"/>
      <w:bookmarkEnd w:id="2"/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WITHROW, S. J; VAIL, D. M. </w:t>
      </w:r>
      <w:r w:rsidDel="00000000" w:rsidR="00000000" w:rsidRPr="00000000">
        <w:rPr>
          <w:b w:val="1"/>
          <w:color w:val="313131"/>
          <w:sz w:val="22"/>
          <w:szCs w:val="22"/>
          <w:highlight w:val="white"/>
          <w:rtl w:val="0"/>
        </w:rPr>
        <w:t xml:space="preserve">Small animal clinical oncology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. 4 ed. St. Louis: Saunders Elsevier, 2007. p. 491-493.</w:t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both"/>
        <w:rPr>
          <w:color w:val="31313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7" w:w="11905"/>
      <w:pgMar w:bottom="709" w:top="993" w:left="1559" w:right="1132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     </w:t>
    </w:r>
    <w:r w:rsidDel="00000000" w:rsidR="00000000" w:rsidRPr="00000000">
      <w:rPr/>
      <w:drawing>
        <wp:inline distB="0" distT="0" distL="0" distR="0">
          <wp:extent cx="1507583" cy="8382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7583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2160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color w:val="0000ff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jc w:val="both"/>
      <w:outlineLvl w:val="0"/>
    </w:pPr>
    <w:rPr>
      <w:b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ind w:left="2160"/>
      <w:jc w:val="both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ind w:left="2160"/>
      <w:jc w:val="both"/>
      <w:outlineLvl w:val="2"/>
    </w:pPr>
    <w:rPr>
      <w:b w:val="1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ind w:left="216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outlineLvl w:val="4"/>
    </w:pPr>
    <w:rPr>
      <w:b w:val="1"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jc w:val="center"/>
    </w:pPr>
    <w:rPr>
      <w:b w:val="1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spacing w:after="120" w:before="240"/>
      <w:jc w:val="center"/>
    </w:pPr>
    <w:rPr>
      <w:i w:val="1"/>
      <w:sz w:val="28"/>
      <w:szCs w:val="2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102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1028A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102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1028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1028A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1028A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1028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haisblanchart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VJ82akt3149u6hdYCfF5cQKqBw==">AMUW2mXInMYzOnk3BIKS75YEiDfIlkUrb4KyAglDmaf3yNpp0fnvfYHt9JUR79fuvohkUC72Q8OObTTqqvwHkjuZ1FraGiWcd5jo70wBKLyoQ7UWGAAfYtCyqRmmUUZHdNcBs5W09hpL+AxYWu/sAK3ow+RAttTiBq1jD1IkgKM0JXjfBJU/9jk=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2020-10-16T01:37:00Z</dcterms:created>
</cp:coreProperties>
</file>