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3F42" w14:textId="7DD1AC91" w:rsidR="00A83DCB" w:rsidRDefault="00A83DCB" w:rsidP="00A83DCB">
      <w:pPr>
        <w:rPr>
          <w:rFonts w:ascii="Times New Roman" w:hAnsi="Times New Roman" w:cs="Times New Roman"/>
          <w:b/>
          <w:sz w:val="24"/>
          <w:szCs w:val="24"/>
        </w:rPr>
      </w:pPr>
    </w:p>
    <w:p w14:paraId="167CA837" w14:textId="4566A05A" w:rsidR="00BC1E3B" w:rsidRPr="00BC1E3B" w:rsidRDefault="00BC1E3B" w:rsidP="00BC1E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E3B">
        <w:rPr>
          <w:rFonts w:ascii="Times New Roman" w:hAnsi="Times New Roman" w:cs="Times New Roman"/>
          <w:b/>
          <w:sz w:val="24"/>
          <w:szCs w:val="24"/>
        </w:rPr>
        <w:t>PROCESSO INFLAMATÓRIO</w:t>
      </w:r>
      <w:r w:rsidRPr="00BC1E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C1E3B">
        <w:rPr>
          <w:rFonts w:ascii="Times New Roman" w:hAnsi="Times New Roman" w:cs="Times New Roman"/>
          <w:b/>
          <w:sz w:val="24"/>
          <w:szCs w:val="24"/>
        </w:rPr>
        <w:t>DECORRENTE DA OBESIDADE CORROBORADO A ANORMALIDADES CEREBRAIS</w:t>
      </w:r>
    </w:p>
    <w:p w14:paraId="52EF5FC1" w14:textId="77777777" w:rsidR="00A83DCB" w:rsidRDefault="00D31D65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>Bárbara Queiroz de Figueiredo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7C93"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3F7C93">
        <w:rPr>
          <w:rFonts w:ascii="Times New Roman" w:hAnsi="Times New Roman" w:cs="Times New Roman"/>
          <w:sz w:val="24"/>
          <w:szCs w:val="24"/>
        </w:rPr>
        <w:br/>
      </w:r>
      <w:r w:rsidR="00A83DCB">
        <w:rPr>
          <w:rFonts w:ascii="Times New Roman" w:hAnsi="Times New Roman" w:cs="Times New Roman"/>
          <w:sz w:val="24"/>
          <w:szCs w:val="24"/>
        </w:rPr>
        <w:t>Marcelo Gomes de Almeida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7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4C4A7" w14:textId="45E92656" w:rsidR="00A83DCB" w:rsidRPr="00CB468A" w:rsidRDefault="003F7C93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83DCB" w:rsidRPr="00CB468A">
        <w:rPr>
          <w:rFonts w:ascii="Times New Roman" w:hAnsi="Times New Roman" w:cs="Times New Roman"/>
          <w:sz w:val="24"/>
          <w:szCs w:val="24"/>
        </w:rPr>
        <w:t>¹</w:t>
      </w:r>
      <w:r w:rsidR="00A83DCB">
        <w:rPr>
          <w:rFonts w:ascii="Times New Roman" w:hAnsi="Times New Roman" w:cs="Times New Roman"/>
          <w:sz w:val="24"/>
          <w:szCs w:val="24"/>
        </w:rPr>
        <w:t xml:space="preserve"> Graduanda em</w:t>
      </w:r>
      <w:r w:rsidR="00A83DCB" w:rsidRPr="00CB468A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 xml:space="preserve">Medicina - </w:t>
      </w:r>
      <w:r w:rsidR="00A83DCB" w:rsidRPr="00CB468A">
        <w:rPr>
          <w:rFonts w:ascii="Times New Roman" w:hAnsi="Times New Roman" w:cs="Times New Roman"/>
          <w:sz w:val="24"/>
          <w:szCs w:val="24"/>
        </w:rPr>
        <w:t>Centro Universitário de Patos de Minas</w:t>
      </w:r>
      <w:r w:rsidR="00A83DCB">
        <w:rPr>
          <w:rFonts w:ascii="Times New Roman" w:hAnsi="Times New Roman" w:cs="Times New Roman"/>
          <w:sz w:val="24"/>
          <w:szCs w:val="24"/>
        </w:rPr>
        <w:t xml:space="preserve"> - MG (barbarafigueiredo@unipam.edu.br)</w:t>
      </w:r>
    </w:p>
    <w:p w14:paraId="21F8F009" w14:textId="38785E78" w:rsidR="00A83DCB" w:rsidRDefault="00A83DCB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68A">
        <w:rPr>
          <w:rFonts w:ascii="Times New Roman" w:hAnsi="Times New Roman" w:cs="Times New Roman"/>
          <w:sz w:val="24"/>
          <w:szCs w:val="24"/>
        </w:rPr>
        <w:t xml:space="preserve">² </w:t>
      </w:r>
      <w:r>
        <w:rPr>
          <w:rFonts w:ascii="Times New Roman" w:hAnsi="Times New Roman" w:cs="Times New Roman"/>
          <w:sz w:val="24"/>
          <w:szCs w:val="24"/>
        </w:rPr>
        <w:t xml:space="preserve">Neurocirurgião - </w:t>
      </w:r>
      <w:r w:rsidRPr="00CB468A">
        <w:rPr>
          <w:rFonts w:ascii="Times New Roman" w:hAnsi="Times New Roman" w:cs="Times New Roman"/>
          <w:sz w:val="24"/>
          <w:szCs w:val="24"/>
        </w:rPr>
        <w:t>Universidade Federal de Minas Gerais</w:t>
      </w:r>
      <w:r>
        <w:rPr>
          <w:rFonts w:ascii="Times New Roman" w:hAnsi="Times New Roman" w:cs="Times New Roman"/>
          <w:sz w:val="24"/>
          <w:szCs w:val="24"/>
        </w:rPr>
        <w:t xml:space="preserve"> - MG (marcelomedile@yahoo.com.br)</w:t>
      </w:r>
    </w:p>
    <w:p w14:paraId="0C7C3F4E" w14:textId="77777777" w:rsidR="00A83DCB" w:rsidRDefault="00A83DCB" w:rsidP="00A83D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E6716" w14:textId="68078DB8" w:rsidR="00BC1E3B" w:rsidRPr="00BC1E3B" w:rsidRDefault="00BC1E3B" w:rsidP="00BC1E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3B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BC1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BC1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expansão adiposa excessiva durante a obesidade causa disfunção adiposa e inflamação para aumentar os níveis sistêmicos de fatores pró-inflamatórios. </w:t>
      </w:r>
      <w:r w:rsidRPr="00BC1E3B">
        <w:rPr>
          <w:rFonts w:ascii="Times New Roman" w:hAnsi="Times New Roman" w:cs="Times New Roman"/>
          <w:sz w:val="24"/>
          <w:szCs w:val="24"/>
        </w:rPr>
        <w:t xml:space="preserve">O problema surge quando, em decorrência da obesidade sustentada, a resposta inflamatória não atinge seu objetivo e não se resolve, passando de uma reação local a um estado crônico sistêmico, o que pode desencadear prejuízos as funções cerebrais do indivíduo. </w:t>
      </w:r>
      <w:r w:rsidRPr="00BC1E3B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BC1E3B">
        <w:rPr>
          <w:rFonts w:ascii="Times New Roman" w:hAnsi="Times New Roman" w:cs="Times New Roman"/>
          <w:sz w:val="24"/>
          <w:szCs w:val="24"/>
        </w:rPr>
        <w:t xml:space="preserve"> explorar como o processo inflamatório corroborado pela obesidade poderia estar associado a anormalidades cerebrais, inclusive a demência. </w:t>
      </w:r>
      <w:r w:rsidRPr="00BC1E3B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C1E3B">
        <w:rPr>
          <w:rFonts w:ascii="Times New Roman" w:hAnsi="Times New Roman" w:cs="Times New Roman"/>
          <w:sz w:val="24"/>
          <w:szCs w:val="24"/>
        </w:rPr>
        <w:t xml:space="preserve">rata-se de uma pesquisa descritiva do tipo revisão integrativa da literatura. A pesquisa foi realizada através do acesso online nas bases de dados </w:t>
      </w:r>
      <w:proofErr w:type="spellStart"/>
      <w:r w:rsidRPr="00BC1E3B">
        <w:rPr>
          <w:rFonts w:ascii="Times New Roman" w:hAnsi="Times New Roman" w:cs="Times New Roman"/>
          <w:i/>
          <w:sz w:val="24"/>
          <w:szCs w:val="24"/>
        </w:rPr>
        <w:t>National</w:t>
      </w:r>
      <w:proofErr w:type="spellEnd"/>
      <w:r w:rsidRPr="00BC1E3B">
        <w:rPr>
          <w:rFonts w:ascii="Times New Roman" w:hAnsi="Times New Roman" w:cs="Times New Roman"/>
          <w:i/>
          <w:sz w:val="24"/>
          <w:szCs w:val="24"/>
        </w:rPr>
        <w:t xml:space="preserve"> Library </w:t>
      </w:r>
      <w:proofErr w:type="spellStart"/>
      <w:r w:rsidRPr="00BC1E3B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BC1E3B">
        <w:rPr>
          <w:rFonts w:ascii="Times New Roman" w:hAnsi="Times New Roman" w:cs="Times New Roman"/>
          <w:i/>
          <w:sz w:val="24"/>
          <w:szCs w:val="24"/>
        </w:rPr>
        <w:t xml:space="preserve"> Medicine</w:t>
      </w:r>
      <w:r w:rsidRPr="00BC1E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1E3B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BC1E3B">
        <w:rPr>
          <w:rFonts w:ascii="Times New Roman" w:hAnsi="Times New Roman" w:cs="Times New Roman"/>
          <w:sz w:val="24"/>
          <w:szCs w:val="24"/>
        </w:rPr>
        <w:t xml:space="preserve"> MEDLINE), </w:t>
      </w:r>
      <w:proofErr w:type="spellStart"/>
      <w:r w:rsidRPr="00BC1E3B">
        <w:rPr>
          <w:rFonts w:ascii="Times New Roman" w:hAnsi="Times New Roman" w:cs="Times New Roman"/>
          <w:i/>
          <w:sz w:val="24"/>
          <w:szCs w:val="24"/>
        </w:rPr>
        <w:t>Scientific</w:t>
      </w:r>
      <w:proofErr w:type="spellEnd"/>
      <w:r w:rsidRPr="00BC1E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1E3B">
        <w:rPr>
          <w:rFonts w:ascii="Times New Roman" w:hAnsi="Times New Roman" w:cs="Times New Roman"/>
          <w:i/>
          <w:sz w:val="24"/>
          <w:szCs w:val="24"/>
        </w:rPr>
        <w:t>Electronic</w:t>
      </w:r>
      <w:proofErr w:type="spellEnd"/>
      <w:r w:rsidRPr="00BC1E3B">
        <w:rPr>
          <w:rFonts w:ascii="Times New Roman" w:hAnsi="Times New Roman" w:cs="Times New Roman"/>
          <w:i/>
          <w:sz w:val="24"/>
          <w:szCs w:val="24"/>
        </w:rPr>
        <w:t xml:space="preserve"> Library Online</w:t>
      </w:r>
      <w:r w:rsidRPr="00BC1E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1E3B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BC1E3B">
        <w:rPr>
          <w:rFonts w:ascii="Times New Roman" w:hAnsi="Times New Roman" w:cs="Times New Roman"/>
          <w:sz w:val="24"/>
          <w:szCs w:val="24"/>
        </w:rPr>
        <w:t xml:space="preserve">), Google Scholar, Biblioteca Virtual em Saúde (BVS) e EBSCO </w:t>
      </w:r>
      <w:proofErr w:type="spellStart"/>
      <w:r w:rsidRPr="00BC1E3B">
        <w:rPr>
          <w:rFonts w:ascii="Times New Roman" w:hAnsi="Times New Roman" w:cs="Times New Roman"/>
          <w:i/>
          <w:sz w:val="24"/>
          <w:szCs w:val="24"/>
        </w:rPr>
        <w:t>Information</w:t>
      </w:r>
      <w:proofErr w:type="spellEnd"/>
      <w:r w:rsidRPr="00BC1E3B">
        <w:rPr>
          <w:rFonts w:ascii="Times New Roman" w:hAnsi="Times New Roman" w:cs="Times New Roman"/>
          <w:i/>
          <w:sz w:val="24"/>
          <w:szCs w:val="24"/>
        </w:rPr>
        <w:t xml:space="preserve"> Services</w:t>
      </w:r>
      <w:r w:rsidRPr="00BC1E3B">
        <w:rPr>
          <w:rFonts w:ascii="Times New Roman" w:hAnsi="Times New Roman" w:cs="Times New Roman"/>
          <w:sz w:val="24"/>
          <w:szCs w:val="24"/>
        </w:rPr>
        <w:t xml:space="preserve">, no mês de agosto de 2021. </w:t>
      </w:r>
      <w:r w:rsidRPr="00BC1E3B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Pr="00BC1E3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C1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C1E3B">
        <w:rPr>
          <w:rFonts w:ascii="Times New Roman" w:hAnsi="Times New Roman" w:cs="Times New Roman"/>
          <w:sz w:val="24"/>
          <w:szCs w:val="24"/>
        </w:rPr>
        <w:t xml:space="preserve">obesidade induzida por dieta exacerba significativamente a neuropatologia semelhante à DA e piora o comprometimento cognitivo. </w:t>
      </w:r>
      <w:r w:rsidRPr="00BC1E3B">
        <w:rPr>
          <w:rFonts w:ascii="Times New Roman" w:hAnsi="Times New Roman" w:cs="Times New Roman"/>
          <w:sz w:val="24"/>
          <w:szCs w:val="24"/>
          <w:lang w:eastAsia="pt-BR"/>
        </w:rPr>
        <w:t>Evidências mostram que uma dieta rica em gordura é um fator de risco para desenvolver neuropatia e polineuropatia autonômica, podendo ser devido à disfunção crônica secundária à obesidade e à inflamação devido ao acúmulo de macrófagos e aumento de citocinas pró-inflamatórias nos nervos periféricos, podendo ser visto uma redução do volume do hipocampo e a atrofia das regiões frontal, temporal e subcortical</w:t>
      </w:r>
      <w:r w:rsidRPr="00BC1E3B">
        <w:rPr>
          <w:rFonts w:ascii="Times New Roman" w:hAnsi="Times New Roman" w:cs="Times New Roman"/>
          <w:sz w:val="24"/>
          <w:szCs w:val="24"/>
        </w:rPr>
        <w:t xml:space="preserve">. </w:t>
      </w:r>
      <w:r w:rsidRPr="00BC1E3B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BC1E3B">
        <w:rPr>
          <w:rFonts w:ascii="Times New Roman" w:hAnsi="Times New Roman" w:cs="Times New Roman"/>
          <w:sz w:val="24"/>
          <w:szCs w:val="24"/>
        </w:rPr>
        <w:t xml:space="preserve"> este estudo não estabelece que a gordura extra ao redor da cintura seja a causa da demência, apenas sugere uma ligação entre essas duas características. </w:t>
      </w:r>
    </w:p>
    <w:p w14:paraId="68F89687" w14:textId="77777777" w:rsidR="007F1B71" w:rsidRDefault="007F1B71" w:rsidP="007F1B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5A69ABD5" w14:textId="418E5215" w:rsidR="00A83DCB" w:rsidRPr="00CB468A" w:rsidRDefault="00A83DCB" w:rsidP="00A83D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9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E3B">
        <w:rPr>
          <w:rFonts w:ascii="Times New Roman" w:hAnsi="Times New Roman" w:cs="Times New Roman"/>
          <w:sz w:val="24"/>
          <w:szCs w:val="24"/>
        </w:rPr>
        <w:t xml:space="preserve">Obesidade; Adipócitos; Inflamação; Hipotálamo; Demência. </w:t>
      </w:r>
      <w:r w:rsidR="007F1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37FF9" w14:textId="3426DEEF" w:rsidR="00D31D65" w:rsidRPr="00E93901" w:rsidRDefault="00D31D65" w:rsidP="00D31D65">
      <w:pPr>
        <w:pStyle w:val="Referncias"/>
        <w:jc w:val="both"/>
      </w:pPr>
    </w:p>
    <w:p w14:paraId="52433AEF" w14:textId="24606650" w:rsidR="00A83DCB" w:rsidRPr="00E93901" w:rsidRDefault="00A83DCB" w:rsidP="00D31D65">
      <w:pPr>
        <w:pStyle w:val="Referncias"/>
        <w:jc w:val="both"/>
        <w:rPr>
          <w:b/>
          <w:bCs/>
        </w:rPr>
      </w:pPr>
      <w:r w:rsidRPr="00E93901">
        <w:rPr>
          <w:b/>
          <w:bCs/>
        </w:rPr>
        <w:t>REFERÊNCIAS</w:t>
      </w:r>
    </w:p>
    <w:p w14:paraId="2141DB2A" w14:textId="76819466" w:rsidR="00A83DCB" w:rsidRPr="00E93901" w:rsidRDefault="00A83DCB" w:rsidP="00D31D65">
      <w:pPr>
        <w:pStyle w:val="Referncias"/>
        <w:jc w:val="both"/>
        <w:rPr>
          <w:b/>
          <w:bCs/>
        </w:rPr>
      </w:pPr>
    </w:p>
    <w:p w14:paraId="5950692D" w14:textId="36044FC7" w:rsidR="00BC1E3B" w:rsidRDefault="00BC1E3B" w:rsidP="00BC1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1E3B">
        <w:rPr>
          <w:rFonts w:ascii="Times New Roman" w:hAnsi="Times New Roman" w:cs="Times New Roman"/>
          <w:sz w:val="24"/>
          <w:szCs w:val="24"/>
          <w:lang w:val="en-US"/>
        </w:rPr>
        <w:t xml:space="preserve">AMEN, D. G., et al. </w:t>
      </w:r>
      <w:r w:rsidRPr="00BC1E3B">
        <w:rPr>
          <w:rFonts w:ascii="Times New Roman" w:hAnsi="Times New Roman" w:cs="Times New Roman"/>
          <w:sz w:val="24"/>
          <w:szCs w:val="24"/>
        </w:rPr>
        <w:t xml:space="preserve">Padrões de fluxo sanguíneo cerebral regional em função da obesidade em adultos. </w:t>
      </w:r>
      <w:hyperlink r:id="rId6" w:history="1">
        <w:r w:rsidRPr="00BC1E3B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Journal of Alzheimer's Disease</w:t>
        </w:r>
      </w:hyperlink>
      <w:r w:rsidRPr="00BC1E3B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BC1E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BC1E3B">
        <w:rPr>
          <w:rFonts w:ascii="Times New Roman" w:hAnsi="Times New Roman" w:cs="Times New Roman"/>
          <w:sz w:val="24"/>
          <w:szCs w:val="24"/>
          <w:lang w:val="en-US"/>
        </w:rPr>
        <w:t>77</w:t>
      </w:r>
      <w:r>
        <w:rPr>
          <w:rFonts w:ascii="Times New Roman" w:hAnsi="Times New Roman" w:cs="Times New Roman"/>
          <w:sz w:val="24"/>
          <w:szCs w:val="24"/>
          <w:lang w:val="en-US"/>
        </w:rPr>
        <w:t>, n. 3</w:t>
      </w:r>
      <w:r w:rsidRPr="00BC1E3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  <w:r w:rsidRPr="00BC1E3B">
        <w:rPr>
          <w:rFonts w:ascii="Times New Roman" w:hAnsi="Times New Roman" w:cs="Times New Roman"/>
          <w:sz w:val="24"/>
          <w:szCs w:val="24"/>
          <w:lang w:val="en-US"/>
        </w:rPr>
        <w:t xml:space="preserve"> 1331-1337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2020. </w:t>
      </w:r>
    </w:p>
    <w:p w14:paraId="6E480B21" w14:textId="5E7567F9" w:rsidR="00BC1E3B" w:rsidRDefault="00BC1E3B" w:rsidP="00BC1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4DE66D" w14:textId="77910717" w:rsidR="00BC1E3B" w:rsidRPr="00BC1E3B" w:rsidRDefault="00BC1E3B" w:rsidP="00BC1E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  <w:r w:rsidRPr="00BC1E3B">
        <w:rPr>
          <w:rFonts w:ascii="Times New Roman" w:hAnsi="Times New Roman" w:cs="Times New Roman"/>
          <w:sz w:val="24"/>
          <w:szCs w:val="24"/>
          <w:lang w:val="en-US"/>
        </w:rPr>
        <w:t xml:space="preserve">NICCOLAI, E., et al. </w:t>
      </w:r>
      <w:r w:rsidRPr="00BC1E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</w:t>
      </w:r>
      <w:proofErr w:type="spellStart"/>
      <w:r w:rsidRPr="00BC1E3B">
        <w:rPr>
          <w:rFonts w:ascii="Times New Roman" w:hAnsi="Times New Roman" w:cs="Times New Roman"/>
          <w:sz w:val="24"/>
          <w:szCs w:val="24"/>
          <w:lang w:val="en-US" w:eastAsia="pt-BR"/>
        </w:rPr>
        <w:t>Gut⁻Brain</w:t>
      </w:r>
      <w:proofErr w:type="spellEnd"/>
      <w:r w:rsidRPr="00BC1E3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Axis in the Neuropsychological Disease Model of Obesity: A Classical Movie Revised by the Emerging Director “Microbiome”. </w:t>
      </w:r>
      <w:r w:rsidRPr="00BC1E3B">
        <w:rPr>
          <w:rFonts w:ascii="Times New Roman" w:hAnsi="Times New Roman" w:cs="Times New Roman"/>
          <w:b/>
          <w:bCs/>
          <w:sz w:val="24"/>
          <w:szCs w:val="24"/>
          <w:lang w:val="en-US" w:eastAsia="pt-BR"/>
        </w:rPr>
        <w:t>Nutrients</w:t>
      </w:r>
      <w:r w:rsidRPr="00BC1E3B">
        <w:rPr>
          <w:rFonts w:ascii="Times New Roman" w:hAnsi="Times New Roman" w:cs="Times New Roman"/>
          <w:sz w:val="24"/>
          <w:szCs w:val="24"/>
          <w:lang w:val="en-US" w:eastAsia="pt-BR"/>
        </w:rPr>
        <w:t>,</w:t>
      </w:r>
      <w:r w:rsidRPr="00BC1E3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v.</w:t>
      </w:r>
      <w:r w:rsidRPr="00BC1E3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11</w:t>
      </w:r>
      <w:r w:rsidRPr="00BC1E3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, n. </w:t>
      </w:r>
      <w:r w:rsidRPr="00BC1E3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1, </w:t>
      </w:r>
      <w:r w:rsidRPr="00BC1E3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p. </w:t>
      </w:r>
      <w:r w:rsidRPr="00BC1E3B">
        <w:rPr>
          <w:rFonts w:ascii="Times New Roman" w:hAnsi="Times New Roman" w:cs="Times New Roman"/>
          <w:sz w:val="24"/>
          <w:szCs w:val="24"/>
          <w:lang w:val="en-US" w:eastAsia="pt-BR"/>
        </w:rPr>
        <w:t>156- 181</w:t>
      </w:r>
      <w:r w:rsidRPr="00BC1E3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, 2019. </w:t>
      </w:r>
    </w:p>
    <w:p w14:paraId="7C8DC66D" w14:textId="11CA013B" w:rsidR="00BC1E3B" w:rsidRDefault="00BC1E3B" w:rsidP="00BC1E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</w:pPr>
    </w:p>
    <w:p w14:paraId="258687AD" w14:textId="230FFD00" w:rsidR="00BC1E3B" w:rsidRPr="00BC1E3B" w:rsidRDefault="00BC1E3B" w:rsidP="00BC1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1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VERONESE, N., et al. </w:t>
      </w:r>
      <w:r w:rsidRPr="00BC1E3B">
        <w:rPr>
          <w:rFonts w:ascii="Times New Roman" w:hAnsi="Times New Roman" w:cs="Times New Roman"/>
          <w:sz w:val="24"/>
          <w:szCs w:val="24"/>
        </w:rPr>
        <w:t>A perda de peso está associada a melhorias na função cognitiva entre pessoas com sobrepeso e obesas: uma revisão sistemática e meta-análise. </w:t>
      </w:r>
      <w:proofErr w:type="spellStart"/>
      <w:r w:rsidRPr="00BC1E3B">
        <w:rPr>
          <w:rFonts w:ascii="Times New Roman" w:hAnsi="Times New Roman" w:cs="Times New Roman"/>
          <w:b/>
          <w:bCs/>
          <w:sz w:val="24"/>
          <w:szCs w:val="24"/>
          <w:lang w:val="en-US"/>
        </w:rPr>
        <w:t>Neurosci</w:t>
      </w:r>
      <w:proofErr w:type="spellEnd"/>
      <w:r w:rsidRPr="00BC1E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C1E3B">
        <w:rPr>
          <w:rFonts w:ascii="Times New Roman" w:hAnsi="Times New Roman" w:cs="Times New Roman"/>
          <w:b/>
          <w:bCs/>
          <w:sz w:val="24"/>
          <w:szCs w:val="24"/>
          <w:lang w:val="en-US"/>
        </w:rPr>
        <w:t>Biobehav</w:t>
      </w:r>
      <w:proofErr w:type="spellEnd"/>
      <w:r w:rsidRPr="00BC1E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Rev., </w:t>
      </w:r>
      <w:r>
        <w:rPr>
          <w:rFonts w:ascii="Times New Roman" w:hAnsi="Times New Roman" w:cs="Times New Roman"/>
          <w:sz w:val="24"/>
          <w:szCs w:val="24"/>
          <w:lang w:val="en-US"/>
        </w:rPr>
        <w:t>v. 7</w:t>
      </w:r>
      <w:r w:rsidRPr="00BC1E3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n. 1, p.</w:t>
      </w:r>
      <w:r w:rsidRPr="00BC1E3B">
        <w:rPr>
          <w:rFonts w:ascii="Times New Roman" w:hAnsi="Times New Roman" w:cs="Times New Roman"/>
          <w:sz w:val="24"/>
          <w:szCs w:val="24"/>
          <w:lang w:val="en-US"/>
        </w:rPr>
        <w:t xml:space="preserve"> 87-94</w:t>
      </w:r>
      <w:r w:rsidRPr="00BC1E3B">
        <w:rPr>
          <w:rFonts w:ascii="Times New Roman" w:hAnsi="Times New Roman" w:cs="Times New Roman"/>
          <w:sz w:val="24"/>
          <w:szCs w:val="24"/>
          <w:lang w:val="en-US"/>
        </w:rPr>
        <w:t xml:space="preserve">, 2017. </w:t>
      </w:r>
    </w:p>
    <w:p w14:paraId="0D9E024A" w14:textId="350FB2D1" w:rsidR="00BC1E3B" w:rsidRPr="00BC1E3B" w:rsidRDefault="00BC1E3B" w:rsidP="00BC1E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59229DC3" w14:textId="660233D7" w:rsidR="00BC1E3B" w:rsidRPr="00BC1E3B" w:rsidRDefault="00BC1E3B" w:rsidP="00BC1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1A3344" w14:textId="7CDFBCA9" w:rsidR="007F1B71" w:rsidRPr="00BC1E3B" w:rsidRDefault="007F1B71" w:rsidP="007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F16E4F" w14:textId="772D7AB0" w:rsidR="007F1B71" w:rsidRPr="00BC1E3B" w:rsidRDefault="007F1B71" w:rsidP="00A83DCB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4BE8B44C" w14:textId="77777777" w:rsidR="007F1B71" w:rsidRPr="00BC1E3B" w:rsidRDefault="007F1B71" w:rsidP="00A83DCB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sectPr w:rsidR="007F1B71" w:rsidRPr="00BC1E3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EE20" w14:textId="77777777" w:rsidR="00F37E5C" w:rsidRDefault="00F37E5C" w:rsidP="00D31D65">
      <w:pPr>
        <w:spacing w:after="0" w:line="240" w:lineRule="auto"/>
      </w:pPr>
      <w:r>
        <w:separator/>
      </w:r>
    </w:p>
  </w:endnote>
  <w:endnote w:type="continuationSeparator" w:id="0">
    <w:p w14:paraId="62DF55B7" w14:textId="77777777" w:rsidR="00F37E5C" w:rsidRDefault="00F37E5C" w:rsidP="00D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9E5" w14:textId="77777777" w:rsidR="00D31D65" w:rsidRDefault="00D31D65">
    <w:pPr>
      <w:pStyle w:val="Referncias"/>
    </w:pPr>
    <w:r w:rsidRPr="00D31D65">
      <w:rPr>
        <w:rFonts w:ascii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1D344" wp14:editId="6FF29C2F">
              <wp:simplePos x="0" y="0"/>
              <wp:positionH relativeFrom="column">
                <wp:posOffset>-1089660</wp:posOffset>
              </wp:positionH>
              <wp:positionV relativeFrom="paragraph">
                <wp:posOffset>267335</wp:posOffset>
              </wp:positionV>
              <wp:extent cx="7639050" cy="361950"/>
              <wp:effectExtent l="57150" t="19050" r="57150" b="7620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8FFF99" id="Retângulo 2" o:spid="_x0000_s1026" style="position:absolute;margin-left:-85.8pt;margin-top:21.05pt;width:60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" fillcolor="#3cc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9D4B" w14:textId="77777777" w:rsidR="00F37E5C" w:rsidRDefault="00F37E5C" w:rsidP="00D31D65">
      <w:pPr>
        <w:spacing w:after="0" w:line="240" w:lineRule="auto"/>
      </w:pPr>
      <w:r>
        <w:separator/>
      </w:r>
    </w:p>
  </w:footnote>
  <w:footnote w:type="continuationSeparator" w:id="0">
    <w:p w14:paraId="1629AE39" w14:textId="77777777" w:rsidR="00F37E5C" w:rsidRDefault="00F37E5C" w:rsidP="00D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1B37" w14:textId="77777777" w:rsidR="00D178EB" w:rsidRDefault="00330FB2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11FB2E93" wp14:editId="6C368555">
          <wp:simplePos x="0" y="0"/>
          <wp:positionH relativeFrom="column">
            <wp:posOffset>3025140</wp:posOffset>
          </wp:positionH>
          <wp:positionV relativeFrom="paragraph">
            <wp:posOffset>-60356</wp:posOffset>
          </wp:positionV>
          <wp:extent cx="2857500" cy="65281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desa_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5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EB">
      <w:rPr>
        <w:rFonts w:eastAsia="Times New Roman" w:cs="Arial"/>
        <w:noProof/>
        <w:color w:val="1F497D" w:themeColor="text2"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0" wp14:anchorId="02A5F61C" wp14:editId="33DF36C3">
          <wp:simplePos x="0" y="0"/>
          <wp:positionH relativeFrom="page">
            <wp:posOffset>-8890</wp:posOffset>
          </wp:positionH>
          <wp:positionV relativeFrom="page">
            <wp:posOffset>-9525</wp:posOffset>
          </wp:positionV>
          <wp:extent cx="4838700" cy="1047750"/>
          <wp:effectExtent l="0" t="0" r="0" b="0"/>
          <wp:wrapTopAndBottom/>
          <wp:docPr id="5" name="Imagem 5" descr="Uma imagem contendo peixe, pássaro, escorredor, computad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1" descr="Uma imagem contendo peixe, pássaro, escorredor, computador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53" b="18719"/>
                  <a:stretch/>
                </pic:blipFill>
                <pic:spPr bwMode="auto">
                  <a:xfrm>
                    <a:off x="0" y="0"/>
                    <a:ext cx="4838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C47EFF6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7ECD882E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2DEE486B" w14:textId="77777777" w:rsidR="00D31D65" w:rsidRDefault="00357FF3" w:rsidP="001E0169">
    <w:pPr>
      <w:jc w:val="right"/>
      <w:rPr>
        <w:b/>
        <w:sz w:val="24"/>
        <w:szCs w:val="24"/>
        <w:lang w:val="pt-PT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49F3A" wp14:editId="049D2A06">
              <wp:simplePos x="0" y="0"/>
              <wp:positionH relativeFrom="column">
                <wp:posOffset>2882265</wp:posOffset>
              </wp:positionH>
              <wp:positionV relativeFrom="paragraph">
                <wp:posOffset>97155</wp:posOffset>
              </wp:positionV>
              <wp:extent cx="3181350" cy="5048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EB807" w14:textId="77777777" w:rsidR="00357FF3" w:rsidRDefault="00551331" w:rsidP="00EC44B2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1</w:t>
                          </w:r>
                          <w:r w:rsidR="00357FF3" w:rsidRP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ª Edição 2021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| 23 a 26 de novembro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de 2021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 w:rsidR="00320817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7E023C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ISSN:</w:t>
                          </w:r>
                          <w:r w:rsid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EC44B2" w:rsidRP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2526-043X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49F3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26.95pt;margin-top:7.65pt;width:25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RFjQIAAJAFAAAOAAAAZHJzL2Uyb0RvYy54bWysVEtv2zAMvg/YfxB0X52kSdcF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" fillcolor="white [3201]" stroked="f" strokeweight=".5pt">
              <v:textbox>
                <w:txbxContent>
                  <w:p w14:paraId="495EB807" w14:textId="77777777" w:rsidR="00357FF3" w:rsidRDefault="00551331" w:rsidP="00EC44B2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1</w:t>
                    </w:r>
                    <w:r w:rsidR="00357FF3" w:rsidRPr="00357FF3">
                      <w:rPr>
                        <w:b/>
                        <w:sz w:val="24"/>
                        <w:szCs w:val="24"/>
                        <w:lang w:val="pt-PT"/>
                      </w:rPr>
                      <w:t>ª Edição 2021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 xml:space="preserve"> | 23 a 26 de novembro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de 2021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 w:rsidR="00320817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7E023C">
                      <w:rPr>
                        <w:b/>
                        <w:sz w:val="24"/>
                        <w:szCs w:val="24"/>
                        <w:lang w:val="pt-PT"/>
                      </w:rPr>
                      <w:t>ISSN:</w:t>
                    </w:r>
                    <w:r w:rsidR="00EC44B2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EC44B2" w:rsidRPr="00EC44B2">
                      <w:rPr>
                        <w:b/>
                        <w:sz w:val="24"/>
                        <w:szCs w:val="24"/>
                        <w:lang w:val="pt-PT"/>
                      </w:rPr>
                      <w:t>2526-043X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  <w:lang w:val="pt-PT"/>
      </w:rPr>
      <w:t xml:space="preserve">            </w:t>
    </w:r>
    <w:r>
      <w:rPr>
        <w:b/>
        <w:sz w:val="24"/>
        <w:szCs w:val="24"/>
        <w:lang w:val="pt-PT"/>
      </w:rPr>
      <w:br/>
    </w:r>
  </w:p>
  <w:p w14:paraId="295D0684" w14:textId="77777777" w:rsidR="00357FF3" w:rsidRPr="00357FF3" w:rsidRDefault="00357FF3" w:rsidP="001E0169">
    <w:pPr>
      <w:jc w:val="right"/>
      <w:rPr>
        <w:b/>
        <w:sz w:val="24"/>
        <w:szCs w:val="24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3F"/>
    <w:rsid w:val="000514F5"/>
    <w:rsid w:val="00190971"/>
    <w:rsid w:val="001C540B"/>
    <w:rsid w:val="001D308C"/>
    <w:rsid w:val="001E0169"/>
    <w:rsid w:val="002909AB"/>
    <w:rsid w:val="00320817"/>
    <w:rsid w:val="00330FB2"/>
    <w:rsid w:val="00357FF3"/>
    <w:rsid w:val="003F7C93"/>
    <w:rsid w:val="00413985"/>
    <w:rsid w:val="00444631"/>
    <w:rsid w:val="004A0F63"/>
    <w:rsid w:val="004C398B"/>
    <w:rsid w:val="00531C01"/>
    <w:rsid w:val="00551331"/>
    <w:rsid w:val="00555586"/>
    <w:rsid w:val="00791F92"/>
    <w:rsid w:val="007A693F"/>
    <w:rsid w:val="007E023C"/>
    <w:rsid w:val="007F1B71"/>
    <w:rsid w:val="00801459"/>
    <w:rsid w:val="008A3C40"/>
    <w:rsid w:val="008E717C"/>
    <w:rsid w:val="009B53E4"/>
    <w:rsid w:val="00A7632F"/>
    <w:rsid w:val="00A83DCB"/>
    <w:rsid w:val="00B6172F"/>
    <w:rsid w:val="00BC1E3B"/>
    <w:rsid w:val="00C44943"/>
    <w:rsid w:val="00CC3936"/>
    <w:rsid w:val="00D178EB"/>
    <w:rsid w:val="00D31D65"/>
    <w:rsid w:val="00D4102F"/>
    <w:rsid w:val="00DE626E"/>
    <w:rsid w:val="00E82E28"/>
    <w:rsid w:val="00E915E0"/>
    <w:rsid w:val="00E93901"/>
    <w:rsid w:val="00EC44B2"/>
    <w:rsid w:val="00F3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A3A8F"/>
  <w15:docId w15:val="{4A664B1C-E411-4F13-80EF-B7BA671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aliases w:val="Título de seções"/>
    <w:basedOn w:val="Normal"/>
    <w:next w:val="Normal"/>
    <w:link w:val="Ttulo2Char"/>
    <w:unhideWhenUsed/>
    <w:qFormat/>
    <w:rsid w:val="00D31D65"/>
    <w:pPr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de seções Char"/>
    <w:basedOn w:val="Fontepargpadro"/>
    <w:link w:val="Ttulo2"/>
    <w:rsid w:val="00D31D65"/>
    <w:rPr>
      <w:rFonts w:ascii="Times New Roman" w:eastAsia="Times New Roman" w:hAnsi="Times New Roman" w:cs="Times New Roman"/>
      <w:sz w:val="24"/>
      <w:szCs w:val="28"/>
      <w:lang w:val="pt-PT"/>
    </w:rPr>
  </w:style>
  <w:style w:type="paragraph" w:styleId="SemEspaamento">
    <w:name w:val="No Spacing"/>
    <w:aliases w:val="Texto com espaçamento"/>
    <w:uiPriority w:val="1"/>
    <w:qFormat/>
    <w:rsid w:val="00D31D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31D65"/>
    <w:pPr>
      <w:spacing w:before="120" w:after="240" w:line="240" w:lineRule="auto"/>
      <w:ind w:left="2268"/>
      <w:jc w:val="both"/>
    </w:pPr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D31D65"/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styleId="RefernciaSutil">
    <w:name w:val="Subtle Reference"/>
    <w:uiPriority w:val="31"/>
    <w:rsid w:val="00D31D65"/>
    <w:rPr>
      <w:smallCaps/>
      <w:color w:val="5A5A5A"/>
    </w:rPr>
  </w:style>
  <w:style w:type="paragraph" w:customStyle="1" w:styleId="Referncias">
    <w:name w:val="Referências"/>
    <w:basedOn w:val="Normal"/>
    <w:link w:val="RefernciasChar"/>
    <w:qFormat/>
    <w:rsid w:val="00D31D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D31D6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D6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31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65"/>
  </w:style>
  <w:style w:type="paragraph" w:styleId="Cabealho">
    <w:name w:val="header"/>
    <w:basedOn w:val="Normal"/>
    <w:link w:val="CabealhoChar"/>
    <w:uiPriority w:val="99"/>
    <w:unhideWhenUsed/>
    <w:rsid w:val="00791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F92"/>
  </w:style>
  <w:style w:type="paragraph" w:styleId="PargrafodaLista">
    <w:name w:val="List Paragraph"/>
    <w:basedOn w:val="Normal"/>
    <w:uiPriority w:val="34"/>
    <w:qFormat/>
    <w:rsid w:val="00357FF3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F1B7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ent.iospress.com/journals/journal-of-alzheimers-disea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Barbara Figueiredo</cp:lastModifiedBy>
  <cp:revision>36</cp:revision>
  <cp:lastPrinted>2021-09-28T21:43:00Z</cp:lastPrinted>
  <dcterms:created xsi:type="dcterms:W3CDTF">2021-08-12T15:33:00Z</dcterms:created>
  <dcterms:modified xsi:type="dcterms:W3CDTF">2021-09-28T22:07:00Z</dcterms:modified>
</cp:coreProperties>
</file>