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E9420" w14:textId="07F01107" w:rsidR="00CE5298" w:rsidRDefault="00CE5298" w:rsidP="00831F2D">
      <w:pPr>
        <w:shd w:val="clear" w:color="auto" w:fill="FFFFFF"/>
        <w:tabs>
          <w:tab w:val="left" w:pos="2500"/>
        </w:tabs>
        <w:jc w:val="center"/>
        <w:rPr>
          <w:b/>
          <w:sz w:val="24"/>
          <w:szCs w:val="24"/>
        </w:rPr>
      </w:pPr>
      <w:bookmarkStart w:id="0" w:name="_Hlk214728916"/>
      <w:bookmarkStart w:id="1" w:name="_Hlk211887728"/>
      <w:bookmarkEnd w:id="0"/>
      <w:r w:rsidRPr="00CE5298">
        <w:rPr>
          <w:b/>
          <w:sz w:val="24"/>
          <w:szCs w:val="24"/>
        </w:rPr>
        <w:t>O USO DE GEOTECNOLOGIAS NA OPERACIONALIZAÇÃO DO COMBATE AO DESMATAMENTO E QUEIMADAS</w:t>
      </w:r>
      <w:r w:rsidR="00F01631">
        <w:rPr>
          <w:b/>
          <w:sz w:val="24"/>
          <w:szCs w:val="24"/>
        </w:rPr>
        <w:t xml:space="preserve"> </w:t>
      </w:r>
      <w:r w:rsidR="003243EA">
        <w:rPr>
          <w:b/>
          <w:sz w:val="24"/>
          <w:szCs w:val="24"/>
        </w:rPr>
        <w:t>POR MEIO</w:t>
      </w:r>
      <w:r w:rsidR="00F01631">
        <w:rPr>
          <w:b/>
          <w:sz w:val="24"/>
          <w:szCs w:val="24"/>
        </w:rPr>
        <w:t xml:space="preserve"> DA ANÁLISE DE MATRIZES DE 2011-2021</w:t>
      </w:r>
      <w:r w:rsidRPr="00CE5298">
        <w:rPr>
          <w:b/>
          <w:sz w:val="24"/>
          <w:szCs w:val="24"/>
        </w:rPr>
        <w:t>.</w:t>
      </w:r>
    </w:p>
    <w:p w14:paraId="3D84EF91" w14:textId="77777777" w:rsidR="00831F2D" w:rsidRDefault="00831F2D" w:rsidP="00831F2D">
      <w:pPr>
        <w:shd w:val="clear" w:color="auto" w:fill="FFFFFF"/>
        <w:tabs>
          <w:tab w:val="left" w:pos="2500"/>
        </w:tabs>
        <w:jc w:val="center"/>
        <w:rPr>
          <w:b/>
          <w:sz w:val="24"/>
          <w:szCs w:val="24"/>
        </w:rPr>
      </w:pPr>
    </w:p>
    <w:p w14:paraId="5B9D6B5A" w14:textId="4EEB2C78" w:rsidR="007830E4" w:rsidRDefault="00F01631" w:rsidP="00831F2D">
      <w:pPr>
        <w:shd w:val="clear" w:color="auto" w:fill="FFFFFF"/>
        <w:tabs>
          <w:tab w:val="left" w:pos="2500"/>
        </w:tabs>
        <w:jc w:val="center"/>
        <w:rPr>
          <w:sz w:val="24"/>
          <w:szCs w:val="24"/>
          <w:vertAlign w:val="superscript"/>
        </w:rPr>
      </w:pPr>
      <w:r>
        <w:rPr>
          <w:sz w:val="24"/>
          <w:szCs w:val="24"/>
        </w:rPr>
        <w:t>João Gabriel Sodré Lima</w:t>
      </w:r>
      <w:r w:rsidR="009C13EE">
        <w:rPr>
          <w:sz w:val="24"/>
          <w:szCs w:val="24"/>
          <w:vertAlign w:val="superscript"/>
        </w:rPr>
        <w:t>1</w:t>
      </w:r>
      <w:r w:rsidR="009C13EE">
        <w:rPr>
          <w:sz w:val="24"/>
          <w:szCs w:val="24"/>
        </w:rPr>
        <w:t xml:space="preserve">; </w:t>
      </w:r>
      <w:r>
        <w:rPr>
          <w:sz w:val="24"/>
          <w:szCs w:val="24"/>
        </w:rPr>
        <w:t>Alex Juan Saraiva de Sousa</w:t>
      </w:r>
      <w:r w:rsidR="00AA3C7D">
        <w:rPr>
          <w:sz w:val="24"/>
          <w:szCs w:val="24"/>
          <w:vertAlign w:val="superscript"/>
        </w:rPr>
        <w:t>2</w:t>
      </w:r>
      <w:r>
        <w:rPr>
          <w:sz w:val="24"/>
          <w:szCs w:val="24"/>
        </w:rPr>
        <w:t>; Bianca Pinheiro da Silva</w:t>
      </w:r>
      <w:r>
        <w:rPr>
          <w:sz w:val="24"/>
          <w:szCs w:val="24"/>
          <w:vertAlign w:val="superscript"/>
        </w:rPr>
        <w:t>3</w:t>
      </w:r>
      <w:r w:rsidR="009C13EE">
        <w:rPr>
          <w:sz w:val="24"/>
          <w:szCs w:val="24"/>
        </w:rPr>
        <w:t>;</w:t>
      </w:r>
      <w:r w:rsidRPr="00F01631">
        <w:rPr>
          <w:sz w:val="24"/>
          <w:szCs w:val="24"/>
        </w:rPr>
        <w:t xml:space="preserve"> </w:t>
      </w:r>
      <w:r>
        <w:rPr>
          <w:sz w:val="24"/>
          <w:szCs w:val="24"/>
        </w:rPr>
        <w:t>George Pimentel Palha</w:t>
      </w:r>
      <w:r>
        <w:rPr>
          <w:sz w:val="24"/>
          <w:szCs w:val="24"/>
          <w:vertAlign w:val="superscript"/>
        </w:rPr>
        <w:t>4</w:t>
      </w:r>
      <w:r>
        <w:rPr>
          <w:sz w:val="24"/>
          <w:szCs w:val="24"/>
        </w:rPr>
        <w:t>;</w:t>
      </w:r>
      <w:r w:rsidR="00AA3C7D">
        <w:rPr>
          <w:sz w:val="24"/>
          <w:szCs w:val="24"/>
        </w:rPr>
        <w:t xml:space="preserve"> </w:t>
      </w:r>
      <w:r w:rsidR="00831F2D">
        <w:rPr>
          <w:sz w:val="24"/>
          <w:szCs w:val="24"/>
        </w:rPr>
        <w:t>José Augusto de Souza Estumano</w:t>
      </w:r>
      <w:r w:rsidR="00AA3C7D">
        <w:rPr>
          <w:sz w:val="24"/>
          <w:szCs w:val="24"/>
          <w:vertAlign w:val="superscript"/>
        </w:rPr>
        <w:t>5</w:t>
      </w:r>
      <w:r w:rsidR="00363F59">
        <w:rPr>
          <w:sz w:val="24"/>
          <w:szCs w:val="24"/>
        </w:rPr>
        <w:t xml:space="preserve">; </w:t>
      </w:r>
      <w:r w:rsidR="00AA3C7D" w:rsidRPr="00AA3C7D">
        <w:rPr>
          <w:sz w:val="24"/>
          <w:szCs w:val="24"/>
          <w:u w:val="single"/>
        </w:rPr>
        <w:t>Gerson Diego Pamplona Albuquerque</w:t>
      </w:r>
      <w:r w:rsidR="00446186">
        <w:rPr>
          <w:sz w:val="24"/>
          <w:szCs w:val="24"/>
          <w:vertAlign w:val="superscript"/>
        </w:rPr>
        <w:t>6</w:t>
      </w:r>
      <w:r w:rsidR="00AA3C7D">
        <w:rPr>
          <w:sz w:val="24"/>
          <w:szCs w:val="24"/>
        </w:rPr>
        <w:t xml:space="preserve">; </w:t>
      </w:r>
      <w:proofErr w:type="spellStart"/>
      <w:r w:rsidR="00AA3C7D" w:rsidRPr="00AA3C7D">
        <w:rPr>
          <w:sz w:val="24"/>
          <w:szCs w:val="24"/>
          <w:u w:val="single"/>
        </w:rPr>
        <w:t>Helaine</w:t>
      </w:r>
      <w:proofErr w:type="spellEnd"/>
      <w:r w:rsidR="00AA3C7D" w:rsidRPr="00AA3C7D">
        <w:rPr>
          <w:sz w:val="24"/>
          <w:szCs w:val="24"/>
          <w:u w:val="single"/>
        </w:rPr>
        <w:t xml:space="preserve"> Cristine Gonçalves Pires</w:t>
      </w:r>
      <w:r w:rsidR="00446186">
        <w:rPr>
          <w:sz w:val="24"/>
          <w:szCs w:val="24"/>
          <w:vertAlign w:val="superscript"/>
        </w:rPr>
        <w:t>7</w:t>
      </w:r>
    </w:p>
    <w:p w14:paraId="56467526" w14:textId="77777777" w:rsidR="0085273A" w:rsidRPr="0085273A" w:rsidRDefault="0085273A" w:rsidP="00831F2D">
      <w:pPr>
        <w:shd w:val="clear" w:color="auto" w:fill="FFFFFF"/>
        <w:tabs>
          <w:tab w:val="left" w:pos="2500"/>
        </w:tabs>
        <w:jc w:val="center"/>
        <w:rPr>
          <w:color w:val="FF0000"/>
          <w:sz w:val="24"/>
          <w:szCs w:val="24"/>
        </w:rPr>
      </w:pPr>
    </w:p>
    <w:p w14:paraId="19E1A7D2" w14:textId="3AC5AAFF" w:rsidR="007830E4" w:rsidRPr="0085273A" w:rsidRDefault="009C13EE" w:rsidP="00831F2D">
      <w:pPr>
        <w:shd w:val="clear" w:color="auto" w:fill="FFFFFF"/>
        <w:tabs>
          <w:tab w:val="left" w:pos="2500"/>
        </w:tabs>
        <w:jc w:val="center"/>
        <w:rPr>
          <w:color w:val="000000" w:themeColor="text1"/>
          <w:sz w:val="24"/>
          <w:szCs w:val="24"/>
        </w:rPr>
      </w:pPr>
      <w:r>
        <w:rPr>
          <w:sz w:val="24"/>
          <w:szCs w:val="24"/>
          <w:vertAlign w:val="superscript"/>
        </w:rPr>
        <w:t xml:space="preserve">1 </w:t>
      </w:r>
      <w:r w:rsidR="00AA3C7D">
        <w:rPr>
          <w:sz w:val="24"/>
          <w:szCs w:val="24"/>
        </w:rPr>
        <w:t>Graduando em Agronomia</w:t>
      </w:r>
      <w:r>
        <w:rPr>
          <w:sz w:val="24"/>
          <w:szCs w:val="24"/>
        </w:rPr>
        <w:t xml:space="preserve">. </w:t>
      </w:r>
      <w:r w:rsidR="00AA3C7D">
        <w:rPr>
          <w:sz w:val="24"/>
          <w:szCs w:val="24"/>
        </w:rPr>
        <w:t xml:space="preserve">Universidade Federal Rural da </w:t>
      </w:r>
      <w:r w:rsidR="00152A15">
        <w:rPr>
          <w:sz w:val="24"/>
          <w:szCs w:val="24"/>
        </w:rPr>
        <w:t>A</w:t>
      </w:r>
      <w:r w:rsidR="00AA3C7D">
        <w:rPr>
          <w:sz w:val="24"/>
          <w:szCs w:val="24"/>
        </w:rPr>
        <w:t>mazônia</w:t>
      </w:r>
      <w:r>
        <w:rPr>
          <w:sz w:val="24"/>
          <w:szCs w:val="24"/>
        </w:rPr>
        <w:t>.</w:t>
      </w:r>
      <w:r w:rsidR="00AA3C7D">
        <w:rPr>
          <w:sz w:val="24"/>
          <w:szCs w:val="24"/>
        </w:rPr>
        <w:t xml:space="preserve"> </w:t>
      </w:r>
      <w:hyperlink r:id="rId9" w:history="1">
        <w:r w:rsidR="00AA3C7D" w:rsidRPr="0085273A">
          <w:rPr>
            <w:rStyle w:val="Hyperlink"/>
            <w:color w:val="000000" w:themeColor="text1"/>
            <w:sz w:val="24"/>
            <w:szCs w:val="24"/>
            <w:u w:val="none"/>
          </w:rPr>
          <w:t>jogabrielslima@gmail.com</w:t>
        </w:r>
      </w:hyperlink>
      <w:r w:rsidRPr="0085273A">
        <w:rPr>
          <w:color w:val="000000" w:themeColor="text1"/>
          <w:sz w:val="24"/>
          <w:szCs w:val="24"/>
        </w:rPr>
        <w:t>.</w:t>
      </w:r>
    </w:p>
    <w:p w14:paraId="23DA04D9" w14:textId="6A800FFF" w:rsidR="00AA3C7D" w:rsidRDefault="00831F2D" w:rsidP="00831F2D">
      <w:pPr>
        <w:shd w:val="clear" w:color="auto" w:fill="FFFFFF"/>
        <w:tabs>
          <w:tab w:val="left" w:pos="2500"/>
        </w:tabs>
        <w:jc w:val="center"/>
        <w:rPr>
          <w:sz w:val="24"/>
          <w:szCs w:val="24"/>
        </w:rPr>
      </w:pPr>
      <w:r>
        <w:rPr>
          <w:sz w:val="24"/>
          <w:szCs w:val="24"/>
          <w:vertAlign w:val="superscript"/>
        </w:rPr>
        <w:t>2</w:t>
      </w:r>
      <w:r w:rsidR="00AA3C7D">
        <w:rPr>
          <w:sz w:val="24"/>
          <w:szCs w:val="24"/>
          <w:vertAlign w:val="superscript"/>
        </w:rPr>
        <w:t xml:space="preserve"> </w:t>
      </w:r>
      <w:r w:rsidR="00AA3C7D">
        <w:rPr>
          <w:sz w:val="24"/>
          <w:szCs w:val="24"/>
        </w:rPr>
        <w:t>Graduand</w:t>
      </w:r>
      <w:r>
        <w:rPr>
          <w:sz w:val="24"/>
          <w:szCs w:val="24"/>
        </w:rPr>
        <w:t>o</w:t>
      </w:r>
      <w:r w:rsidR="00AA3C7D">
        <w:rPr>
          <w:sz w:val="24"/>
          <w:szCs w:val="24"/>
        </w:rPr>
        <w:t xml:space="preserve"> em Agronomia. Universidade Federal Rural da </w:t>
      </w:r>
      <w:r w:rsidR="003243EA">
        <w:rPr>
          <w:sz w:val="24"/>
          <w:szCs w:val="24"/>
        </w:rPr>
        <w:t>A</w:t>
      </w:r>
      <w:r w:rsidR="00AA3C7D">
        <w:rPr>
          <w:sz w:val="24"/>
          <w:szCs w:val="24"/>
        </w:rPr>
        <w:t>mazônia.</w:t>
      </w:r>
    </w:p>
    <w:p w14:paraId="7E0EC5CF" w14:textId="6D14E0B2" w:rsidR="00AA3C7D" w:rsidRDefault="00831F2D" w:rsidP="00831F2D">
      <w:pPr>
        <w:shd w:val="clear" w:color="auto" w:fill="FFFFFF"/>
        <w:tabs>
          <w:tab w:val="left" w:pos="2500"/>
        </w:tabs>
        <w:jc w:val="center"/>
        <w:rPr>
          <w:sz w:val="24"/>
          <w:szCs w:val="24"/>
        </w:rPr>
      </w:pPr>
      <w:r>
        <w:rPr>
          <w:sz w:val="24"/>
          <w:szCs w:val="24"/>
          <w:vertAlign w:val="superscript"/>
        </w:rPr>
        <w:t>3</w:t>
      </w:r>
      <w:r w:rsidR="00AA3C7D">
        <w:rPr>
          <w:sz w:val="24"/>
          <w:szCs w:val="24"/>
          <w:vertAlign w:val="superscript"/>
        </w:rPr>
        <w:t xml:space="preserve"> </w:t>
      </w:r>
      <w:r w:rsidR="00AA3C7D">
        <w:rPr>
          <w:sz w:val="24"/>
          <w:szCs w:val="24"/>
        </w:rPr>
        <w:t>Graduand</w:t>
      </w:r>
      <w:r>
        <w:rPr>
          <w:sz w:val="24"/>
          <w:szCs w:val="24"/>
        </w:rPr>
        <w:t>a</w:t>
      </w:r>
      <w:r w:rsidR="00AA3C7D">
        <w:rPr>
          <w:sz w:val="24"/>
          <w:szCs w:val="24"/>
        </w:rPr>
        <w:t xml:space="preserve"> em Agronomia. Universidade Federal Rural da </w:t>
      </w:r>
      <w:r w:rsidR="003243EA">
        <w:rPr>
          <w:sz w:val="24"/>
          <w:szCs w:val="24"/>
        </w:rPr>
        <w:t>A</w:t>
      </w:r>
      <w:r w:rsidR="00AA3C7D">
        <w:rPr>
          <w:sz w:val="24"/>
          <w:szCs w:val="24"/>
        </w:rPr>
        <w:t>mazônia.</w:t>
      </w:r>
    </w:p>
    <w:p w14:paraId="54F89103" w14:textId="07BE969C" w:rsidR="00AA3C7D" w:rsidRDefault="00831F2D" w:rsidP="00831F2D">
      <w:pPr>
        <w:shd w:val="clear" w:color="auto" w:fill="FFFFFF"/>
        <w:tabs>
          <w:tab w:val="left" w:pos="2500"/>
        </w:tabs>
        <w:jc w:val="center"/>
        <w:rPr>
          <w:sz w:val="24"/>
          <w:szCs w:val="24"/>
        </w:rPr>
      </w:pPr>
      <w:r>
        <w:rPr>
          <w:sz w:val="24"/>
          <w:szCs w:val="24"/>
          <w:vertAlign w:val="superscript"/>
        </w:rPr>
        <w:t>4</w:t>
      </w:r>
      <w:r w:rsidR="00AA3C7D">
        <w:rPr>
          <w:sz w:val="24"/>
          <w:szCs w:val="24"/>
          <w:vertAlign w:val="superscript"/>
        </w:rPr>
        <w:t xml:space="preserve"> </w:t>
      </w:r>
      <w:r w:rsidR="00AA3C7D">
        <w:rPr>
          <w:sz w:val="24"/>
          <w:szCs w:val="24"/>
        </w:rPr>
        <w:t xml:space="preserve">Graduando em Agronomia. Universidade Federal Rural da </w:t>
      </w:r>
      <w:r w:rsidR="003243EA">
        <w:rPr>
          <w:sz w:val="24"/>
          <w:szCs w:val="24"/>
        </w:rPr>
        <w:t>A</w:t>
      </w:r>
      <w:r w:rsidR="00AA3C7D">
        <w:rPr>
          <w:sz w:val="24"/>
          <w:szCs w:val="24"/>
        </w:rPr>
        <w:t>mazônia.</w:t>
      </w:r>
    </w:p>
    <w:p w14:paraId="3C2C05BD" w14:textId="06F49D0E" w:rsidR="00AA3C7D" w:rsidRDefault="00831F2D" w:rsidP="00831F2D">
      <w:pPr>
        <w:shd w:val="clear" w:color="auto" w:fill="FFFFFF"/>
        <w:tabs>
          <w:tab w:val="left" w:pos="2500"/>
        </w:tabs>
        <w:jc w:val="center"/>
        <w:rPr>
          <w:sz w:val="24"/>
          <w:szCs w:val="24"/>
        </w:rPr>
      </w:pPr>
      <w:r>
        <w:rPr>
          <w:sz w:val="24"/>
          <w:szCs w:val="24"/>
          <w:vertAlign w:val="superscript"/>
        </w:rPr>
        <w:t>5</w:t>
      </w:r>
      <w:r w:rsidR="00AA3C7D">
        <w:rPr>
          <w:sz w:val="24"/>
          <w:szCs w:val="24"/>
          <w:vertAlign w:val="superscript"/>
        </w:rPr>
        <w:t xml:space="preserve"> </w:t>
      </w:r>
      <w:r w:rsidR="00AA3C7D">
        <w:rPr>
          <w:sz w:val="24"/>
          <w:szCs w:val="24"/>
        </w:rPr>
        <w:t>Graduand</w:t>
      </w:r>
      <w:r>
        <w:rPr>
          <w:sz w:val="24"/>
          <w:szCs w:val="24"/>
        </w:rPr>
        <w:t>o</w:t>
      </w:r>
      <w:r w:rsidR="00AA3C7D">
        <w:rPr>
          <w:sz w:val="24"/>
          <w:szCs w:val="24"/>
        </w:rPr>
        <w:t xml:space="preserve"> em Agronomia. Universidade Federal Rural da </w:t>
      </w:r>
      <w:r w:rsidR="003243EA">
        <w:rPr>
          <w:sz w:val="24"/>
          <w:szCs w:val="24"/>
        </w:rPr>
        <w:t>A</w:t>
      </w:r>
      <w:r w:rsidR="00AA3C7D">
        <w:rPr>
          <w:sz w:val="24"/>
          <w:szCs w:val="24"/>
        </w:rPr>
        <w:t>mazônia.</w:t>
      </w:r>
    </w:p>
    <w:p w14:paraId="1CF7BBB2" w14:textId="73FEF642" w:rsidR="00094878" w:rsidRDefault="00446186" w:rsidP="00094878">
      <w:pPr>
        <w:shd w:val="clear" w:color="auto" w:fill="FFFFFF"/>
        <w:tabs>
          <w:tab w:val="left" w:pos="2500"/>
        </w:tabs>
        <w:jc w:val="center"/>
        <w:rPr>
          <w:sz w:val="24"/>
          <w:szCs w:val="24"/>
        </w:rPr>
      </w:pPr>
      <w:r>
        <w:rPr>
          <w:sz w:val="24"/>
          <w:szCs w:val="24"/>
          <w:vertAlign w:val="superscript"/>
        </w:rPr>
        <w:t>6</w:t>
      </w:r>
      <w:r w:rsidR="00094878">
        <w:rPr>
          <w:sz w:val="24"/>
          <w:szCs w:val="24"/>
          <w:vertAlign w:val="superscript"/>
        </w:rPr>
        <w:t xml:space="preserve"> </w:t>
      </w:r>
      <w:r w:rsidR="00094878">
        <w:rPr>
          <w:sz w:val="24"/>
          <w:szCs w:val="24"/>
        </w:rPr>
        <w:t>Doutorado em Agronomia. Universidade Federal Rural da Amazônia.</w:t>
      </w:r>
    </w:p>
    <w:p w14:paraId="17C74AF3" w14:textId="31740B99" w:rsidR="007830E4" w:rsidRDefault="00446186" w:rsidP="00831F2D">
      <w:pPr>
        <w:shd w:val="clear" w:color="auto" w:fill="FFFFFF"/>
        <w:tabs>
          <w:tab w:val="left" w:pos="2500"/>
        </w:tabs>
        <w:jc w:val="center"/>
        <w:rPr>
          <w:sz w:val="24"/>
          <w:szCs w:val="24"/>
        </w:rPr>
      </w:pPr>
      <w:r>
        <w:rPr>
          <w:sz w:val="24"/>
          <w:szCs w:val="24"/>
          <w:vertAlign w:val="superscript"/>
        </w:rPr>
        <w:t>7</w:t>
      </w:r>
      <w:r w:rsidR="00831F2D">
        <w:rPr>
          <w:sz w:val="24"/>
          <w:szCs w:val="24"/>
          <w:vertAlign w:val="superscript"/>
        </w:rPr>
        <w:t xml:space="preserve"> </w:t>
      </w:r>
      <w:r w:rsidR="00831F2D" w:rsidRPr="00831F2D">
        <w:rPr>
          <w:sz w:val="24"/>
          <w:szCs w:val="24"/>
        </w:rPr>
        <w:t>Doutorado em Biodiversidade e Biotecnologia</w:t>
      </w:r>
      <w:r w:rsidR="00831F2D">
        <w:rPr>
          <w:sz w:val="24"/>
          <w:szCs w:val="24"/>
        </w:rPr>
        <w:t xml:space="preserve">. Universidade Federal </w:t>
      </w:r>
      <w:r w:rsidR="003243EA">
        <w:rPr>
          <w:sz w:val="24"/>
          <w:szCs w:val="24"/>
        </w:rPr>
        <w:t>Rural da Amazônia</w:t>
      </w:r>
      <w:r w:rsidR="00831F2D">
        <w:rPr>
          <w:sz w:val="24"/>
          <w:szCs w:val="24"/>
        </w:rPr>
        <w:t>.</w:t>
      </w:r>
    </w:p>
    <w:p w14:paraId="756AD04F" w14:textId="77777777" w:rsidR="00831F2D" w:rsidRPr="00831F2D" w:rsidRDefault="00831F2D" w:rsidP="00831F2D">
      <w:pPr>
        <w:shd w:val="clear" w:color="auto" w:fill="FFFFFF"/>
        <w:tabs>
          <w:tab w:val="left" w:pos="2500"/>
        </w:tabs>
        <w:jc w:val="center"/>
        <w:rPr>
          <w:sz w:val="24"/>
          <w:szCs w:val="24"/>
        </w:rPr>
      </w:pPr>
    </w:p>
    <w:p w14:paraId="539310FC" w14:textId="77777777" w:rsidR="007830E4" w:rsidRPr="0085273A" w:rsidRDefault="009C13EE" w:rsidP="00831F2D">
      <w:pPr>
        <w:shd w:val="clear" w:color="auto" w:fill="FFFFFF"/>
        <w:tabs>
          <w:tab w:val="left" w:pos="2500"/>
        </w:tabs>
        <w:jc w:val="center"/>
        <w:rPr>
          <w:b/>
          <w:sz w:val="24"/>
          <w:szCs w:val="24"/>
          <w:u w:val="single"/>
        </w:rPr>
      </w:pPr>
      <w:r w:rsidRPr="0085273A">
        <w:rPr>
          <w:b/>
          <w:sz w:val="24"/>
          <w:szCs w:val="24"/>
          <w:u w:val="single"/>
        </w:rPr>
        <w:t>RESUMO</w:t>
      </w:r>
    </w:p>
    <w:bookmarkEnd w:id="1"/>
    <w:p w14:paraId="2AFD45A4" w14:textId="6039C8CF" w:rsidR="00F17360" w:rsidRDefault="00F17360" w:rsidP="00831F2D">
      <w:pPr>
        <w:shd w:val="clear" w:color="auto" w:fill="FFFFFF"/>
        <w:tabs>
          <w:tab w:val="left" w:pos="2500"/>
        </w:tabs>
        <w:jc w:val="both"/>
        <w:rPr>
          <w:sz w:val="24"/>
          <w:szCs w:val="24"/>
        </w:rPr>
      </w:pPr>
      <w:r w:rsidRPr="00F17360">
        <w:rPr>
          <w:sz w:val="24"/>
          <w:szCs w:val="24"/>
        </w:rPr>
        <w:t xml:space="preserve">O presente estudo analisou a evolução do uso e cobertura da terra em áreas com processos minerários ativos para extração de estanho no município de São Félix do Xingu, Pará, no período de 2011 a 2021. O objetivo foi compreender, por meio de técnicas de sensoriamento remoto e geoprocessamento, as transformações recentes na paisagem e a intensificação das atividades antrópicas, especialmente aquelas associadas à pecuária e à mineração. As análises foram </w:t>
      </w:r>
      <w:r w:rsidR="00BA40DF">
        <w:rPr>
          <w:sz w:val="24"/>
          <w:szCs w:val="24"/>
        </w:rPr>
        <w:t>feita</w:t>
      </w:r>
      <w:r w:rsidRPr="00F17360">
        <w:rPr>
          <w:sz w:val="24"/>
          <w:szCs w:val="24"/>
        </w:rPr>
        <w:t>s a partir de imagens</w:t>
      </w:r>
      <w:r w:rsidR="003243EA">
        <w:rPr>
          <w:sz w:val="24"/>
          <w:szCs w:val="24"/>
        </w:rPr>
        <w:t xml:space="preserve"> do satélite</w:t>
      </w:r>
      <w:r w:rsidRPr="00F17360">
        <w:rPr>
          <w:sz w:val="24"/>
          <w:szCs w:val="24"/>
        </w:rPr>
        <w:t xml:space="preserve"> </w:t>
      </w:r>
      <w:proofErr w:type="spellStart"/>
      <w:r w:rsidRPr="00F17360">
        <w:rPr>
          <w:sz w:val="24"/>
          <w:szCs w:val="24"/>
        </w:rPr>
        <w:t>Landsat</w:t>
      </w:r>
      <w:proofErr w:type="spellEnd"/>
      <w:r w:rsidRPr="00F17360">
        <w:rPr>
          <w:sz w:val="24"/>
          <w:szCs w:val="24"/>
        </w:rPr>
        <w:t xml:space="preserve"> 5, 7 e 8, processadas no </w:t>
      </w:r>
      <w:r w:rsidRPr="003243EA">
        <w:rPr>
          <w:i/>
          <w:iCs/>
          <w:sz w:val="24"/>
          <w:szCs w:val="24"/>
        </w:rPr>
        <w:t>software QGIS</w:t>
      </w:r>
      <w:r w:rsidRPr="00F17360">
        <w:rPr>
          <w:sz w:val="24"/>
          <w:szCs w:val="24"/>
        </w:rPr>
        <w:t xml:space="preserve"> 3.28.9 com base em dados da plataforma MapBiomas (Coleção 7.1). As imagens foram reclassificadas para escala municipal, e as variações entre as classes de uso do solo foram avaliadas por meio de matrizes de transição e diagramas de Sankey.</w:t>
      </w:r>
      <w:r>
        <w:rPr>
          <w:sz w:val="24"/>
          <w:szCs w:val="24"/>
        </w:rPr>
        <w:t xml:space="preserve">  </w:t>
      </w:r>
      <w:r w:rsidRPr="00F17360">
        <w:rPr>
          <w:sz w:val="24"/>
          <w:szCs w:val="24"/>
        </w:rPr>
        <w:t>Os resultados indicaram</w:t>
      </w:r>
      <w:r w:rsidR="003243EA">
        <w:rPr>
          <w:sz w:val="24"/>
          <w:szCs w:val="24"/>
        </w:rPr>
        <w:t>,</w:t>
      </w:r>
      <w:r w:rsidRPr="00F17360">
        <w:rPr>
          <w:sz w:val="24"/>
          <w:szCs w:val="24"/>
        </w:rPr>
        <w:t xml:space="preserve"> que o período entre 2011 e 2021 foi marcado pela expansão expressiva das áreas de mineração (MIN) e de pastagem (PAST), acompanhada pela redução significativa das formações florestais (FF) e savânicas (FS). A </w:t>
      </w:r>
      <w:r w:rsidR="00152A15">
        <w:rPr>
          <w:sz w:val="24"/>
          <w:szCs w:val="24"/>
        </w:rPr>
        <w:t>FF</w:t>
      </w:r>
      <w:r w:rsidRPr="00F17360">
        <w:rPr>
          <w:sz w:val="24"/>
          <w:szCs w:val="24"/>
        </w:rPr>
        <w:t>, que em 2011 possuía 16.906,51 h</w:t>
      </w:r>
      <w:r w:rsidR="00152A15">
        <w:rPr>
          <w:sz w:val="24"/>
          <w:szCs w:val="24"/>
        </w:rPr>
        <w:t>a</w:t>
      </w:r>
      <w:r w:rsidRPr="00F17360">
        <w:rPr>
          <w:sz w:val="24"/>
          <w:szCs w:val="24"/>
        </w:rPr>
        <w:t>, reduziu-se para 11.085,08 h</w:t>
      </w:r>
      <w:r w:rsidR="00BA40DF">
        <w:rPr>
          <w:sz w:val="24"/>
          <w:szCs w:val="24"/>
        </w:rPr>
        <w:t>a</w:t>
      </w:r>
      <w:r w:rsidRPr="00F17360">
        <w:rPr>
          <w:sz w:val="24"/>
          <w:szCs w:val="24"/>
        </w:rPr>
        <w:t xml:space="preserve"> em 2021, representando uma perda de quase 35% de sua área. Desse total, cerca de 6.264,76 ha foram convertidos em </w:t>
      </w:r>
      <w:r w:rsidR="00152A15">
        <w:rPr>
          <w:sz w:val="24"/>
          <w:szCs w:val="24"/>
        </w:rPr>
        <w:t>PAST</w:t>
      </w:r>
      <w:r w:rsidRPr="00F17360">
        <w:rPr>
          <w:sz w:val="24"/>
          <w:szCs w:val="24"/>
        </w:rPr>
        <w:t xml:space="preserve"> e 271,53 ha em áreas de </w:t>
      </w:r>
      <w:r w:rsidR="00152A15">
        <w:rPr>
          <w:sz w:val="24"/>
          <w:szCs w:val="24"/>
        </w:rPr>
        <w:t>MIN</w:t>
      </w:r>
      <w:r w:rsidRPr="00F17360">
        <w:rPr>
          <w:sz w:val="24"/>
          <w:szCs w:val="24"/>
        </w:rPr>
        <w:t xml:space="preserve">. A </w:t>
      </w:r>
      <w:r w:rsidR="00BA40DF">
        <w:rPr>
          <w:sz w:val="24"/>
          <w:szCs w:val="24"/>
        </w:rPr>
        <w:t>MIN</w:t>
      </w:r>
      <w:r w:rsidRPr="00F17360">
        <w:rPr>
          <w:sz w:val="24"/>
          <w:szCs w:val="24"/>
        </w:rPr>
        <w:t xml:space="preserve"> apresentou aumento de três vezes em relação à década anterior, refletindo o crescimento da demanda por estanho e o avanço de garimpos ilegais, inclusive em terras indígenas. Paralelamente, foi identificada a emergência da classe área urbanizada (AU), indicando o processo de urbanização de</w:t>
      </w:r>
      <w:r w:rsidR="00BA40DF">
        <w:rPr>
          <w:sz w:val="24"/>
          <w:szCs w:val="24"/>
        </w:rPr>
        <w:t>vido</w:t>
      </w:r>
      <w:r w:rsidRPr="00F17360">
        <w:rPr>
          <w:sz w:val="24"/>
          <w:szCs w:val="24"/>
        </w:rPr>
        <w:t xml:space="preserve"> a intensificação econômica regional.</w:t>
      </w:r>
      <w:r>
        <w:rPr>
          <w:sz w:val="24"/>
          <w:szCs w:val="24"/>
        </w:rPr>
        <w:t xml:space="preserve"> </w:t>
      </w:r>
      <w:r w:rsidRPr="00F17360">
        <w:rPr>
          <w:sz w:val="24"/>
          <w:szCs w:val="24"/>
        </w:rPr>
        <w:t>As análises</w:t>
      </w:r>
      <w:r w:rsidR="00152A15">
        <w:rPr>
          <w:sz w:val="24"/>
          <w:szCs w:val="24"/>
        </w:rPr>
        <w:t xml:space="preserve"> </w:t>
      </w:r>
      <w:r w:rsidR="00BA40DF">
        <w:rPr>
          <w:sz w:val="24"/>
          <w:szCs w:val="24"/>
        </w:rPr>
        <w:t xml:space="preserve">gráficas </w:t>
      </w:r>
      <w:r w:rsidRPr="00F17360">
        <w:rPr>
          <w:sz w:val="24"/>
          <w:szCs w:val="24"/>
        </w:rPr>
        <w:t xml:space="preserve">evidenciaram que, embora a </w:t>
      </w:r>
      <w:r w:rsidR="00152A15">
        <w:rPr>
          <w:sz w:val="24"/>
          <w:szCs w:val="24"/>
        </w:rPr>
        <w:t>PAST</w:t>
      </w:r>
      <w:r w:rsidRPr="00F17360">
        <w:rPr>
          <w:sz w:val="24"/>
          <w:szCs w:val="24"/>
        </w:rPr>
        <w:t xml:space="preserve"> ainda mantenha a maior persistência de uso, a </w:t>
      </w:r>
      <w:r w:rsidR="00152A15">
        <w:rPr>
          <w:sz w:val="24"/>
          <w:szCs w:val="24"/>
        </w:rPr>
        <w:t>MIN</w:t>
      </w:r>
      <w:r w:rsidRPr="00F17360">
        <w:rPr>
          <w:sz w:val="24"/>
          <w:szCs w:val="24"/>
        </w:rPr>
        <w:t xml:space="preserve"> apresenta a maior taxa de ganho proporcional no período, configurando-se como </w:t>
      </w:r>
      <w:r w:rsidR="00724088">
        <w:rPr>
          <w:sz w:val="24"/>
          <w:szCs w:val="24"/>
        </w:rPr>
        <w:t xml:space="preserve">uma </w:t>
      </w:r>
      <w:r w:rsidRPr="00F17360">
        <w:rPr>
          <w:sz w:val="24"/>
          <w:szCs w:val="24"/>
        </w:rPr>
        <w:t>nova força motriz d</w:t>
      </w:r>
      <w:r w:rsidR="00724088">
        <w:rPr>
          <w:sz w:val="24"/>
          <w:szCs w:val="24"/>
        </w:rPr>
        <w:t>e</w:t>
      </w:r>
      <w:r w:rsidRPr="00F17360">
        <w:rPr>
          <w:sz w:val="24"/>
          <w:szCs w:val="24"/>
        </w:rPr>
        <w:t xml:space="preserve"> alteração territorial. Esses resultados corroboram estudos recentes que apontam o avanço do desmatamento em São Félix do Xingu após 2010, impulsionado por atividades agropecuárias e extrativas de caráter irregular. Conclui-se que as geotecnologias são ferramentas fundamentais para o monitoramento ambiental, permitindo compreender as dinâmicas espaciais e subsidiar ações de controle e manejo sustentável, essenciais à mitigação dos impactos socioambientais na Amazônia.</w:t>
      </w:r>
    </w:p>
    <w:p w14:paraId="3CE5DE5A" w14:textId="77777777" w:rsidR="004F33F6" w:rsidRDefault="004F33F6" w:rsidP="00831F2D">
      <w:pPr>
        <w:shd w:val="clear" w:color="auto" w:fill="FFFFFF"/>
        <w:tabs>
          <w:tab w:val="left" w:pos="2500"/>
        </w:tabs>
        <w:jc w:val="both"/>
        <w:rPr>
          <w:sz w:val="24"/>
          <w:szCs w:val="24"/>
        </w:rPr>
      </w:pPr>
    </w:p>
    <w:p w14:paraId="04E77362" w14:textId="00F7CF8D" w:rsidR="00FD46AA" w:rsidRDefault="009C13EE" w:rsidP="00831F2D">
      <w:pPr>
        <w:shd w:val="clear" w:color="auto" w:fill="FFFFFF"/>
        <w:tabs>
          <w:tab w:val="left" w:pos="2500"/>
        </w:tabs>
        <w:rPr>
          <w:sz w:val="24"/>
          <w:szCs w:val="24"/>
        </w:rPr>
      </w:pPr>
      <w:r>
        <w:rPr>
          <w:b/>
          <w:sz w:val="24"/>
          <w:szCs w:val="24"/>
        </w:rPr>
        <w:t xml:space="preserve">Palavras-chave: </w:t>
      </w:r>
      <w:r w:rsidR="00F17360">
        <w:rPr>
          <w:sz w:val="24"/>
          <w:szCs w:val="24"/>
        </w:rPr>
        <w:t>Sensoriamento Remoto</w:t>
      </w:r>
      <w:r w:rsidR="009D32DF">
        <w:rPr>
          <w:sz w:val="24"/>
          <w:szCs w:val="24"/>
        </w:rPr>
        <w:t xml:space="preserve">. </w:t>
      </w:r>
      <w:r w:rsidR="00F17360">
        <w:rPr>
          <w:sz w:val="24"/>
          <w:szCs w:val="24"/>
        </w:rPr>
        <w:t>Mineração</w:t>
      </w:r>
      <w:r w:rsidR="009D32DF">
        <w:rPr>
          <w:sz w:val="24"/>
          <w:szCs w:val="24"/>
        </w:rPr>
        <w:t xml:space="preserve">. </w:t>
      </w:r>
      <w:r w:rsidR="00F17360">
        <w:rPr>
          <w:sz w:val="24"/>
          <w:szCs w:val="24"/>
        </w:rPr>
        <w:t>Amazônia</w:t>
      </w:r>
      <w:r w:rsidR="009D32DF">
        <w:rPr>
          <w:sz w:val="24"/>
          <w:szCs w:val="24"/>
        </w:rPr>
        <w:t>.</w:t>
      </w:r>
    </w:p>
    <w:p w14:paraId="04731E76" w14:textId="77777777" w:rsidR="004F33F6" w:rsidRPr="009D32DF" w:rsidRDefault="004F33F6" w:rsidP="00831F2D">
      <w:pPr>
        <w:shd w:val="clear" w:color="auto" w:fill="FFFFFF"/>
        <w:tabs>
          <w:tab w:val="left" w:pos="2500"/>
        </w:tabs>
        <w:rPr>
          <w:sz w:val="24"/>
          <w:szCs w:val="24"/>
        </w:rPr>
      </w:pPr>
    </w:p>
    <w:p w14:paraId="326688C9" w14:textId="5505023D" w:rsidR="00A82C68" w:rsidRDefault="0048607D" w:rsidP="006A36E0">
      <w:pPr>
        <w:shd w:val="clear" w:color="auto" w:fill="FFFFFF"/>
        <w:tabs>
          <w:tab w:val="left" w:pos="2500"/>
        </w:tabs>
        <w:rPr>
          <w:sz w:val="24"/>
          <w:szCs w:val="24"/>
        </w:rPr>
      </w:pPr>
      <w:r>
        <w:rPr>
          <w:b/>
          <w:sz w:val="24"/>
          <w:szCs w:val="24"/>
        </w:rPr>
        <w:t xml:space="preserve">Escolha a </w:t>
      </w:r>
      <w:r w:rsidR="009C13EE">
        <w:rPr>
          <w:b/>
          <w:sz w:val="24"/>
          <w:szCs w:val="24"/>
        </w:rPr>
        <w:t>Área de Interesse do Simpósio</w:t>
      </w:r>
      <w:r w:rsidR="009C13EE">
        <w:rPr>
          <w:sz w:val="24"/>
          <w:szCs w:val="24"/>
        </w:rPr>
        <w:t>:</w:t>
      </w:r>
      <w:r>
        <w:rPr>
          <w:sz w:val="24"/>
          <w:szCs w:val="24"/>
        </w:rPr>
        <w:t xml:space="preserve"> </w:t>
      </w:r>
      <w:r w:rsidR="009C13EE">
        <w:rPr>
          <w:sz w:val="24"/>
          <w:szCs w:val="24"/>
        </w:rPr>
        <w:t>Geotecnologias</w:t>
      </w:r>
      <w:r w:rsidR="009D32DF">
        <w:rPr>
          <w:sz w:val="24"/>
          <w:szCs w:val="24"/>
        </w:rPr>
        <w:t>.</w:t>
      </w:r>
    </w:p>
    <w:p w14:paraId="61A235E2" w14:textId="5F4948C1" w:rsidR="00A82C68" w:rsidRDefault="00A82C68" w:rsidP="00A82C68">
      <w:pPr>
        <w:pBdr>
          <w:bottom w:val="none" w:sz="0" w:space="18" w:color="000000"/>
        </w:pBdr>
        <w:shd w:val="clear" w:color="auto" w:fill="FFFFFF"/>
        <w:tabs>
          <w:tab w:val="left" w:pos="2500"/>
        </w:tabs>
        <w:spacing w:line="360" w:lineRule="auto"/>
        <w:jc w:val="both"/>
        <w:rPr>
          <w:color w:val="FF0000"/>
          <w:sz w:val="24"/>
          <w:szCs w:val="24"/>
        </w:rPr>
      </w:pPr>
      <w:r>
        <w:rPr>
          <w:sz w:val="24"/>
          <w:szCs w:val="24"/>
        </w:rPr>
        <w:br w:type="page"/>
      </w:r>
      <w:r>
        <w:rPr>
          <w:b/>
          <w:sz w:val="24"/>
          <w:szCs w:val="24"/>
        </w:rPr>
        <w:lastRenderedPageBreak/>
        <w:t>1. INTRODUÇÃO</w:t>
      </w:r>
    </w:p>
    <w:p w14:paraId="39B0A29E" w14:textId="10AE5B65" w:rsidR="008E5D6B" w:rsidRPr="008E5D6B" w:rsidRDefault="008E5D6B" w:rsidP="00FB6145">
      <w:pPr>
        <w:pBdr>
          <w:bottom w:val="none" w:sz="0" w:space="8" w:color="000000"/>
        </w:pBdr>
        <w:shd w:val="clear" w:color="auto" w:fill="FFFFFF"/>
        <w:tabs>
          <w:tab w:val="left" w:pos="699"/>
        </w:tabs>
        <w:spacing w:line="360" w:lineRule="auto"/>
        <w:ind w:firstLine="709"/>
        <w:jc w:val="both"/>
        <w:rPr>
          <w:sz w:val="24"/>
          <w:szCs w:val="24"/>
        </w:rPr>
      </w:pPr>
      <w:r w:rsidRPr="008E5D6B">
        <w:rPr>
          <w:sz w:val="24"/>
          <w:szCs w:val="24"/>
        </w:rPr>
        <w:t>O geoprocessamento constitui uma ferramenta fundamental para o monitoramento de fenômenos ambientais e antrópicos, permitindo identificar, quantificar e compreender transformações territoriais ao longo do tempo. Sua aplicação possibilita diagnósticos precisos sobre pressões ambientais, como desmatamento, queimadas e expansão de áreas destinadas a atividades econômicas. Essa abordagem tem sido amplamente utilizada na região amazônica, onde a análise espaço-temporal do uso da terra, realizada por meio de imagens orbitais e sistemas de informação geográfica, tem permitido compreender a intensidade das mudanças recentes (</w:t>
      </w:r>
      <w:r w:rsidR="00FB6145" w:rsidRPr="008E5D6B">
        <w:rPr>
          <w:sz w:val="24"/>
          <w:szCs w:val="24"/>
        </w:rPr>
        <w:t>Vasconcelos</w:t>
      </w:r>
      <w:r w:rsidRPr="008E5D6B">
        <w:rPr>
          <w:sz w:val="24"/>
          <w:szCs w:val="24"/>
        </w:rPr>
        <w:t xml:space="preserve"> et al., 2013; </w:t>
      </w:r>
      <w:r w:rsidR="00FB6145" w:rsidRPr="008E5D6B">
        <w:rPr>
          <w:sz w:val="24"/>
          <w:szCs w:val="24"/>
        </w:rPr>
        <w:t>Silva</w:t>
      </w:r>
      <w:r w:rsidRPr="008E5D6B">
        <w:rPr>
          <w:sz w:val="24"/>
          <w:szCs w:val="24"/>
        </w:rPr>
        <w:t>, 2022). Relatórios nacionais também reforçam que sistemas de monitoramento por sensoriamento remoto são essenciais para acompanhar a dinâmica territorial em áreas críticas, como a Amazônia, sobretudo diante da expansão agropecuária e minerária (</w:t>
      </w:r>
      <w:r w:rsidR="00FB6145" w:rsidRPr="008E5D6B">
        <w:rPr>
          <w:sz w:val="24"/>
          <w:szCs w:val="24"/>
        </w:rPr>
        <w:t>PLANAFLOR</w:t>
      </w:r>
      <w:r w:rsidRPr="008E5D6B">
        <w:rPr>
          <w:sz w:val="24"/>
          <w:szCs w:val="24"/>
        </w:rPr>
        <w:t>, 2023).</w:t>
      </w:r>
    </w:p>
    <w:p w14:paraId="75634AAE" w14:textId="2520985A" w:rsidR="008E5D6B" w:rsidRPr="008E5D6B" w:rsidRDefault="008E5D6B" w:rsidP="00FB6145">
      <w:pPr>
        <w:pBdr>
          <w:bottom w:val="none" w:sz="0" w:space="8" w:color="000000"/>
        </w:pBdr>
        <w:shd w:val="clear" w:color="auto" w:fill="FFFFFF"/>
        <w:tabs>
          <w:tab w:val="left" w:pos="699"/>
        </w:tabs>
        <w:spacing w:line="360" w:lineRule="auto"/>
        <w:ind w:firstLine="709"/>
        <w:jc w:val="both"/>
        <w:rPr>
          <w:sz w:val="24"/>
          <w:szCs w:val="24"/>
        </w:rPr>
      </w:pPr>
      <w:r w:rsidRPr="008E5D6B">
        <w:rPr>
          <w:sz w:val="24"/>
          <w:szCs w:val="24"/>
        </w:rPr>
        <w:t>A mineração, embora exerça papel importante na economia brasileira, figura entre as atividades mais degradantes ao meio ambiente, resultando em supressão da vegetação nativa, remoção do solo superficial, contaminação de cursos d’água e perda de biodiversidade. Estudos realizados no Pará demonstram que municípios da Amazônia mineral</w:t>
      </w:r>
      <w:r w:rsidR="0085273A">
        <w:rPr>
          <w:sz w:val="24"/>
          <w:szCs w:val="24"/>
        </w:rPr>
        <w:t xml:space="preserve">, </w:t>
      </w:r>
      <w:r w:rsidRPr="008E5D6B">
        <w:rPr>
          <w:sz w:val="24"/>
          <w:szCs w:val="24"/>
        </w:rPr>
        <w:t>incluindo São Félix do Xingu têm experimentado pressões socioambientais crescentes associadas ao avanço do setor minerário (</w:t>
      </w:r>
      <w:r w:rsidR="00FB6145" w:rsidRPr="008E5D6B">
        <w:rPr>
          <w:sz w:val="24"/>
          <w:szCs w:val="24"/>
        </w:rPr>
        <w:t>Silva</w:t>
      </w:r>
      <w:r w:rsidRPr="008E5D6B">
        <w:rPr>
          <w:sz w:val="24"/>
          <w:szCs w:val="24"/>
        </w:rPr>
        <w:t xml:space="preserve"> et al., 2017; </w:t>
      </w:r>
      <w:r w:rsidR="00FB6145" w:rsidRPr="008E5D6B">
        <w:rPr>
          <w:sz w:val="24"/>
          <w:szCs w:val="24"/>
        </w:rPr>
        <w:t>Silva</w:t>
      </w:r>
      <w:r w:rsidRPr="008E5D6B">
        <w:rPr>
          <w:sz w:val="24"/>
          <w:szCs w:val="24"/>
        </w:rPr>
        <w:t xml:space="preserve">; </w:t>
      </w:r>
      <w:r w:rsidR="00FB6145" w:rsidRPr="008E5D6B">
        <w:rPr>
          <w:sz w:val="24"/>
          <w:szCs w:val="24"/>
        </w:rPr>
        <w:t>Oliveira</w:t>
      </w:r>
      <w:r w:rsidRPr="008E5D6B">
        <w:rPr>
          <w:sz w:val="24"/>
          <w:szCs w:val="24"/>
        </w:rPr>
        <w:t xml:space="preserve">; </w:t>
      </w:r>
      <w:r w:rsidR="00FB6145" w:rsidRPr="008E5D6B">
        <w:rPr>
          <w:sz w:val="24"/>
          <w:szCs w:val="24"/>
        </w:rPr>
        <w:t>Morais</w:t>
      </w:r>
      <w:r w:rsidRPr="008E5D6B">
        <w:rPr>
          <w:sz w:val="24"/>
          <w:szCs w:val="24"/>
        </w:rPr>
        <w:t>, 2020). Esse avanço ocorre paralelamente à expansão agropecuária, criando um cenário de forte conversão de áreas naturais e reorganização territorial. A intensificação dessas atividades na última década se relaciona tanto à demanda crescente por minérios quanto à atuação de frentes exploratórias irregulares, especialmente em territórios sensíveis.</w:t>
      </w:r>
    </w:p>
    <w:p w14:paraId="14CD35E7" w14:textId="77777777" w:rsidR="00FB6145" w:rsidRDefault="008E5D6B" w:rsidP="008E5D6B">
      <w:pPr>
        <w:pBdr>
          <w:bottom w:val="none" w:sz="0" w:space="8" w:color="000000"/>
        </w:pBdr>
        <w:shd w:val="clear" w:color="auto" w:fill="FFFFFF"/>
        <w:tabs>
          <w:tab w:val="left" w:pos="699"/>
        </w:tabs>
        <w:spacing w:line="360" w:lineRule="auto"/>
        <w:ind w:firstLine="709"/>
        <w:jc w:val="both"/>
        <w:rPr>
          <w:sz w:val="24"/>
          <w:szCs w:val="24"/>
        </w:rPr>
      </w:pPr>
      <w:r w:rsidRPr="008E5D6B">
        <w:rPr>
          <w:sz w:val="24"/>
          <w:szCs w:val="24"/>
        </w:rPr>
        <w:t>Desde a década de 1980, o avanço da pecuária extensiva e a abertura de vias pela mineradora Taboca ampliaram o fluxo migratório para o sudeste paraense, estimulando a ocupação do território e o interesse pela exploração de estanho. Esse movimento histórico é amplamente abordado em estudos sobre a Amazônia mineral, que relatam como processos de modernização parcial da mineração coexistiram com práticas tradicionais e predatórias, especialmente em regiões remotas (</w:t>
      </w:r>
      <w:r w:rsidR="00FB6145" w:rsidRPr="008E5D6B">
        <w:rPr>
          <w:sz w:val="24"/>
          <w:szCs w:val="24"/>
        </w:rPr>
        <w:t>Palheta</w:t>
      </w:r>
      <w:r w:rsidRPr="008E5D6B">
        <w:rPr>
          <w:sz w:val="24"/>
          <w:szCs w:val="24"/>
        </w:rPr>
        <w:t xml:space="preserve">, 2020). </w:t>
      </w:r>
    </w:p>
    <w:p w14:paraId="16C33CD3" w14:textId="50CE48D7" w:rsidR="008E5D6B" w:rsidRDefault="008E5D6B" w:rsidP="008E5D6B">
      <w:pPr>
        <w:pBdr>
          <w:bottom w:val="none" w:sz="0" w:space="8" w:color="000000"/>
        </w:pBdr>
        <w:shd w:val="clear" w:color="auto" w:fill="FFFFFF"/>
        <w:tabs>
          <w:tab w:val="left" w:pos="699"/>
        </w:tabs>
        <w:spacing w:line="360" w:lineRule="auto"/>
        <w:ind w:firstLine="709"/>
        <w:jc w:val="both"/>
        <w:rPr>
          <w:sz w:val="24"/>
          <w:szCs w:val="24"/>
        </w:rPr>
      </w:pPr>
      <w:r w:rsidRPr="008E5D6B">
        <w:rPr>
          <w:sz w:val="24"/>
          <w:szCs w:val="24"/>
        </w:rPr>
        <w:t xml:space="preserve">Embora a mecanização tenha reduzido certos riscos operacionais, ela também aumentou a dependência de mão de obra especializada e aprofundou desigualdades sociais, ao mesmo tempo em que métodos rudimentares continuam presentes, inclusive em áreas indígenas </w:t>
      </w:r>
      <w:r w:rsidRPr="008E5D6B">
        <w:rPr>
          <w:sz w:val="24"/>
          <w:szCs w:val="24"/>
        </w:rPr>
        <w:lastRenderedPageBreak/>
        <w:t>(</w:t>
      </w:r>
      <w:r w:rsidR="00FB6145" w:rsidRPr="008E5D6B">
        <w:rPr>
          <w:sz w:val="24"/>
          <w:szCs w:val="24"/>
        </w:rPr>
        <w:t>Mattos Neto</w:t>
      </w:r>
      <w:r w:rsidRPr="008E5D6B">
        <w:rPr>
          <w:sz w:val="24"/>
          <w:szCs w:val="24"/>
        </w:rPr>
        <w:t>, 2019). Esse contexto reforça que a interação entre pecuária, mineração e migração foi determinante para moldar o cenário socioambiental atual de São Félix do Xingu.</w:t>
      </w:r>
    </w:p>
    <w:p w14:paraId="461B405E" w14:textId="4617ADD9" w:rsidR="00B57BC5" w:rsidRPr="00DB332E" w:rsidRDefault="00DB332E" w:rsidP="00B57BC5">
      <w:pPr>
        <w:pBdr>
          <w:bottom w:val="none" w:sz="0" w:space="8" w:color="000000"/>
        </w:pBdr>
        <w:shd w:val="clear" w:color="auto" w:fill="FFFFFF"/>
        <w:tabs>
          <w:tab w:val="left" w:pos="699"/>
        </w:tabs>
        <w:spacing w:line="360" w:lineRule="auto"/>
        <w:ind w:firstLine="709"/>
        <w:jc w:val="both"/>
        <w:rPr>
          <w:sz w:val="24"/>
          <w:szCs w:val="24"/>
        </w:rPr>
      </w:pPr>
      <w:r w:rsidRPr="00DB332E">
        <w:rPr>
          <w:sz w:val="24"/>
          <w:szCs w:val="24"/>
        </w:rPr>
        <w:t xml:space="preserve">Diante desse contexto, o </w:t>
      </w:r>
      <w:r w:rsidR="00B57BC5">
        <w:rPr>
          <w:sz w:val="24"/>
          <w:szCs w:val="24"/>
        </w:rPr>
        <w:t xml:space="preserve">presente estudo tem como objetivo </w:t>
      </w:r>
      <w:r w:rsidR="00B57BC5">
        <w:rPr>
          <w:sz w:val="24"/>
        </w:rPr>
        <w:t>analisar</w:t>
      </w:r>
      <w:r w:rsidR="00B57BC5">
        <w:rPr>
          <w:spacing w:val="80"/>
          <w:sz w:val="24"/>
        </w:rPr>
        <w:t xml:space="preserve"> </w:t>
      </w:r>
      <w:r w:rsidR="00B57BC5">
        <w:rPr>
          <w:sz w:val="24"/>
        </w:rPr>
        <w:t>a</w:t>
      </w:r>
      <w:r w:rsidR="00B57BC5">
        <w:rPr>
          <w:spacing w:val="80"/>
          <w:sz w:val="24"/>
        </w:rPr>
        <w:t xml:space="preserve"> </w:t>
      </w:r>
      <w:r w:rsidR="00B57BC5">
        <w:rPr>
          <w:sz w:val="24"/>
        </w:rPr>
        <w:t>dinâmica</w:t>
      </w:r>
      <w:r w:rsidR="00B57BC5">
        <w:rPr>
          <w:spacing w:val="80"/>
          <w:sz w:val="24"/>
        </w:rPr>
        <w:t xml:space="preserve"> </w:t>
      </w:r>
      <w:r w:rsidR="00B57BC5">
        <w:rPr>
          <w:sz w:val="24"/>
        </w:rPr>
        <w:t>do</w:t>
      </w:r>
      <w:r w:rsidR="00B57BC5">
        <w:rPr>
          <w:spacing w:val="80"/>
          <w:sz w:val="24"/>
        </w:rPr>
        <w:t xml:space="preserve"> </w:t>
      </w:r>
      <w:r w:rsidR="00B57BC5">
        <w:rPr>
          <w:sz w:val="24"/>
        </w:rPr>
        <w:t>uso</w:t>
      </w:r>
      <w:r w:rsidR="00B57BC5">
        <w:rPr>
          <w:spacing w:val="80"/>
          <w:sz w:val="24"/>
        </w:rPr>
        <w:t xml:space="preserve"> </w:t>
      </w:r>
      <w:r w:rsidR="00B57BC5">
        <w:rPr>
          <w:sz w:val="24"/>
        </w:rPr>
        <w:t>e</w:t>
      </w:r>
      <w:r w:rsidR="00B57BC5">
        <w:rPr>
          <w:spacing w:val="80"/>
          <w:sz w:val="24"/>
        </w:rPr>
        <w:t xml:space="preserve"> </w:t>
      </w:r>
      <w:r w:rsidR="00B57BC5">
        <w:rPr>
          <w:sz w:val="24"/>
        </w:rPr>
        <w:t>cobertura</w:t>
      </w:r>
      <w:r w:rsidR="00B57BC5">
        <w:rPr>
          <w:spacing w:val="80"/>
          <w:sz w:val="24"/>
        </w:rPr>
        <w:t xml:space="preserve"> </w:t>
      </w:r>
      <w:r w:rsidR="00B57BC5">
        <w:rPr>
          <w:sz w:val="24"/>
        </w:rPr>
        <w:t>da</w:t>
      </w:r>
      <w:r w:rsidR="00B57BC5">
        <w:rPr>
          <w:spacing w:val="80"/>
          <w:sz w:val="24"/>
        </w:rPr>
        <w:t xml:space="preserve"> </w:t>
      </w:r>
      <w:r w:rsidR="00B57BC5">
        <w:rPr>
          <w:sz w:val="24"/>
        </w:rPr>
        <w:t>terra,</w:t>
      </w:r>
      <w:r w:rsidR="00B57BC5">
        <w:rPr>
          <w:spacing w:val="80"/>
          <w:sz w:val="24"/>
        </w:rPr>
        <w:t xml:space="preserve"> </w:t>
      </w:r>
      <w:r w:rsidR="00B57BC5">
        <w:rPr>
          <w:sz w:val="24"/>
        </w:rPr>
        <w:t>em</w:t>
      </w:r>
      <w:r w:rsidR="00B57BC5">
        <w:rPr>
          <w:spacing w:val="80"/>
          <w:sz w:val="24"/>
        </w:rPr>
        <w:t xml:space="preserve"> </w:t>
      </w:r>
      <w:r w:rsidR="00B57BC5">
        <w:rPr>
          <w:sz w:val="24"/>
        </w:rPr>
        <w:t>áreas</w:t>
      </w:r>
      <w:r w:rsidR="00B57BC5">
        <w:rPr>
          <w:spacing w:val="80"/>
          <w:sz w:val="24"/>
        </w:rPr>
        <w:t xml:space="preserve"> </w:t>
      </w:r>
      <w:r w:rsidR="00B57BC5">
        <w:rPr>
          <w:sz w:val="24"/>
        </w:rPr>
        <w:t>com</w:t>
      </w:r>
      <w:r w:rsidR="00B57BC5">
        <w:rPr>
          <w:spacing w:val="80"/>
          <w:sz w:val="24"/>
        </w:rPr>
        <w:t xml:space="preserve"> </w:t>
      </w:r>
      <w:r w:rsidR="00B57BC5">
        <w:rPr>
          <w:sz w:val="24"/>
        </w:rPr>
        <w:t>processos minerários ativos para extração de estanho São Félix do Xingu – PA, durante o período de 2011-2021.</w:t>
      </w:r>
    </w:p>
    <w:p w14:paraId="05DEC5F1" w14:textId="7271B07C" w:rsidR="00A82C68" w:rsidRDefault="00A82C68" w:rsidP="00A82C68">
      <w:pPr>
        <w:pBdr>
          <w:bottom w:val="none" w:sz="0" w:space="18" w:color="000000"/>
        </w:pBdr>
        <w:shd w:val="clear" w:color="auto" w:fill="FFFFFF"/>
        <w:tabs>
          <w:tab w:val="left" w:pos="2500"/>
        </w:tabs>
        <w:spacing w:line="310" w:lineRule="auto"/>
        <w:jc w:val="both"/>
        <w:rPr>
          <w:color w:val="FF0000"/>
          <w:sz w:val="24"/>
          <w:szCs w:val="24"/>
        </w:rPr>
      </w:pPr>
      <w:r>
        <w:rPr>
          <w:b/>
          <w:sz w:val="24"/>
          <w:szCs w:val="24"/>
        </w:rPr>
        <w:t>2. METODOLOGIA</w:t>
      </w:r>
    </w:p>
    <w:p w14:paraId="4330A95C" w14:textId="444D393E" w:rsidR="00DB332E" w:rsidRPr="00DB332E" w:rsidRDefault="00DB332E" w:rsidP="004E52FC">
      <w:pPr>
        <w:pBdr>
          <w:bottom w:val="none" w:sz="0" w:space="8" w:color="000000"/>
        </w:pBdr>
        <w:shd w:val="clear" w:color="auto" w:fill="FFFFFF"/>
        <w:tabs>
          <w:tab w:val="left" w:pos="2500"/>
        </w:tabs>
        <w:spacing w:line="360" w:lineRule="auto"/>
        <w:ind w:firstLine="709"/>
        <w:jc w:val="both"/>
        <w:rPr>
          <w:sz w:val="24"/>
          <w:szCs w:val="24"/>
        </w:rPr>
      </w:pPr>
      <w:r w:rsidRPr="00DB332E">
        <w:rPr>
          <w:sz w:val="24"/>
          <w:szCs w:val="24"/>
        </w:rPr>
        <w:t xml:space="preserve">O estudo foi realizado no município de São Félix do Xingu, Sudeste do Pará, que possui área territorial de 84.212,903 km² e coordenadas 6° 38' 42" S e 51° 59' 42" O. A área analisada corresponde a 47.829,44 ha, abrangendo zonas com processos minerários ativos para extração de estanho. </w:t>
      </w:r>
    </w:p>
    <w:p w14:paraId="130C86AA" w14:textId="79AEDC7A" w:rsidR="00DB332E" w:rsidRPr="00DB332E" w:rsidRDefault="00DB332E" w:rsidP="004E52FC">
      <w:pPr>
        <w:pBdr>
          <w:bottom w:val="none" w:sz="0" w:space="8" w:color="000000"/>
        </w:pBdr>
        <w:shd w:val="clear" w:color="auto" w:fill="FFFFFF"/>
        <w:tabs>
          <w:tab w:val="left" w:pos="2500"/>
        </w:tabs>
        <w:spacing w:line="360" w:lineRule="auto"/>
        <w:ind w:firstLine="709"/>
        <w:jc w:val="both"/>
        <w:rPr>
          <w:sz w:val="24"/>
          <w:szCs w:val="24"/>
        </w:rPr>
      </w:pPr>
      <w:r w:rsidRPr="00DB332E">
        <w:rPr>
          <w:sz w:val="24"/>
          <w:szCs w:val="24"/>
        </w:rPr>
        <w:t xml:space="preserve">Foram utilizadas imagens dos sensores </w:t>
      </w:r>
      <w:proofErr w:type="spellStart"/>
      <w:r w:rsidRPr="00BC01F5">
        <w:rPr>
          <w:i/>
          <w:iCs/>
          <w:sz w:val="24"/>
          <w:szCs w:val="24"/>
        </w:rPr>
        <w:t>Landsat</w:t>
      </w:r>
      <w:proofErr w:type="spellEnd"/>
      <w:r w:rsidRPr="00DB332E">
        <w:rPr>
          <w:sz w:val="24"/>
          <w:szCs w:val="24"/>
        </w:rPr>
        <w:t xml:space="preserve"> TM (</w:t>
      </w:r>
      <w:proofErr w:type="spellStart"/>
      <w:r w:rsidRPr="00BC01F5">
        <w:rPr>
          <w:i/>
          <w:iCs/>
          <w:sz w:val="24"/>
          <w:szCs w:val="24"/>
        </w:rPr>
        <w:t>Landsat</w:t>
      </w:r>
      <w:proofErr w:type="spellEnd"/>
      <w:r w:rsidRPr="00DB332E">
        <w:rPr>
          <w:sz w:val="24"/>
          <w:szCs w:val="24"/>
        </w:rPr>
        <w:t xml:space="preserve"> 5), ETM+ (</w:t>
      </w:r>
      <w:proofErr w:type="spellStart"/>
      <w:r w:rsidRPr="00BC01F5">
        <w:rPr>
          <w:i/>
          <w:iCs/>
          <w:sz w:val="24"/>
          <w:szCs w:val="24"/>
        </w:rPr>
        <w:t>Landsat</w:t>
      </w:r>
      <w:proofErr w:type="spellEnd"/>
      <w:r w:rsidRPr="00BC01F5">
        <w:rPr>
          <w:i/>
          <w:iCs/>
          <w:sz w:val="24"/>
          <w:szCs w:val="24"/>
        </w:rPr>
        <w:t xml:space="preserve"> </w:t>
      </w:r>
      <w:r w:rsidRPr="00DB332E">
        <w:rPr>
          <w:sz w:val="24"/>
          <w:szCs w:val="24"/>
        </w:rPr>
        <w:t>7) e OLI-TIRS (</w:t>
      </w:r>
      <w:proofErr w:type="spellStart"/>
      <w:r w:rsidRPr="00BC01F5">
        <w:rPr>
          <w:i/>
          <w:iCs/>
          <w:sz w:val="24"/>
          <w:szCs w:val="24"/>
        </w:rPr>
        <w:t>Landsat</w:t>
      </w:r>
      <w:proofErr w:type="spellEnd"/>
      <w:r w:rsidRPr="00DB332E">
        <w:rPr>
          <w:sz w:val="24"/>
          <w:szCs w:val="24"/>
        </w:rPr>
        <w:t xml:space="preserve"> 8), disponibilizadas pelo projeto MapBiomas (Coleção 7.1). As imagens, com resolução espacial de 30 m, foram processadas no software QGIS 3.28.9, onde foram recortadas para o limite municipal e posteriormente reclassificadas para adequação à escala local. </w:t>
      </w:r>
    </w:p>
    <w:p w14:paraId="75FA5122" w14:textId="5FE082EE" w:rsidR="00DB332E" w:rsidRPr="00DB332E" w:rsidRDefault="00DB332E" w:rsidP="004E52FC">
      <w:pPr>
        <w:pBdr>
          <w:bottom w:val="none" w:sz="0" w:space="8" w:color="000000"/>
        </w:pBdr>
        <w:shd w:val="clear" w:color="auto" w:fill="FFFFFF"/>
        <w:tabs>
          <w:tab w:val="left" w:pos="2500"/>
        </w:tabs>
        <w:spacing w:line="360" w:lineRule="auto"/>
        <w:ind w:firstLine="709"/>
        <w:jc w:val="both"/>
        <w:rPr>
          <w:sz w:val="24"/>
          <w:szCs w:val="24"/>
        </w:rPr>
      </w:pPr>
      <w:r w:rsidRPr="00DB332E">
        <w:rPr>
          <w:sz w:val="24"/>
          <w:szCs w:val="24"/>
        </w:rPr>
        <w:t xml:space="preserve">Foram analisados os anos de 2011 e 2021, utilizando matrizes de transição entre as classes: Formação Florestal (FF), Formação Savânica (FS), Formação Campestre (FC), Pastagem (PAST), Mineração (MIN), Campos Alagados e Área Pantanosa (CAAP), Rio, Lago e Oceano (RLO), Outras Lavouras Temporárias (OLT) e Área Urbanizada (AU). </w:t>
      </w:r>
    </w:p>
    <w:p w14:paraId="7D9B95EA" w14:textId="46C7CC55" w:rsidR="00DB332E" w:rsidRPr="00DB332E" w:rsidRDefault="00DB332E" w:rsidP="004E52FC">
      <w:pPr>
        <w:pBdr>
          <w:bottom w:val="none" w:sz="0" w:space="8" w:color="000000"/>
        </w:pBdr>
        <w:shd w:val="clear" w:color="auto" w:fill="FFFFFF"/>
        <w:tabs>
          <w:tab w:val="left" w:pos="2500"/>
        </w:tabs>
        <w:spacing w:line="360" w:lineRule="auto"/>
        <w:ind w:firstLine="709"/>
        <w:jc w:val="both"/>
        <w:rPr>
          <w:sz w:val="24"/>
          <w:szCs w:val="24"/>
        </w:rPr>
      </w:pPr>
      <w:r w:rsidRPr="00DB332E">
        <w:rPr>
          <w:sz w:val="24"/>
          <w:szCs w:val="24"/>
        </w:rPr>
        <w:t>As mudanças foram avaliadas por meio de:</w:t>
      </w:r>
    </w:p>
    <w:p w14:paraId="44B8B942" w14:textId="2341E383" w:rsidR="00DB332E" w:rsidRPr="00DB332E" w:rsidRDefault="00DB332E" w:rsidP="004E52FC">
      <w:pPr>
        <w:pStyle w:val="PargrafodaLista"/>
        <w:numPr>
          <w:ilvl w:val="0"/>
          <w:numId w:val="2"/>
        </w:numPr>
        <w:pBdr>
          <w:bottom w:val="none" w:sz="0" w:space="8" w:color="000000"/>
        </w:pBdr>
        <w:shd w:val="clear" w:color="auto" w:fill="FFFFFF"/>
        <w:tabs>
          <w:tab w:val="left" w:pos="2500"/>
        </w:tabs>
        <w:spacing w:line="360" w:lineRule="auto"/>
        <w:jc w:val="both"/>
        <w:rPr>
          <w:sz w:val="24"/>
          <w:szCs w:val="24"/>
        </w:rPr>
      </w:pPr>
      <w:r w:rsidRPr="00DB332E">
        <w:rPr>
          <w:sz w:val="24"/>
          <w:szCs w:val="24"/>
        </w:rPr>
        <w:t>Matrizes de transição (</w:t>
      </w:r>
      <w:proofErr w:type="spellStart"/>
      <w:r w:rsidRPr="00DB332E">
        <w:rPr>
          <w:sz w:val="24"/>
          <w:szCs w:val="24"/>
        </w:rPr>
        <w:t>Cij</w:t>
      </w:r>
      <w:proofErr w:type="spellEnd"/>
      <w:r w:rsidRPr="00DB332E">
        <w:rPr>
          <w:sz w:val="24"/>
          <w:szCs w:val="24"/>
        </w:rPr>
        <w:t>)</w:t>
      </w:r>
    </w:p>
    <w:p w14:paraId="2806CBA9" w14:textId="40CC502C" w:rsidR="00DB332E" w:rsidRPr="00DB332E" w:rsidRDefault="00DB332E" w:rsidP="004E52FC">
      <w:pPr>
        <w:pStyle w:val="PargrafodaLista"/>
        <w:numPr>
          <w:ilvl w:val="0"/>
          <w:numId w:val="2"/>
        </w:numPr>
        <w:pBdr>
          <w:bottom w:val="none" w:sz="0" w:space="8" w:color="000000"/>
        </w:pBdr>
        <w:shd w:val="clear" w:color="auto" w:fill="FFFFFF"/>
        <w:tabs>
          <w:tab w:val="left" w:pos="2500"/>
        </w:tabs>
        <w:spacing w:line="360" w:lineRule="auto"/>
        <w:jc w:val="both"/>
        <w:rPr>
          <w:sz w:val="24"/>
          <w:szCs w:val="24"/>
        </w:rPr>
      </w:pPr>
      <w:r w:rsidRPr="00DB332E">
        <w:rPr>
          <w:sz w:val="24"/>
          <w:szCs w:val="24"/>
        </w:rPr>
        <w:t>Cálculos de ganho total, perda total e mudança líquida</w:t>
      </w:r>
    </w:p>
    <w:p w14:paraId="5B955627" w14:textId="77777777" w:rsidR="00DB332E" w:rsidRDefault="00DB332E" w:rsidP="004E52FC">
      <w:pPr>
        <w:pStyle w:val="PargrafodaLista"/>
        <w:numPr>
          <w:ilvl w:val="0"/>
          <w:numId w:val="2"/>
        </w:numPr>
        <w:pBdr>
          <w:bottom w:val="none" w:sz="0" w:space="8" w:color="000000"/>
        </w:pBdr>
        <w:shd w:val="clear" w:color="auto" w:fill="FFFFFF"/>
        <w:tabs>
          <w:tab w:val="left" w:pos="2500"/>
        </w:tabs>
        <w:spacing w:line="360" w:lineRule="auto"/>
        <w:jc w:val="both"/>
        <w:rPr>
          <w:sz w:val="24"/>
          <w:szCs w:val="24"/>
        </w:rPr>
      </w:pPr>
      <w:r w:rsidRPr="00DB332E">
        <w:rPr>
          <w:sz w:val="24"/>
          <w:szCs w:val="24"/>
        </w:rPr>
        <w:t>Diagramas de Sankey</w:t>
      </w:r>
    </w:p>
    <w:p w14:paraId="4909D9A3" w14:textId="0BA5FB85" w:rsidR="00A82C68" w:rsidRDefault="00DB332E" w:rsidP="004E52FC">
      <w:pPr>
        <w:pStyle w:val="PargrafodaLista"/>
        <w:numPr>
          <w:ilvl w:val="0"/>
          <w:numId w:val="2"/>
        </w:numPr>
        <w:pBdr>
          <w:bottom w:val="none" w:sz="0" w:space="8" w:color="000000"/>
        </w:pBdr>
        <w:shd w:val="clear" w:color="auto" w:fill="FFFFFF"/>
        <w:tabs>
          <w:tab w:val="left" w:pos="2500"/>
        </w:tabs>
        <w:spacing w:line="360" w:lineRule="auto"/>
        <w:jc w:val="both"/>
        <w:rPr>
          <w:sz w:val="24"/>
          <w:szCs w:val="24"/>
        </w:rPr>
      </w:pPr>
      <w:r>
        <w:rPr>
          <w:sz w:val="24"/>
          <w:szCs w:val="24"/>
        </w:rPr>
        <w:t>A</w:t>
      </w:r>
      <w:r w:rsidRPr="00DB332E">
        <w:rPr>
          <w:sz w:val="24"/>
          <w:szCs w:val="24"/>
        </w:rPr>
        <w:t>nálise visual de mapas temáticos</w:t>
      </w:r>
    </w:p>
    <w:p w14:paraId="7F374E20" w14:textId="6BD5528A" w:rsidR="00BA363F" w:rsidRPr="00BA363F" w:rsidRDefault="00501F2B" w:rsidP="0085273A">
      <w:pPr>
        <w:pBdr>
          <w:bottom w:val="none" w:sz="0" w:space="8" w:color="000000"/>
        </w:pBdr>
        <w:shd w:val="clear" w:color="auto" w:fill="FFFFFF"/>
        <w:tabs>
          <w:tab w:val="left" w:pos="2500"/>
        </w:tabs>
        <w:spacing w:line="360" w:lineRule="auto"/>
        <w:ind w:firstLine="709"/>
        <w:jc w:val="both"/>
        <w:rPr>
          <w:sz w:val="24"/>
          <w:szCs w:val="24"/>
        </w:rPr>
      </w:pPr>
      <w:r w:rsidRPr="00501F2B">
        <w:rPr>
          <w:sz w:val="24"/>
        </w:rPr>
        <w:t>Os cálculos utilizados para mensurar a permuta, ganho total, perda total, mudança líquida,</w:t>
      </w:r>
      <w:r w:rsidRPr="00501F2B">
        <w:rPr>
          <w:spacing w:val="-3"/>
          <w:sz w:val="24"/>
        </w:rPr>
        <w:t xml:space="preserve"> </w:t>
      </w:r>
      <w:r w:rsidRPr="00501F2B">
        <w:rPr>
          <w:sz w:val="24"/>
        </w:rPr>
        <w:t>ganho</w:t>
      </w:r>
      <w:r w:rsidRPr="00501F2B">
        <w:rPr>
          <w:spacing w:val="-3"/>
          <w:sz w:val="24"/>
        </w:rPr>
        <w:t xml:space="preserve"> </w:t>
      </w:r>
      <w:r w:rsidRPr="00501F2B">
        <w:rPr>
          <w:sz w:val="24"/>
        </w:rPr>
        <w:t>e</w:t>
      </w:r>
      <w:r w:rsidRPr="00501F2B">
        <w:rPr>
          <w:spacing w:val="-2"/>
          <w:sz w:val="24"/>
        </w:rPr>
        <w:t xml:space="preserve"> </w:t>
      </w:r>
      <w:r w:rsidRPr="00501F2B">
        <w:rPr>
          <w:sz w:val="24"/>
        </w:rPr>
        <w:t>perda</w:t>
      </w:r>
      <w:r w:rsidRPr="00501F2B">
        <w:rPr>
          <w:spacing w:val="-3"/>
          <w:sz w:val="24"/>
        </w:rPr>
        <w:t xml:space="preserve"> </w:t>
      </w:r>
      <w:r w:rsidRPr="00501F2B">
        <w:rPr>
          <w:sz w:val="24"/>
        </w:rPr>
        <w:t>para</w:t>
      </w:r>
      <w:r w:rsidRPr="00501F2B">
        <w:rPr>
          <w:spacing w:val="-2"/>
          <w:sz w:val="24"/>
        </w:rPr>
        <w:t xml:space="preserve"> </w:t>
      </w:r>
      <w:r w:rsidRPr="00501F2B">
        <w:rPr>
          <w:sz w:val="24"/>
        </w:rPr>
        <w:t>persistência</w:t>
      </w:r>
      <w:r w:rsidRPr="00501F2B">
        <w:rPr>
          <w:spacing w:val="-3"/>
          <w:sz w:val="24"/>
        </w:rPr>
        <w:t xml:space="preserve"> </w:t>
      </w:r>
      <w:r w:rsidRPr="00501F2B">
        <w:rPr>
          <w:sz w:val="24"/>
        </w:rPr>
        <w:t>e</w:t>
      </w:r>
      <w:r w:rsidRPr="00501F2B">
        <w:rPr>
          <w:spacing w:val="-3"/>
          <w:sz w:val="24"/>
        </w:rPr>
        <w:t xml:space="preserve"> </w:t>
      </w:r>
      <w:r w:rsidRPr="00501F2B">
        <w:rPr>
          <w:sz w:val="24"/>
        </w:rPr>
        <w:t>perda</w:t>
      </w:r>
      <w:r w:rsidRPr="00501F2B">
        <w:rPr>
          <w:spacing w:val="-2"/>
          <w:sz w:val="24"/>
        </w:rPr>
        <w:t xml:space="preserve"> </w:t>
      </w:r>
      <w:r w:rsidRPr="00501F2B">
        <w:rPr>
          <w:sz w:val="24"/>
        </w:rPr>
        <w:t>líquida</w:t>
      </w:r>
      <w:r w:rsidRPr="00501F2B">
        <w:rPr>
          <w:spacing w:val="-3"/>
          <w:sz w:val="24"/>
        </w:rPr>
        <w:t xml:space="preserve"> </w:t>
      </w:r>
      <w:r w:rsidRPr="00501F2B">
        <w:rPr>
          <w:sz w:val="24"/>
        </w:rPr>
        <w:t>seguirão</w:t>
      </w:r>
      <w:r w:rsidRPr="00501F2B">
        <w:rPr>
          <w:spacing w:val="-3"/>
          <w:sz w:val="24"/>
        </w:rPr>
        <w:t xml:space="preserve"> </w:t>
      </w:r>
      <w:r w:rsidRPr="00501F2B">
        <w:rPr>
          <w:sz w:val="24"/>
        </w:rPr>
        <w:t>a</w:t>
      </w:r>
      <w:r w:rsidRPr="00501F2B">
        <w:rPr>
          <w:spacing w:val="-2"/>
          <w:sz w:val="24"/>
        </w:rPr>
        <w:t xml:space="preserve"> </w:t>
      </w:r>
      <w:r w:rsidRPr="00501F2B">
        <w:rPr>
          <w:sz w:val="24"/>
        </w:rPr>
        <w:t>metodologia</w:t>
      </w:r>
      <w:r w:rsidRPr="00501F2B">
        <w:rPr>
          <w:spacing w:val="-3"/>
          <w:sz w:val="24"/>
        </w:rPr>
        <w:t xml:space="preserve"> </w:t>
      </w:r>
      <w:r w:rsidRPr="00501F2B">
        <w:rPr>
          <w:sz w:val="24"/>
        </w:rPr>
        <w:t>descrita</w:t>
      </w:r>
      <w:r w:rsidRPr="00501F2B">
        <w:rPr>
          <w:spacing w:val="-2"/>
          <w:sz w:val="24"/>
        </w:rPr>
        <w:t xml:space="preserve"> </w:t>
      </w:r>
      <w:r w:rsidRPr="00501F2B">
        <w:rPr>
          <w:sz w:val="24"/>
        </w:rPr>
        <w:t xml:space="preserve">por </w:t>
      </w:r>
      <w:proofErr w:type="spellStart"/>
      <w:r w:rsidRPr="00501F2B">
        <w:rPr>
          <w:sz w:val="24"/>
        </w:rPr>
        <w:t>Pontius</w:t>
      </w:r>
      <w:proofErr w:type="spellEnd"/>
      <w:r w:rsidRPr="00501F2B">
        <w:rPr>
          <w:sz w:val="24"/>
        </w:rPr>
        <w:t xml:space="preserve"> et al. (2004), conforme detalhado na Tabela 1.</w:t>
      </w:r>
    </w:p>
    <w:p w14:paraId="0052B1FA" w14:textId="234EC671" w:rsidR="00BA363F" w:rsidRDefault="00B85AE7" w:rsidP="00B85AE7">
      <w:pPr>
        <w:pStyle w:val="TableParagraph"/>
        <w:spacing w:after="6"/>
        <w:ind w:right="995"/>
        <w:jc w:val="center"/>
        <w:rPr>
          <w:spacing w:val="-2"/>
        </w:rPr>
      </w:pPr>
      <w:r w:rsidRPr="00B85AE7">
        <w:rPr>
          <w:b/>
        </w:rPr>
        <w:t>Tabela 1</w:t>
      </w:r>
      <w:r w:rsidR="00BA363F" w:rsidRPr="00B85AE7">
        <w:rPr>
          <w:b/>
        </w:rPr>
        <w:t>:</w:t>
      </w:r>
      <w:r w:rsidR="00BA363F" w:rsidRPr="00B85AE7">
        <w:rPr>
          <w:b/>
          <w:spacing w:val="-2"/>
        </w:rPr>
        <w:t xml:space="preserve"> </w:t>
      </w:r>
      <w:r w:rsidR="00BA363F" w:rsidRPr="00B85AE7">
        <w:t>Equações,</w:t>
      </w:r>
      <w:r w:rsidR="00BA363F" w:rsidRPr="00B85AE7">
        <w:rPr>
          <w:spacing w:val="-2"/>
        </w:rPr>
        <w:t xml:space="preserve"> </w:t>
      </w:r>
      <w:r w:rsidR="00BA363F" w:rsidRPr="00B85AE7">
        <w:t>abreviações</w:t>
      </w:r>
      <w:r w:rsidR="00BA363F" w:rsidRPr="00B85AE7">
        <w:rPr>
          <w:spacing w:val="-2"/>
        </w:rPr>
        <w:t xml:space="preserve"> </w:t>
      </w:r>
      <w:r w:rsidR="00BA363F" w:rsidRPr="00B85AE7">
        <w:t>e</w:t>
      </w:r>
      <w:r w:rsidR="00BA363F" w:rsidRPr="00B85AE7">
        <w:rPr>
          <w:spacing w:val="-2"/>
        </w:rPr>
        <w:t xml:space="preserve"> </w:t>
      </w:r>
      <w:r w:rsidR="00BA363F" w:rsidRPr="00B85AE7">
        <w:t>Interpretações</w:t>
      </w:r>
      <w:r w:rsidR="00BA363F" w:rsidRPr="00B85AE7">
        <w:rPr>
          <w:spacing w:val="-2"/>
        </w:rPr>
        <w:t xml:space="preserve"> </w:t>
      </w:r>
      <w:r w:rsidR="00BA363F" w:rsidRPr="00B85AE7">
        <w:t>utilizadas</w:t>
      </w:r>
      <w:r w:rsidR="00BA363F" w:rsidRPr="00B85AE7">
        <w:rPr>
          <w:spacing w:val="-2"/>
        </w:rPr>
        <w:t xml:space="preserve"> </w:t>
      </w:r>
      <w:r w:rsidR="00BA363F" w:rsidRPr="00B85AE7">
        <w:t>nos</w:t>
      </w:r>
      <w:r w:rsidR="00BA363F" w:rsidRPr="00B85AE7">
        <w:rPr>
          <w:spacing w:val="-3"/>
        </w:rPr>
        <w:t xml:space="preserve"> </w:t>
      </w:r>
      <w:r w:rsidR="00BA363F" w:rsidRPr="00B85AE7">
        <w:t>testes</w:t>
      </w:r>
      <w:r w:rsidR="00BA363F" w:rsidRPr="00B85AE7">
        <w:rPr>
          <w:spacing w:val="-2"/>
        </w:rPr>
        <w:t xml:space="preserve"> </w:t>
      </w:r>
      <w:r w:rsidR="00BA363F" w:rsidRPr="00B85AE7">
        <w:t>de</w:t>
      </w:r>
      <w:r w:rsidR="00BA363F" w:rsidRPr="00B85AE7">
        <w:rPr>
          <w:spacing w:val="-2"/>
        </w:rPr>
        <w:t xml:space="preserve"> transição</w:t>
      </w:r>
    </w:p>
    <w:tbl>
      <w:tblPr>
        <w:tblStyle w:val="SimplesTabela2"/>
        <w:tblW w:w="9096" w:type="dxa"/>
        <w:tblLook w:val="04A0" w:firstRow="1" w:lastRow="0" w:firstColumn="1" w:lastColumn="0" w:noHBand="0" w:noVBand="1"/>
      </w:tblPr>
      <w:tblGrid>
        <w:gridCol w:w="889"/>
        <w:gridCol w:w="1255"/>
        <w:gridCol w:w="1779"/>
        <w:gridCol w:w="2668"/>
        <w:gridCol w:w="2668"/>
      </w:tblGrid>
      <w:tr w:rsidR="00D71AEB" w:rsidRPr="00D71AEB" w14:paraId="1FB1802A" w14:textId="77777777" w:rsidTr="0085273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89" w:type="dxa"/>
            <w:noWrap/>
            <w:hideMark/>
          </w:tcPr>
          <w:p w14:paraId="581C7CB6" w14:textId="77777777" w:rsidR="00D71AEB" w:rsidRPr="00D71AEB" w:rsidRDefault="00D71AEB" w:rsidP="00D71AEB">
            <w:pPr>
              <w:widowControl/>
              <w:jc w:val="center"/>
              <w:rPr>
                <w:color w:val="000000"/>
              </w:rPr>
            </w:pPr>
            <w:r w:rsidRPr="00D71AEB">
              <w:rPr>
                <w:color w:val="000000"/>
              </w:rPr>
              <w:t> </w:t>
            </w:r>
          </w:p>
        </w:tc>
        <w:tc>
          <w:tcPr>
            <w:tcW w:w="1092" w:type="dxa"/>
            <w:noWrap/>
            <w:hideMark/>
          </w:tcPr>
          <w:p w14:paraId="57E935FF" w14:textId="77777777" w:rsidR="00D71AEB" w:rsidRPr="0085273A" w:rsidRDefault="00D71AEB" w:rsidP="0085273A">
            <w:pPr>
              <w:widowControl/>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85273A">
              <w:rPr>
                <w:color w:val="000000"/>
                <w:spacing w:val="-4"/>
                <w:lang w:val="pt-PT"/>
              </w:rPr>
              <w:t>Nome</w:t>
            </w:r>
          </w:p>
        </w:tc>
        <w:tc>
          <w:tcPr>
            <w:tcW w:w="1779" w:type="dxa"/>
            <w:noWrap/>
            <w:hideMark/>
          </w:tcPr>
          <w:p w14:paraId="28C95659" w14:textId="77777777" w:rsidR="00D71AEB" w:rsidRPr="0085273A" w:rsidRDefault="00D71AEB" w:rsidP="0085273A">
            <w:pPr>
              <w:widowControl/>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85273A">
              <w:rPr>
                <w:color w:val="000000"/>
                <w:spacing w:val="-2"/>
              </w:rPr>
              <w:t>Abreviação</w:t>
            </w:r>
          </w:p>
        </w:tc>
        <w:tc>
          <w:tcPr>
            <w:tcW w:w="2668" w:type="dxa"/>
            <w:noWrap/>
            <w:hideMark/>
          </w:tcPr>
          <w:p w14:paraId="4F025E96" w14:textId="77777777" w:rsidR="00D71AEB" w:rsidRPr="0085273A" w:rsidRDefault="00D71AEB" w:rsidP="0085273A">
            <w:pPr>
              <w:widowControl/>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85273A">
              <w:rPr>
                <w:color w:val="000000"/>
                <w:spacing w:val="-2"/>
              </w:rPr>
              <w:t>Equação</w:t>
            </w:r>
          </w:p>
        </w:tc>
        <w:tc>
          <w:tcPr>
            <w:tcW w:w="2668" w:type="dxa"/>
            <w:noWrap/>
            <w:hideMark/>
          </w:tcPr>
          <w:p w14:paraId="28F37A8F" w14:textId="77777777" w:rsidR="00D71AEB" w:rsidRPr="0085273A" w:rsidRDefault="00D71AEB" w:rsidP="0085273A">
            <w:pPr>
              <w:widowControl/>
              <w:jc w:val="both"/>
              <w:cnfStyle w:val="100000000000" w:firstRow="1" w:lastRow="0" w:firstColumn="0" w:lastColumn="0" w:oddVBand="0" w:evenVBand="0" w:oddHBand="0" w:evenHBand="0" w:firstRowFirstColumn="0" w:firstRowLastColumn="0" w:lastRowFirstColumn="0" w:lastRowLastColumn="0"/>
              <w:rPr>
                <w:b w:val="0"/>
                <w:bCs w:val="0"/>
                <w:color w:val="000000"/>
              </w:rPr>
            </w:pPr>
            <w:r w:rsidRPr="0085273A">
              <w:rPr>
                <w:color w:val="000000"/>
                <w:spacing w:val="-2"/>
              </w:rPr>
              <w:t>Interpretação</w:t>
            </w:r>
          </w:p>
        </w:tc>
      </w:tr>
      <w:tr w:rsidR="00D71AEB" w:rsidRPr="00D71AEB" w14:paraId="04A4C85B" w14:textId="77777777" w:rsidTr="0085273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889" w:type="dxa"/>
            <w:noWrap/>
            <w:hideMark/>
          </w:tcPr>
          <w:p w14:paraId="778E9848" w14:textId="77777777" w:rsidR="00D71AEB" w:rsidRPr="00D71AEB" w:rsidRDefault="00D71AEB" w:rsidP="00D71AEB">
            <w:pPr>
              <w:widowControl/>
              <w:jc w:val="center"/>
              <w:rPr>
                <w:color w:val="000000"/>
              </w:rPr>
            </w:pPr>
            <w:r w:rsidRPr="00D71AEB">
              <w:rPr>
                <w:color w:val="000000"/>
              </w:rPr>
              <w:lastRenderedPageBreak/>
              <w:t>Eq. 1</w:t>
            </w:r>
          </w:p>
        </w:tc>
        <w:tc>
          <w:tcPr>
            <w:tcW w:w="1092" w:type="dxa"/>
            <w:hideMark/>
          </w:tcPr>
          <w:p w14:paraId="3474F7DF"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Permuta</w:t>
            </w:r>
          </w:p>
        </w:tc>
        <w:tc>
          <w:tcPr>
            <w:tcW w:w="1779" w:type="dxa"/>
            <w:noWrap/>
            <w:hideMark/>
          </w:tcPr>
          <w:p w14:paraId="0655E747"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w:t>
            </w:r>
          </w:p>
        </w:tc>
        <w:tc>
          <w:tcPr>
            <w:tcW w:w="2668" w:type="dxa"/>
            <w:noWrap/>
            <w:hideMark/>
          </w:tcPr>
          <w:p w14:paraId="28964A4A"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lang w:val="pt-PT"/>
              </w:rPr>
              <w:t>2min(</w:t>
            </w:r>
            <w:r w:rsidRPr="0085273A">
              <w:rPr>
                <w:rFonts w:ascii="Cambria Math" w:hAnsi="Cambria Math" w:cs="Cambria Math"/>
                <w:color w:val="000000"/>
                <w:lang w:val="pt-PT"/>
              </w:rPr>
              <w:t>𝐶𝑗</w:t>
            </w:r>
            <w:r w:rsidRPr="0085273A">
              <w:rPr>
                <w:color w:val="000000"/>
                <w:lang w:val="pt-PT"/>
              </w:rPr>
              <w:t xml:space="preserve">+ − </w:t>
            </w:r>
            <w:r w:rsidRPr="0085273A">
              <w:rPr>
                <w:rFonts w:ascii="Cambria Math" w:hAnsi="Cambria Math" w:cs="Cambria Math"/>
                <w:color w:val="000000"/>
                <w:lang w:val="pt-PT"/>
              </w:rPr>
              <w:t>𝐶𝑗𝑗</w:t>
            </w:r>
            <w:r w:rsidRPr="0085273A">
              <w:rPr>
                <w:color w:val="000000"/>
                <w:lang w:val="pt-PT"/>
              </w:rPr>
              <w:t xml:space="preserve">, </w:t>
            </w:r>
            <w:r w:rsidRPr="0085273A">
              <w:rPr>
                <w:rFonts w:ascii="Cambria Math" w:hAnsi="Cambria Math" w:cs="Cambria Math"/>
                <w:color w:val="000000"/>
                <w:lang w:val="pt-PT"/>
              </w:rPr>
              <w:t>𝐶</w:t>
            </w:r>
            <w:r w:rsidRPr="0085273A">
              <w:rPr>
                <w:color w:val="000000"/>
                <w:lang w:val="pt-PT"/>
              </w:rPr>
              <w:t>+</w:t>
            </w:r>
            <w:r w:rsidRPr="0085273A">
              <w:rPr>
                <w:rFonts w:ascii="Cambria Math" w:hAnsi="Cambria Math" w:cs="Cambria Math"/>
                <w:color w:val="000000"/>
                <w:lang w:val="pt-PT"/>
              </w:rPr>
              <w:t>𝑗</w:t>
            </w:r>
            <w:r w:rsidRPr="0085273A">
              <w:rPr>
                <w:color w:val="000000"/>
                <w:lang w:val="pt-PT"/>
              </w:rPr>
              <w:t xml:space="preserve"> − </w:t>
            </w:r>
            <w:r w:rsidRPr="0085273A">
              <w:rPr>
                <w:rFonts w:ascii="Cambria Math" w:hAnsi="Cambria Math" w:cs="Cambria Math"/>
                <w:color w:val="000000"/>
                <w:lang w:val="pt-PT"/>
              </w:rPr>
              <w:t>𝐶𝑗𝑗</w:t>
            </w:r>
            <w:r w:rsidRPr="0085273A">
              <w:rPr>
                <w:color w:val="000000"/>
                <w:lang w:val="pt-PT"/>
              </w:rPr>
              <w:t>)</w:t>
            </w:r>
          </w:p>
        </w:tc>
        <w:tc>
          <w:tcPr>
            <w:tcW w:w="2668" w:type="dxa"/>
            <w:hideMark/>
          </w:tcPr>
          <w:p w14:paraId="28ACB4E7"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A distância sobre a qual a mudança ocorre</w:t>
            </w:r>
          </w:p>
        </w:tc>
      </w:tr>
      <w:tr w:rsidR="00D71AEB" w:rsidRPr="00D71AEB" w14:paraId="5045B630" w14:textId="77777777" w:rsidTr="0085273A">
        <w:trPr>
          <w:trHeight w:val="247"/>
        </w:trPr>
        <w:tc>
          <w:tcPr>
            <w:cnfStyle w:val="001000000000" w:firstRow="0" w:lastRow="0" w:firstColumn="1" w:lastColumn="0" w:oddVBand="0" w:evenVBand="0" w:oddHBand="0" w:evenHBand="0" w:firstRowFirstColumn="0" w:firstRowLastColumn="0" w:lastRowFirstColumn="0" w:lastRowLastColumn="0"/>
            <w:tcW w:w="889" w:type="dxa"/>
            <w:vMerge w:val="restart"/>
            <w:noWrap/>
            <w:hideMark/>
          </w:tcPr>
          <w:p w14:paraId="40A6F4A5" w14:textId="77777777" w:rsidR="00D71AEB" w:rsidRPr="00D71AEB" w:rsidRDefault="00D71AEB" w:rsidP="00D71AEB">
            <w:pPr>
              <w:widowControl/>
              <w:jc w:val="center"/>
              <w:rPr>
                <w:color w:val="000000"/>
              </w:rPr>
            </w:pPr>
            <w:r w:rsidRPr="00D71AEB">
              <w:rPr>
                <w:color w:val="000000"/>
              </w:rPr>
              <w:t>Eq. 2</w:t>
            </w:r>
          </w:p>
        </w:tc>
        <w:tc>
          <w:tcPr>
            <w:tcW w:w="1092" w:type="dxa"/>
            <w:vMerge w:val="restart"/>
            <w:hideMark/>
          </w:tcPr>
          <w:p w14:paraId="60043083"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Ganho Total</w:t>
            </w:r>
          </w:p>
        </w:tc>
        <w:tc>
          <w:tcPr>
            <w:tcW w:w="1779" w:type="dxa"/>
            <w:vMerge w:val="restart"/>
            <w:noWrap/>
            <w:hideMark/>
          </w:tcPr>
          <w:p w14:paraId="1BC5F1E0"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85273A">
              <w:rPr>
                <w:color w:val="000000"/>
              </w:rPr>
              <w:t>Gt</w:t>
            </w:r>
            <w:proofErr w:type="spellEnd"/>
          </w:p>
        </w:tc>
        <w:tc>
          <w:tcPr>
            <w:tcW w:w="2668" w:type="dxa"/>
            <w:noWrap/>
            <w:hideMark/>
          </w:tcPr>
          <w:p w14:paraId="13DCE184"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 xml:space="preserve">   </w:t>
            </w:r>
            <w:r w:rsidRPr="0085273A">
              <w:rPr>
                <w:rFonts w:ascii="Cambria Math" w:hAnsi="Cambria Math" w:cs="Cambria Math"/>
                <w:color w:val="000000"/>
              </w:rPr>
              <w:t>𝑛</w:t>
            </w:r>
          </w:p>
        </w:tc>
        <w:tc>
          <w:tcPr>
            <w:tcW w:w="2668" w:type="dxa"/>
            <w:vMerge w:val="restart"/>
            <w:hideMark/>
          </w:tcPr>
          <w:p w14:paraId="1BC42ED7"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A magnitude de ganho para a classe</w:t>
            </w:r>
          </w:p>
        </w:tc>
      </w:tr>
      <w:tr w:rsidR="00D71AEB" w:rsidRPr="00D71AEB" w14:paraId="7B9C6146" w14:textId="77777777" w:rsidTr="0085273A">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89" w:type="dxa"/>
            <w:vMerge/>
            <w:hideMark/>
          </w:tcPr>
          <w:p w14:paraId="1D6B1F3D" w14:textId="77777777" w:rsidR="00D71AEB" w:rsidRPr="00D71AEB" w:rsidRDefault="00D71AEB" w:rsidP="00D71AEB">
            <w:pPr>
              <w:widowControl/>
              <w:rPr>
                <w:color w:val="000000"/>
              </w:rPr>
            </w:pPr>
          </w:p>
        </w:tc>
        <w:tc>
          <w:tcPr>
            <w:tcW w:w="1092" w:type="dxa"/>
            <w:vMerge/>
            <w:hideMark/>
          </w:tcPr>
          <w:p w14:paraId="319A2BCC"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
        </w:tc>
        <w:tc>
          <w:tcPr>
            <w:tcW w:w="1779" w:type="dxa"/>
            <w:vMerge/>
            <w:hideMark/>
          </w:tcPr>
          <w:p w14:paraId="028EF346"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
        </w:tc>
        <w:tc>
          <w:tcPr>
            <w:tcW w:w="2668" w:type="dxa"/>
            <w:noWrap/>
            <w:hideMark/>
          </w:tcPr>
          <w:p w14:paraId="411786D1"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 xml:space="preserve">∑ </w:t>
            </w:r>
            <w:r w:rsidRPr="0085273A">
              <w:rPr>
                <w:rFonts w:ascii="Cambria Math" w:hAnsi="Cambria Math" w:cs="Cambria Math"/>
                <w:color w:val="000000"/>
              </w:rPr>
              <w:t>𝐶𝑖𝑗</w:t>
            </w:r>
            <w:r w:rsidRPr="0085273A">
              <w:rPr>
                <w:color w:val="000000"/>
              </w:rPr>
              <w:t xml:space="preserve"> − </w:t>
            </w:r>
            <w:r w:rsidRPr="0085273A">
              <w:rPr>
                <w:rFonts w:ascii="Cambria Math" w:hAnsi="Cambria Math" w:cs="Cambria Math"/>
                <w:color w:val="000000"/>
              </w:rPr>
              <w:t>𝐶𝑖𝑖</w:t>
            </w:r>
          </w:p>
        </w:tc>
        <w:tc>
          <w:tcPr>
            <w:tcW w:w="2668" w:type="dxa"/>
            <w:vMerge/>
            <w:hideMark/>
          </w:tcPr>
          <w:p w14:paraId="3E9BD738"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
        </w:tc>
      </w:tr>
      <w:tr w:rsidR="00D71AEB" w:rsidRPr="00D71AEB" w14:paraId="09FE8D21" w14:textId="77777777" w:rsidTr="0085273A">
        <w:trPr>
          <w:trHeight w:val="56"/>
        </w:trPr>
        <w:tc>
          <w:tcPr>
            <w:cnfStyle w:val="001000000000" w:firstRow="0" w:lastRow="0" w:firstColumn="1" w:lastColumn="0" w:oddVBand="0" w:evenVBand="0" w:oddHBand="0" w:evenHBand="0" w:firstRowFirstColumn="0" w:firstRowLastColumn="0" w:lastRowFirstColumn="0" w:lastRowLastColumn="0"/>
            <w:tcW w:w="889" w:type="dxa"/>
            <w:vMerge/>
            <w:hideMark/>
          </w:tcPr>
          <w:p w14:paraId="394CA3C8" w14:textId="77777777" w:rsidR="00D71AEB" w:rsidRPr="00D71AEB" w:rsidRDefault="00D71AEB" w:rsidP="00D71AEB">
            <w:pPr>
              <w:widowControl/>
              <w:rPr>
                <w:color w:val="000000"/>
              </w:rPr>
            </w:pPr>
          </w:p>
        </w:tc>
        <w:tc>
          <w:tcPr>
            <w:tcW w:w="1092" w:type="dxa"/>
            <w:vMerge/>
            <w:hideMark/>
          </w:tcPr>
          <w:p w14:paraId="4C33F21E"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p>
        </w:tc>
        <w:tc>
          <w:tcPr>
            <w:tcW w:w="1779" w:type="dxa"/>
            <w:vMerge/>
            <w:hideMark/>
          </w:tcPr>
          <w:p w14:paraId="7FDC4728"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p>
        </w:tc>
        <w:tc>
          <w:tcPr>
            <w:tcW w:w="2668" w:type="dxa"/>
            <w:noWrap/>
            <w:hideMark/>
          </w:tcPr>
          <w:p w14:paraId="40A2B6B4"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 xml:space="preserve">       </w:t>
            </w:r>
            <w:r w:rsidRPr="0085273A">
              <w:rPr>
                <w:rFonts w:ascii="Cambria Math" w:hAnsi="Cambria Math" w:cs="Cambria Math"/>
                <w:color w:val="000000"/>
              </w:rPr>
              <w:t>𝑖</w:t>
            </w:r>
            <w:r w:rsidRPr="0085273A">
              <w:rPr>
                <w:color w:val="000000"/>
              </w:rPr>
              <w:t>=1</w:t>
            </w:r>
          </w:p>
        </w:tc>
        <w:tc>
          <w:tcPr>
            <w:tcW w:w="2668" w:type="dxa"/>
            <w:vMerge/>
            <w:hideMark/>
          </w:tcPr>
          <w:p w14:paraId="3D47E3E5"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p>
        </w:tc>
      </w:tr>
      <w:tr w:rsidR="00D71AEB" w:rsidRPr="00D71AEB" w14:paraId="73E1EFEE" w14:textId="77777777" w:rsidTr="0085273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889" w:type="dxa"/>
            <w:noWrap/>
            <w:hideMark/>
          </w:tcPr>
          <w:p w14:paraId="0578E2AA" w14:textId="77777777" w:rsidR="00D71AEB" w:rsidRPr="00D71AEB" w:rsidRDefault="00D71AEB" w:rsidP="00D71AEB">
            <w:pPr>
              <w:widowControl/>
              <w:jc w:val="center"/>
              <w:rPr>
                <w:color w:val="000000"/>
              </w:rPr>
            </w:pPr>
            <w:r w:rsidRPr="00D71AEB">
              <w:rPr>
                <w:color w:val="000000"/>
              </w:rPr>
              <w:t>Eq. 3</w:t>
            </w:r>
          </w:p>
        </w:tc>
        <w:tc>
          <w:tcPr>
            <w:tcW w:w="1092" w:type="dxa"/>
            <w:hideMark/>
          </w:tcPr>
          <w:p w14:paraId="099C45AA"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Perda Total</w:t>
            </w:r>
          </w:p>
        </w:tc>
        <w:tc>
          <w:tcPr>
            <w:tcW w:w="1779" w:type="dxa"/>
            <w:noWrap/>
            <w:hideMark/>
          </w:tcPr>
          <w:p w14:paraId="4B293D2F"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85273A">
              <w:rPr>
                <w:color w:val="000000"/>
              </w:rPr>
              <w:t>Pt</w:t>
            </w:r>
            <w:proofErr w:type="spellEnd"/>
          </w:p>
        </w:tc>
        <w:tc>
          <w:tcPr>
            <w:tcW w:w="2668" w:type="dxa"/>
            <w:noWrap/>
            <w:hideMark/>
          </w:tcPr>
          <w:p w14:paraId="081D1748"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lang w:val="pt-PT"/>
              </w:rPr>
              <w:t xml:space="preserve">∑ </w:t>
            </w:r>
            <w:r w:rsidRPr="0085273A">
              <w:rPr>
                <w:rFonts w:ascii="Cambria Math" w:hAnsi="Cambria Math" w:cs="Cambria Math"/>
                <w:color w:val="000000"/>
                <w:lang w:val="pt-PT"/>
              </w:rPr>
              <w:t>𝐶𝑖𝑗</w:t>
            </w:r>
            <w:r w:rsidRPr="0085273A">
              <w:rPr>
                <w:color w:val="000000"/>
                <w:lang w:val="pt-PT"/>
              </w:rPr>
              <w:t xml:space="preserve"> − </w:t>
            </w:r>
            <w:r w:rsidRPr="0085273A">
              <w:rPr>
                <w:rFonts w:ascii="Cambria Math" w:hAnsi="Cambria Math" w:cs="Cambria Math"/>
                <w:color w:val="000000"/>
                <w:lang w:val="pt-PT"/>
              </w:rPr>
              <w:t>𝐶𝑗𝑗</w:t>
            </w:r>
            <w:r w:rsidRPr="0085273A">
              <w:rPr>
                <w:color w:val="000000"/>
                <w:lang w:val="pt-PT"/>
              </w:rPr>
              <w:t xml:space="preserve"> = 1</w:t>
            </w:r>
          </w:p>
        </w:tc>
        <w:tc>
          <w:tcPr>
            <w:tcW w:w="2668" w:type="dxa"/>
            <w:hideMark/>
          </w:tcPr>
          <w:p w14:paraId="5F12EB83"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position w:val="15"/>
                <w:lang w:val="pt-PT"/>
              </w:rPr>
            </w:pPr>
            <w:r w:rsidRPr="0085273A">
              <w:rPr>
                <w:color w:val="000000"/>
                <w:position w:val="15"/>
                <w:lang w:val="pt-PT"/>
              </w:rPr>
              <w:t>A magnitude de perca para a classe</w:t>
            </w:r>
          </w:p>
        </w:tc>
      </w:tr>
      <w:tr w:rsidR="00D71AEB" w:rsidRPr="00D71AEB" w14:paraId="2467E08F" w14:textId="77777777" w:rsidTr="0085273A">
        <w:trPr>
          <w:trHeight w:val="619"/>
        </w:trPr>
        <w:tc>
          <w:tcPr>
            <w:cnfStyle w:val="001000000000" w:firstRow="0" w:lastRow="0" w:firstColumn="1" w:lastColumn="0" w:oddVBand="0" w:evenVBand="0" w:oddHBand="0" w:evenHBand="0" w:firstRowFirstColumn="0" w:firstRowLastColumn="0" w:lastRowFirstColumn="0" w:lastRowLastColumn="0"/>
            <w:tcW w:w="889" w:type="dxa"/>
            <w:noWrap/>
            <w:hideMark/>
          </w:tcPr>
          <w:p w14:paraId="3DBE7A84" w14:textId="77777777" w:rsidR="00D71AEB" w:rsidRPr="00D71AEB" w:rsidRDefault="00D71AEB" w:rsidP="00D71AEB">
            <w:pPr>
              <w:widowControl/>
              <w:jc w:val="center"/>
              <w:rPr>
                <w:color w:val="000000"/>
              </w:rPr>
            </w:pPr>
            <w:r w:rsidRPr="00D71AEB">
              <w:rPr>
                <w:color w:val="000000"/>
              </w:rPr>
              <w:t>Eq. 4</w:t>
            </w:r>
          </w:p>
        </w:tc>
        <w:tc>
          <w:tcPr>
            <w:tcW w:w="1092" w:type="dxa"/>
            <w:hideMark/>
          </w:tcPr>
          <w:p w14:paraId="4F6EF9F0"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Mudança Líquida</w:t>
            </w:r>
          </w:p>
        </w:tc>
        <w:tc>
          <w:tcPr>
            <w:tcW w:w="1779" w:type="dxa"/>
            <w:noWrap/>
            <w:hideMark/>
          </w:tcPr>
          <w:p w14:paraId="6F7739D0"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Ml</w:t>
            </w:r>
          </w:p>
        </w:tc>
        <w:tc>
          <w:tcPr>
            <w:tcW w:w="2668" w:type="dxa"/>
            <w:noWrap/>
            <w:hideMark/>
          </w:tcPr>
          <w:p w14:paraId="4BF1C14B"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rFonts w:ascii="Cambria Math" w:eastAsia="Lucida Sans" w:hAnsi="Cambria Math" w:cs="Cambria Math"/>
                <w:color w:val="000000"/>
                <w:lang w:val="pt-PT"/>
              </w:rPr>
              <w:t>𝑀</w:t>
            </w:r>
            <w:r w:rsidRPr="0085273A">
              <w:rPr>
                <w:rFonts w:eastAsia="Lucida Sans"/>
                <w:color w:val="000000"/>
                <w:lang w:val="pt-PT"/>
              </w:rPr>
              <w:t xml:space="preserve"> = </w:t>
            </w:r>
            <w:r w:rsidRPr="0085273A">
              <w:rPr>
                <w:rFonts w:ascii="Cambria Math" w:eastAsia="Lucida Sans" w:hAnsi="Cambria Math" w:cs="Cambria Math"/>
                <w:color w:val="000000"/>
                <w:lang w:val="pt-PT"/>
              </w:rPr>
              <w:t>𝐺</w:t>
            </w:r>
            <w:r w:rsidRPr="0085273A">
              <w:rPr>
                <w:rFonts w:eastAsia="Lucida Sans"/>
                <w:color w:val="000000"/>
                <w:lang w:val="pt-PT"/>
              </w:rPr>
              <w:t xml:space="preserve"> − </w:t>
            </w:r>
            <w:r w:rsidRPr="0085273A">
              <w:rPr>
                <w:rFonts w:ascii="Cambria Math" w:eastAsia="Lucida Sans" w:hAnsi="Cambria Math" w:cs="Cambria Math"/>
                <w:color w:val="000000"/>
                <w:lang w:val="pt-PT"/>
              </w:rPr>
              <w:t>𝑃</w:t>
            </w:r>
          </w:p>
        </w:tc>
        <w:tc>
          <w:tcPr>
            <w:tcW w:w="2668" w:type="dxa"/>
            <w:hideMark/>
          </w:tcPr>
          <w:p w14:paraId="14914745"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Mudança apresentada pela classe</w:t>
            </w:r>
          </w:p>
        </w:tc>
      </w:tr>
      <w:tr w:rsidR="00D71AEB" w:rsidRPr="00D71AEB" w14:paraId="67DF9390" w14:textId="77777777" w:rsidTr="0085273A">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889" w:type="dxa"/>
            <w:noWrap/>
            <w:hideMark/>
          </w:tcPr>
          <w:p w14:paraId="401E9428" w14:textId="77777777" w:rsidR="00D71AEB" w:rsidRPr="00D71AEB" w:rsidRDefault="00D71AEB" w:rsidP="00D71AEB">
            <w:pPr>
              <w:widowControl/>
              <w:jc w:val="center"/>
              <w:rPr>
                <w:color w:val="000000"/>
              </w:rPr>
            </w:pPr>
            <w:r w:rsidRPr="00D71AEB">
              <w:rPr>
                <w:color w:val="000000"/>
              </w:rPr>
              <w:t>Eq. 5</w:t>
            </w:r>
          </w:p>
        </w:tc>
        <w:tc>
          <w:tcPr>
            <w:tcW w:w="1092" w:type="dxa"/>
            <w:hideMark/>
          </w:tcPr>
          <w:p w14:paraId="7026A3EF"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Ganho para persistência</w:t>
            </w:r>
          </w:p>
        </w:tc>
        <w:tc>
          <w:tcPr>
            <w:tcW w:w="1779" w:type="dxa"/>
            <w:noWrap/>
            <w:hideMark/>
          </w:tcPr>
          <w:p w14:paraId="156C0D20"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85273A">
              <w:rPr>
                <w:color w:val="000000"/>
              </w:rPr>
              <w:t>Gp</w:t>
            </w:r>
            <w:proofErr w:type="spellEnd"/>
          </w:p>
        </w:tc>
        <w:tc>
          <w:tcPr>
            <w:tcW w:w="2668" w:type="dxa"/>
            <w:noWrap/>
            <w:hideMark/>
          </w:tcPr>
          <w:p w14:paraId="6D403D7E"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rFonts w:ascii="Cambria Math" w:hAnsi="Cambria Math" w:cs="Cambria Math"/>
                <w:color w:val="000000"/>
              </w:rPr>
              <w:t>𝐺𝑝</w:t>
            </w:r>
            <w:r w:rsidRPr="0085273A">
              <w:rPr>
                <w:color w:val="000000"/>
              </w:rPr>
              <w:t xml:space="preserve"> = </w:t>
            </w:r>
            <w:r w:rsidRPr="0085273A">
              <w:rPr>
                <w:rFonts w:ascii="Cambria Math" w:hAnsi="Cambria Math" w:cs="Cambria Math"/>
                <w:color w:val="000000"/>
              </w:rPr>
              <w:t>𝐺𝑡</w:t>
            </w:r>
            <w:r w:rsidRPr="0085273A">
              <w:rPr>
                <w:color w:val="000000"/>
              </w:rPr>
              <w:t xml:space="preserve"> </w:t>
            </w:r>
            <w:r w:rsidRPr="0085273A">
              <w:rPr>
                <w:rFonts w:ascii="Cambria Math" w:hAnsi="Cambria Math" w:cs="Cambria Math"/>
                <w:color w:val="000000"/>
              </w:rPr>
              <w:t>∗</w:t>
            </w:r>
            <w:r w:rsidRPr="0085273A">
              <w:rPr>
                <w:color w:val="000000"/>
              </w:rPr>
              <w:t xml:space="preserve"> </w:t>
            </w:r>
            <w:r w:rsidRPr="0085273A">
              <w:rPr>
                <w:rFonts w:ascii="Cambria Math" w:hAnsi="Cambria Math" w:cs="Cambria Math"/>
                <w:color w:val="000000"/>
              </w:rPr>
              <w:t>𝑝</w:t>
            </w:r>
            <w:r w:rsidRPr="0085273A">
              <w:rPr>
                <w:color w:val="000000"/>
              </w:rPr>
              <w:t xml:space="preserve"> ⁻¹</w:t>
            </w:r>
          </w:p>
        </w:tc>
        <w:tc>
          <w:tcPr>
            <w:tcW w:w="2668" w:type="dxa"/>
            <w:hideMark/>
          </w:tcPr>
          <w:p w14:paraId="548405CE"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85273A">
              <w:rPr>
                <w:color w:val="000000"/>
              </w:rPr>
              <w:t>Gp</w:t>
            </w:r>
            <w:proofErr w:type="spellEnd"/>
            <w:r w:rsidRPr="0085273A">
              <w:rPr>
                <w:color w:val="000000"/>
              </w:rPr>
              <w:t xml:space="preserve"> superior a 1 indica que a classe de uso considerada, tem uma maior tendência a ganhar área das outras classes que persistem</w:t>
            </w:r>
          </w:p>
        </w:tc>
      </w:tr>
      <w:tr w:rsidR="00D71AEB" w:rsidRPr="00D71AEB" w14:paraId="4A181E87" w14:textId="77777777" w:rsidTr="0085273A">
        <w:trPr>
          <w:trHeight w:val="1272"/>
        </w:trPr>
        <w:tc>
          <w:tcPr>
            <w:cnfStyle w:val="001000000000" w:firstRow="0" w:lastRow="0" w:firstColumn="1" w:lastColumn="0" w:oddVBand="0" w:evenVBand="0" w:oddHBand="0" w:evenHBand="0" w:firstRowFirstColumn="0" w:firstRowLastColumn="0" w:lastRowFirstColumn="0" w:lastRowLastColumn="0"/>
            <w:tcW w:w="889" w:type="dxa"/>
            <w:noWrap/>
            <w:hideMark/>
          </w:tcPr>
          <w:p w14:paraId="072CF274" w14:textId="77777777" w:rsidR="00D71AEB" w:rsidRPr="00D71AEB" w:rsidRDefault="00D71AEB" w:rsidP="00D71AEB">
            <w:pPr>
              <w:widowControl/>
              <w:jc w:val="center"/>
              <w:rPr>
                <w:color w:val="000000"/>
              </w:rPr>
            </w:pPr>
            <w:r w:rsidRPr="00D71AEB">
              <w:rPr>
                <w:color w:val="000000"/>
              </w:rPr>
              <w:t>Eq. 6</w:t>
            </w:r>
          </w:p>
        </w:tc>
        <w:tc>
          <w:tcPr>
            <w:tcW w:w="1092" w:type="dxa"/>
            <w:hideMark/>
          </w:tcPr>
          <w:p w14:paraId="625DF846"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Perda para persistência</w:t>
            </w:r>
          </w:p>
        </w:tc>
        <w:tc>
          <w:tcPr>
            <w:tcW w:w="1779" w:type="dxa"/>
            <w:noWrap/>
            <w:hideMark/>
          </w:tcPr>
          <w:p w14:paraId="4A0A6EBE"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Pp</w:t>
            </w:r>
          </w:p>
        </w:tc>
        <w:tc>
          <w:tcPr>
            <w:tcW w:w="2668" w:type="dxa"/>
            <w:noWrap/>
            <w:hideMark/>
          </w:tcPr>
          <w:p w14:paraId="0D475CA6"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rFonts w:ascii="Cambria Math" w:hAnsi="Cambria Math" w:cs="Cambria Math"/>
                <w:color w:val="000000"/>
              </w:rPr>
              <w:t>𝑃𝑝</w:t>
            </w:r>
            <w:r w:rsidRPr="0085273A">
              <w:rPr>
                <w:color w:val="000000"/>
              </w:rPr>
              <w:t xml:space="preserve"> = </w:t>
            </w:r>
            <w:r w:rsidRPr="0085273A">
              <w:rPr>
                <w:rFonts w:ascii="Cambria Math" w:hAnsi="Cambria Math" w:cs="Cambria Math"/>
                <w:color w:val="000000"/>
              </w:rPr>
              <w:t>𝑃𝑡</w:t>
            </w:r>
            <w:r w:rsidRPr="0085273A">
              <w:rPr>
                <w:color w:val="000000"/>
              </w:rPr>
              <w:t xml:space="preserve"> </w:t>
            </w:r>
            <w:r w:rsidRPr="0085273A">
              <w:rPr>
                <w:rFonts w:ascii="Cambria Math" w:hAnsi="Cambria Math" w:cs="Cambria Math"/>
                <w:color w:val="000000"/>
              </w:rPr>
              <w:t>∗</w:t>
            </w:r>
            <w:r w:rsidRPr="0085273A">
              <w:rPr>
                <w:color w:val="000000"/>
              </w:rPr>
              <w:t xml:space="preserve"> </w:t>
            </w:r>
            <w:r w:rsidRPr="0085273A">
              <w:rPr>
                <w:rFonts w:ascii="Cambria Math" w:hAnsi="Cambria Math" w:cs="Cambria Math"/>
                <w:color w:val="000000"/>
              </w:rPr>
              <w:t>𝑝</w:t>
            </w:r>
            <w:r w:rsidRPr="0085273A">
              <w:rPr>
                <w:color w:val="000000"/>
              </w:rPr>
              <w:t xml:space="preserve"> ⁻¹</w:t>
            </w:r>
          </w:p>
        </w:tc>
        <w:tc>
          <w:tcPr>
            <w:tcW w:w="2668" w:type="dxa"/>
            <w:hideMark/>
          </w:tcPr>
          <w:p w14:paraId="05B9F5D2" w14:textId="77777777" w:rsidR="00D71AEB" w:rsidRPr="0085273A" w:rsidRDefault="00D71AEB" w:rsidP="0085273A">
            <w:pPr>
              <w:widowControl/>
              <w:jc w:val="both"/>
              <w:cnfStyle w:val="000000000000" w:firstRow="0" w:lastRow="0" w:firstColumn="0" w:lastColumn="0" w:oddVBand="0" w:evenVBand="0" w:oddHBand="0" w:evenHBand="0" w:firstRowFirstColumn="0" w:firstRowLastColumn="0" w:lastRowFirstColumn="0" w:lastRowLastColumn="0"/>
              <w:rPr>
                <w:color w:val="000000"/>
              </w:rPr>
            </w:pPr>
            <w:r w:rsidRPr="0085273A">
              <w:rPr>
                <w:color w:val="000000"/>
              </w:rPr>
              <w:t>Pp negativo indica que a classe de uso considerada, tem uma maior tendência a perder área das outras classes que persistem</w:t>
            </w:r>
          </w:p>
        </w:tc>
      </w:tr>
      <w:tr w:rsidR="00D71AEB" w:rsidRPr="00D71AEB" w14:paraId="24FC0A0B" w14:textId="77777777" w:rsidTr="0085273A">
        <w:trPr>
          <w:cnfStyle w:val="000000100000" w:firstRow="0" w:lastRow="0" w:firstColumn="0" w:lastColumn="0" w:oddVBand="0" w:evenVBand="0" w:oddHBand="1"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889" w:type="dxa"/>
            <w:noWrap/>
            <w:hideMark/>
          </w:tcPr>
          <w:p w14:paraId="1A580573" w14:textId="77777777" w:rsidR="00D71AEB" w:rsidRPr="00D71AEB" w:rsidRDefault="00D71AEB" w:rsidP="00D71AEB">
            <w:pPr>
              <w:widowControl/>
              <w:jc w:val="center"/>
              <w:rPr>
                <w:color w:val="000000"/>
              </w:rPr>
            </w:pPr>
            <w:r w:rsidRPr="00D71AEB">
              <w:rPr>
                <w:color w:val="000000"/>
              </w:rPr>
              <w:t>Eq. 7</w:t>
            </w:r>
          </w:p>
        </w:tc>
        <w:tc>
          <w:tcPr>
            <w:tcW w:w="1092" w:type="dxa"/>
            <w:hideMark/>
          </w:tcPr>
          <w:p w14:paraId="3DD5CF8A"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color w:val="000000"/>
              </w:rPr>
              <w:t>Perda líquida</w:t>
            </w:r>
          </w:p>
        </w:tc>
        <w:tc>
          <w:tcPr>
            <w:tcW w:w="1779" w:type="dxa"/>
            <w:noWrap/>
            <w:hideMark/>
          </w:tcPr>
          <w:p w14:paraId="4E87B4E7"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85273A">
              <w:rPr>
                <w:color w:val="000000"/>
              </w:rPr>
              <w:t>Pl</w:t>
            </w:r>
            <w:proofErr w:type="spellEnd"/>
          </w:p>
        </w:tc>
        <w:tc>
          <w:tcPr>
            <w:tcW w:w="2668" w:type="dxa"/>
            <w:noWrap/>
            <w:hideMark/>
          </w:tcPr>
          <w:p w14:paraId="4733DE9B"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r w:rsidRPr="0085273A">
              <w:rPr>
                <w:rFonts w:ascii="Cambria Math" w:hAnsi="Cambria Math" w:cs="Cambria Math"/>
                <w:color w:val="000000"/>
              </w:rPr>
              <w:t>𝑃𝑙</w:t>
            </w:r>
            <w:r w:rsidRPr="0085273A">
              <w:rPr>
                <w:color w:val="000000"/>
              </w:rPr>
              <w:t xml:space="preserve"> = </w:t>
            </w:r>
            <w:r w:rsidRPr="0085273A">
              <w:rPr>
                <w:rFonts w:ascii="Cambria Math" w:hAnsi="Cambria Math" w:cs="Cambria Math"/>
                <w:color w:val="000000"/>
              </w:rPr>
              <w:t>𝐺𝑝</w:t>
            </w:r>
            <w:r w:rsidRPr="0085273A">
              <w:rPr>
                <w:color w:val="000000"/>
              </w:rPr>
              <w:t xml:space="preserve"> − </w:t>
            </w:r>
            <w:r w:rsidRPr="0085273A">
              <w:rPr>
                <w:rFonts w:ascii="Cambria Math" w:hAnsi="Cambria Math" w:cs="Cambria Math"/>
                <w:color w:val="000000"/>
              </w:rPr>
              <w:t>𝑃𝑝</w:t>
            </w:r>
          </w:p>
        </w:tc>
        <w:tc>
          <w:tcPr>
            <w:tcW w:w="2668" w:type="dxa"/>
            <w:hideMark/>
          </w:tcPr>
          <w:p w14:paraId="2BEFAE3C" w14:textId="77777777" w:rsidR="00D71AEB" w:rsidRPr="0085273A" w:rsidRDefault="00D71AEB" w:rsidP="0085273A">
            <w:pPr>
              <w:widowControl/>
              <w:jc w:val="both"/>
              <w:cnfStyle w:val="000000100000" w:firstRow="0" w:lastRow="0" w:firstColumn="0" w:lastColumn="0" w:oddVBand="0" w:evenVBand="0" w:oddHBand="1" w:evenHBand="0" w:firstRowFirstColumn="0" w:firstRowLastColumn="0" w:lastRowFirstColumn="0" w:lastRowLastColumn="0"/>
              <w:rPr>
                <w:color w:val="000000"/>
              </w:rPr>
            </w:pPr>
            <w:proofErr w:type="spellStart"/>
            <w:r w:rsidRPr="0085273A">
              <w:rPr>
                <w:color w:val="000000"/>
              </w:rPr>
              <w:t>Pl</w:t>
            </w:r>
            <w:proofErr w:type="spellEnd"/>
            <w:r w:rsidRPr="0085273A">
              <w:rPr>
                <w:color w:val="000000"/>
              </w:rPr>
              <w:t xml:space="preserve"> negativo indica que a classe de uso tem uma maior tendência a perder área para os outros tipos de classes, de que ganhar delas</w:t>
            </w:r>
          </w:p>
        </w:tc>
      </w:tr>
    </w:tbl>
    <w:p w14:paraId="7DB4133B" w14:textId="65C0ACAE" w:rsidR="00BA363F" w:rsidRDefault="00BA363F" w:rsidP="00D71AEB">
      <w:pPr>
        <w:pStyle w:val="TableParagraph"/>
        <w:ind w:right="905"/>
        <w:jc w:val="both"/>
        <w:rPr>
          <w:sz w:val="20"/>
        </w:rPr>
      </w:pPr>
      <w:r>
        <w:rPr>
          <w:sz w:val="20"/>
          <w:szCs w:val="20"/>
        </w:rPr>
        <w:t>A Notação C</w:t>
      </w:r>
      <w:r>
        <w:rPr>
          <w:i/>
          <w:iCs/>
          <w:sz w:val="20"/>
          <w:szCs w:val="20"/>
        </w:rPr>
        <w:t>ij</w:t>
      </w:r>
      <w:r>
        <w:rPr>
          <w:sz w:val="20"/>
          <w:szCs w:val="20"/>
        </w:rPr>
        <w:t>, (Ɐ</w:t>
      </w:r>
      <w:r>
        <w:rPr>
          <w:i/>
          <w:iCs/>
          <w:sz w:val="20"/>
          <w:szCs w:val="20"/>
        </w:rPr>
        <w:t xml:space="preserve">i </w:t>
      </w:r>
      <w:r>
        <w:rPr>
          <w:sz w:val="20"/>
          <w:szCs w:val="20"/>
        </w:rPr>
        <w:t xml:space="preserve">≠ </w:t>
      </w:r>
      <w:r>
        <w:rPr>
          <w:i/>
          <w:iCs/>
          <w:sz w:val="20"/>
          <w:szCs w:val="20"/>
        </w:rPr>
        <w:t xml:space="preserve">j) </w:t>
      </w:r>
      <w:r>
        <w:rPr>
          <w:sz w:val="20"/>
          <w:szCs w:val="20"/>
        </w:rPr>
        <w:t xml:space="preserve">indica a proporção de área que experimentou transição da classe </w:t>
      </w:r>
      <w:r>
        <w:rPr>
          <w:i/>
          <w:iCs/>
          <w:sz w:val="20"/>
          <w:szCs w:val="20"/>
        </w:rPr>
        <w:t xml:space="preserve">i </w:t>
      </w:r>
      <w:r>
        <w:rPr>
          <w:sz w:val="20"/>
          <w:szCs w:val="20"/>
        </w:rPr>
        <w:t xml:space="preserve">para classe </w:t>
      </w:r>
      <w:r>
        <w:rPr>
          <w:i/>
          <w:iCs/>
          <w:sz w:val="20"/>
          <w:szCs w:val="20"/>
        </w:rPr>
        <w:t xml:space="preserve">j </w:t>
      </w:r>
      <w:r>
        <w:rPr>
          <w:sz w:val="20"/>
          <w:szCs w:val="20"/>
        </w:rPr>
        <w:t>entre T1e T2. A diagonal principal, C</w:t>
      </w:r>
      <w:r>
        <w:rPr>
          <w:i/>
          <w:iCs/>
          <w:sz w:val="20"/>
          <w:szCs w:val="20"/>
        </w:rPr>
        <w:t xml:space="preserve">jj </w:t>
      </w:r>
      <w:r>
        <w:rPr>
          <w:sz w:val="20"/>
          <w:szCs w:val="20"/>
        </w:rPr>
        <w:t>indica a proporção de persistência da classe</w:t>
      </w:r>
      <w:r>
        <w:rPr>
          <w:spacing w:val="3"/>
          <w:sz w:val="20"/>
          <w:szCs w:val="20"/>
        </w:rPr>
        <w:t xml:space="preserve"> </w:t>
      </w:r>
      <w:r>
        <w:rPr>
          <w:sz w:val="20"/>
          <w:szCs w:val="20"/>
        </w:rPr>
        <w:t>j.</w:t>
      </w:r>
      <w:r>
        <w:rPr>
          <w:spacing w:val="5"/>
          <w:sz w:val="20"/>
          <w:szCs w:val="20"/>
        </w:rPr>
        <w:t xml:space="preserve"> </w:t>
      </w:r>
      <w:r>
        <w:rPr>
          <w:sz w:val="20"/>
          <w:szCs w:val="20"/>
        </w:rPr>
        <w:t>C</w:t>
      </w:r>
      <w:r>
        <w:rPr>
          <w:i/>
          <w:iCs/>
          <w:sz w:val="20"/>
          <w:szCs w:val="20"/>
        </w:rPr>
        <w:t>i</w:t>
      </w:r>
      <w:r>
        <w:rPr>
          <w:sz w:val="20"/>
          <w:szCs w:val="20"/>
        </w:rPr>
        <w:t>+</w:t>
      </w:r>
      <w:r>
        <w:rPr>
          <w:spacing w:val="4"/>
          <w:sz w:val="20"/>
          <w:szCs w:val="20"/>
        </w:rPr>
        <w:t xml:space="preserve"> </w:t>
      </w:r>
      <w:r>
        <w:rPr>
          <w:sz w:val="20"/>
          <w:szCs w:val="20"/>
        </w:rPr>
        <w:t>e</w:t>
      </w:r>
      <w:r>
        <w:rPr>
          <w:spacing w:val="6"/>
          <w:sz w:val="20"/>
          <w:szCs w:val="20"/>
        </w:rPr>
        <w:t xml:space="preserve"> </w:t>
      </w:r>
      <w:r>
        <w:rPr>
          <w:sz w:val="20"/>
          <w:szCs w:val="20"/>
        </w:rPr>
        <w:t>C+</w:t>
      </w:r>
      <w:r>
        <w:rPr>
          <w:i/>
          <w:iCs/>
          <w:sz w:val="20"/>
          <w:szCs w:val="20"/>
        </w:rPr>
        <w:t>j</w:t>
      </w:r>
      <w:r>
        <w:rPr>
          <w:i/>
          <w:iCs/>
          <w:spacing w:val="6"/>
          <w:sz w:val="20"/>
          <w:szCs w:val="20"/>
        </w:rPr>
        <w:t xml:space="preserve"> </w:t>
      </w:r>
      <w:r>
        <w:rPr>
          <w:sz w:val="20"/>
          <w:szCs w:val="20"/>
        </w:rPr>
        <w:t>indica</w:t>
      </w:r>
      <w:r>
        <w:rPr>
          <w:spacing w:val="4"/>
          <w:sz w:val="20"/>
          <w:szCs w:val="20"/>
        </w:rPr>
        <w:t xml:space="preserve"> </w:t>
      </w:r>
      <w:r>
        <w:rPr>
          <w:sz w:val="20"/>
          <w:szCs w:val="20"/>
        </w:rPr>
        <w:t>a</w:t>
      </w:r>
      <w:r>
        <w:rPr>
          <w:spacing w:val="10"/>
          <w:sz w:val="20"/>
          <w:szCs w:val="20"/>
        </w:rPr>
        <w:t xml:space="preserve"> </w:t>
      </w:r>
      <w:r>
        <w:rPr>
          <w:sz w:val="20"/>
          <w:szCs w:val="20"/>
        </w:rPr>
        <w:t>proporção</w:t>
      </w:r>
      <w:r>
        <w:rPr>
          <w:spacing w:val="6"/>
          <w:sz w:val="20"/>
          <w:szCs w:val="20"/>
        </w:rPr>
        <w:t xml:space="preserve"> </w:t>
      </w:r>
      <w:r>
        <w:rPr>
          <w:sz w:val="20"/>
          <w:szCs w:val="20"/>
        </w:rPr>
        <w:t>de</w:t>
      </w:r>
      <w:r>
        <w:rPr>
          <w:spacing w:val="6"/>
          <w:sz w:val="20"/>
          <w:szCs w:val="20"/>
        </w:rPr>
        <w:t xml:space="preserve"> </w:t>
      </w:r>
      <w:r>
        <w:rPr>
          <w:sz w:val="20"/>
          <w:szCs w:val="20"/>
        </w:rPr>
        <w:t>área</w:t>
      </w:r>
      <w:r>
        <w:rPr>
          <w:spacing w:val="5"/>
          <w:sz w:val="20"/>
          <w:szCs w:val="20"/>
        </w:rPr>
        <w:t xml:space="preserve"> </w:t>
      </w:r>
      <w:r>
        <w:rPr>
          <w:sz w:val="20"/>
          <w:szCs w:val="20"/>
        </w:rPr>
        <w:t>ocupada</w:t>
      </w:r>
      <w:r>
        <w:rPr>
          <w:spacing w:val="8"/>
          <w:sz w:val="20"/>
          <w:szCs w:val="20"/>
        </w:rPr>
        <w:t xml:space="preserve"> </w:t>
      </w:r>
      <w:r>
        <w:rPr>
          <w:sz w:val="20"/>
          <w:szCs w:val="20"/>
        </w:rPr>
        <w:t>pela</w:t>
      </w:r>
      <w:r>
        <w:rPr>
          <w:spacing w:val="5"/>
          <w:sz w:val="20"/>
          <w:szCs w:val="20"/>
        </w:rPr>
        <w:t xml:space="preserve"> </w:t>
      </w:r>
      <w:r>
        <w:rPr>
          <w:sz w:val="20"/>
          <w:szCs w:val="20"/>
        </w:rPr>
        <w:t>classe</w:t>
      </w:r>
      <w:r>
        <w:rPr>
          <w:spacing w:val="8"/>
          <w:sz w:val="20"/>
          <w:szCs w:val="20"/>
        </w:rPr>
        <w:t xml:space="preserve"> </w:t>
      </w:r>
      <w:r>
        <w:rPr>
          <w:i/>
          <w:iCs/>
          <w:sz w:val="20"/>
          <w:szCs w:val="20"/>
        </w:rPr>
        <w:t>i</w:t>
      </w:r>
      <w:r>
        <w:rPr>
          <w:i/>
          <w:iCs/>
          <w:spacing w:val="6"/>
          <w:sz w:val="20"/>
          <w:szCs w:val="20"/>
        </w:rPr>
        <w:t xml:space="preserve"> </w:t>
      </w:r>
      <w:r>
        <w:rPr>
          <w:sz w:val="20"/>
          <w:szCs w:val="20"/>
        </w:rPr>
        <w:t>e</w:t>
      </w:r>
      <w:r>
        <w:rPr>
          <w:i/>
          <w:iCs/>
          <w:sz w:val="20"/>
          <w:szCs w:val="20"/>
        </w:rPr>
        <w:t>j</w:t>
      </w:r>
      <w:r>
        <w:rPr>
          <w:i/>
          <w:iCs/>
          <w:spacing w:val="6"/>
          <w:sz w:val="20"/>
          <w:szCs w:val="20"/>
        </w:rPr>
        <w:t xml:space="preserve"> </w:t>
      </w:r>
      <w:r>
        <w:rPr>
          <w:sz w:val="20"/>
          <w:szCs w:val="20"/>
        </w:rPr>
        <w:t>respectivamente.</w:t>
      </w:r>
      <w:r>
        <w:rPr>
          <w:spacing w:val="7"/>
          <w:sz w:val="20"/>
          <w:szCs w:val="20"/>
        </w:rPr>
        <w:t xml:space="preserve"> </w:t>
      </w:r>
      <w:r>
        <w:rPr>
          <w:i/>
          <w:iCs/>
          <w:spacing w:val="-5"/>
          <w:sz w:val="20"/>
          <w:szCs w:val="20"/>
        </w:rPr>
        <w:t>né</w:t>
      </w:r>
      <w:r>
        <w:rPr>
          <w:spacing w:val="-5"/>
          <w:sz w:val="20"/>
          <w:szCs w:val="20"/>
        </w:rPr>
        <w:t xml:space="preserve"> </w:t>
      </w:r>
      <w:r w:rsidRPr="00BA363F">
        <w:rPr>
          <w:sz w:val="20"/>
        </w:rPr>
        <w:t xml:space="preserve">o total do número de classes. A nomenclatura </w:t>
      </w:r>
      <w:r w:rsidRPr="00BA363F">
        <w:rPr>
          <w:i/>
          <w:sz w:val="20"/>
        </w:rPr>
        <w:t xml:space="preserve">g, p </w:t>
      </w:r>
      <w:r w:rsidRPr="00BA363F">
        <w:rPr>
          <w:sz w:val="20"/>
        </w:rPr>
        <w:t xml:space="preserve">e </w:t>
      </w:r>
      <w:r w:rsidRPr="00BA363F">
        <w:rPr>
          <w:i/>
          <w:sz w:val="20"/>
        </w:rPr>
        <w:t xml:space="preserve">l </w:t>
      </w:r>
      <w:r w:rsidRPr="00BA363F">
        <w:rPr>
          <w:sz w:val="20"/>
        </w:rPr>
        <w:t>representam, o ganho, persistência e perda respectivamente.</w:t>
      </w:r>
    </w:p>
    <w:p w14:paraId="0346ED42" w14:textId="29480D92" w:rsidR="00BC01F5" w:rsidRPr="001D1CDF" w:rsidRDefault="00D71AEB" w:rsidP="001D1CDF">
      <w:pPr>
        <w:widowControl/>
        <w:tabs>
          <w:tab w:val="left" w:pos="1290"/>
        </w:tabs>
        <w:spacing w:after="160" w:line="259" w:lineRule="auto"/>
        <w:jc w:val="both"/>
        <w:rPr>
          <w:bCs/>
          <w:lang w:val="pt-PT"/>
        </w:rPr>
      </w:pPr>
      <w:r w:rsidRPr="00E43158">
        <w:rPr>
          <w:b/>
          <w:lang w:val="pt-PT"/>
        </w:rPr>
        <w:t xml:space="preserve">Fonte: </w:t>
      </w:r>
      <w:r>
        <w:rPr>
          <w:bCs/>
          <w:lang w:val="pt-PT"/>
        </w:rPr>
        <w:t xml:space="preserve">Pontius </w:t>
      </w:r>
      <w:r w:rsidRPr="00AE3BF1">
        <w:rPr>
          <w:bCs/>
          <w:lang w:val="pt-PT"/>
        </w:rPr>
        <w:t>et al.</w:t>
      </w:r>
      <w:r>
        <w:rPr>
          <w:bCs/>
          <w:lang w:val="pt-PT"/>
        </w:rPr>
        <w:t xml:space="preserve">, </w:t>
      </w:r>
      <w:r w:rsidRPr="00AE3BF1">
        <w:rPr>
          <w:bCs/>
          <w:lang w:val="pt-PT"/>
        </w:rPr>
        <w:t>20</w:t>
      </w:r>
      <w:r>
        <w:rPr>
          <w:bCs/>
          <w:lang w:val="pt-PT"/>
        </w:rPr>
        <w:t>0</w:t>
      </w:r>
      <w:r w:rsidRPr="00AE3BF1">
        <w:rPr>
          <w:bCs/>
          <w:lang w:val="pt-PT"/>
        </w:rPr>
        <w:t>4.</w:t>
      </w:r>
    </w:p>
    <w:p w14:paraId="4340287A" w14:textId="57CA4EC3" w:rsidR="00A82C68" w:rsidRDefault="00A82C68" w:rsidP="00DB332E">
      <w:pPr>
        <w:pBdr>
          <w:bottom w:val="none" w:sz="0" w:space="8" w:color="000000"/>
        </w:pBdr>
        <w:shd w:val="clear" w:color="auto" w:fill="FFFFFF"/>
        <w:tabs>
          <w:tab w:val="left" w:pos="2500"/>
        </w:tabs>
        <w:spacing w:line="310" w:lineRule="auto"/>
        <w:jc w:val="both"/>
        <w:rPr>
          <w:b/>
          <w:sz w:val="28"/>
          <w:szCs w:val="28"/>
        </w:rPr>
      </w:pPr>
      <w:r>
        <w:rPr>
          <w:b/>
          <w:sz w:val="24"/>
          <w:szCs w:val="24"/>
        </w:rPr>
        <w:t>3. RESULTADOS E DISCUSSÃO</w:t>
      </w:r>
      <w:r>
        <w:rPr>
          <w:b/>
          <w:sz w:val="28"/>
          <w:szCs w:val="28"/>
        </w:rPr>
        <w:t xml:space="preserve"> </w:t>
      </w:r>
    </w:p>
    <w:p w14:paraId="695495C8" w14:textId="65204FA0" w:rsidR="001D1CDF" w:rsidRDefault="004E52FC" w:rsidP="0085273A">
      <w:pPr>
        <w:widowControl/>
        <w:tabs>
          <w:tab w:val="left" w:pos="1290"/>
        </w:tabs>
        <w:spacing w:line="360" w:lineRule="auto"/>
        <w:ind w:firstLine="709"/>
        <w:jc w:val="both"/>
        <w:rPr>
          <w:bCs/>
          <w:sz w:val="24"/>
          <w:szCs w:val="24"/>
          <w:lang w:val="pt-PT"/>
        </w:rPr>
      </w:pPr>
      <w:r w:rsidRPr="00AE3BF1">
        <w:rPr>
          <w:bCs/>
          <w:sz w:val="24"/>
          <w:szCs w:val="24"/>
          <w:lang w:val="pt-PT"/>
        </w:rPr>
        <w:t xml:space="preserve">A  área de estudo aprensentada na </w:t>
      </w:r>
      <w:r w:rsidR="0085273A">
        <w:rPr>
          <w:bCs/>
          <w:sz w:val="24"/>
          <w:szCs w:val="24"/>
          <w:lang w:val="pt-PT"/>
        </w:rPr>
        <w:t>f</w:t>
      </w:r>
      <w:r w:rsidRPr="0085273A">
        <w:rPr>
          <w:bCs/>
          <w:sz w:val="24"/>
          <w:szCs w:val="24"/>
          <w:lang w:val="pt-PT"/>
        </w:rPr>
        <w:t>igura 1</w:t>
      </w:r>
      <w:r w:rsidRPr="00AE3BF1">
        <w:rPr>
          <w:bCs/>
          <w:sz w:val="24"/>
          <w:szCs w:val="24"/>
          <w:lang w:val="pt-PT"/>
        </w:rPr>
        <w:t xml:space="preserve"> trata-se do município de São Felix do Xingu, com delimitação de área de extração de minério de estanho pelo retângulo vermelho, considerando o âmbito municipal, estadual e federal. O tempo de análise do uso e cobertura da terra corresponde aos anos de 2011 a 2021, analisando as classes cedidas para outras durante este período.</w:t>
      </w:r>
    </w:p>
    <w:p w14:paraId="6FD6425E" w14:textId="7CF78577" w:rsidR="00B57BC5" w:rsidRPr="00E43158" w:rsidRDefault="00B57BC5" w:rsidP="0085273A">
      <w:pPr>
        <w:widowControl/>
        <w:spacing w:after="160" w:line="259" w:lineRule="auto"/>
        <w:rPr>
          <w:b/>
          <w:lang w:val="pt-PT"/>
        </w:rPr>
      </w:pPr>
      <w:r w:rsidRPr="00E43158">
        <w:rPr>
          <w:b/>
          <w:lang w:val="pt-PT"/>
        </w:rPr>
        <w:t>Figura 1 –</w:t>
      </w:r>
      <w:r w:rsidRPr="004E52FC">
        <w:rPr>
          <w:bCs/>
          <w:lang w:val="pt-PT"/>
        </w:rPr>
        <w:t xml:space="preserve"> Mapa localização da área de extração de estanho no município de São Felix do Xingu</w:t>
      </w:r>
      <w:r>
        <w:rPr>
          <w:bCs/>
          <w:lang w:val="pt-PT"/>
        </w:rPr>
        <w:t>.</w:t>
      </w:r>
    </w:p>
    <w:p w14:paraId="2BE2048D" w14:textId="5F67D63E" w:rsidR="00B57BC5" w:rsidRPr="0085273A" w:rsidRDefault="0085273A" w:rsidP="0085273A">
      <w:pPr>
        <w:widowControl/>
        <w:spacing w:after="160" w:line="259" w:lineRule="auto"/>
        <w:jc w:val="center"/>
        <w:rPr>
          <w:bCs/>
          <w:lang w:val="pt-PT"/>
        </w:rPr>
      </w:pPr>
      <w:r>
        <w:rPr>
          <w:bCs/>
          <w:noProof/>
          <w:lang w:val="pt-PT"/>
        </w:rPr>
        <w:lastRenderedPageBreak/>
        <w:drawing>
          <wp:inline distT="0" distB="0" distL="0" distR="0" wp14:anchorId="0553861A" wp14:editId="69F9DBE7">
            <wp:extent cx="3340735" cy="1828800"/>
            <wp:effectExtent l="0" t="0" r="0" b="0"/>
            <wp:docPr id="5049125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735" cy="1828800"/>
                    </a:xfrm>
                    <a:prstGeom prst="rect">
                      <a:avLst/>
                    </a:prstGeom>
                    <a:noFill/>
                  </pic:spPr>
                </pic:pic>
              </a:graphicData>
            </a:graphic>
          </wp:inline>
        </w:drawing>
      </w:r>
    </w:p>
    <w:p w14:paraId="7BB52841" w14:textId="2D92EBE1" w:rsidR="00B57BC5" w:rsidRPr="00B57BC5" w:rsidRDefault="0085273A" w:rsidP="0085273A">
      <w:pPr>
        <w:widowControl/>
        <w:spacing w:after="160" w:line="259" w:lineRule="auto"/>
        <w:jc w:val="both"/>
        <w:rPr>
          <w:b/>
          <w:lang w:val="pt-PT"/>
        </w:rPr>
      </w:pPr>
      <w:r>
        <w:rPr>
          <w:b/>
          <w:lang w:val="pt-PT"/>
        </w:rPr>
        <w:tab/>
      </w:r>
      <w:r w:rsidR="00B57BC5" w:rsidRPr="004E52FC">
        <w:rPr>
          <w:b/>
          <w:lang w:val="pt-PT"/>
        </w:rPr>
        <w:t xml:space="preserve">Fonte: </w:t>
      </w:r>
      <w:r w:rsidR="00B57BC5">
        <w:rPr>
          <w:bCs/>
          <w:lang w:val="pt-PT"/>
        </w:rPr>
        <w:t>Lima et al., 2024.</w:t>
      </w:r>
    </w:p>
    <w:p w14:paraId="2D097858" w14:textId="4AF6CBDB" w:rsidR="001D1CDF" w:rsidRDefault="001D1CDF" w:rsidP="007718E2">
      <w:pPr>
        <w:widowControl/>
        <w:tabs>
          <w:tab w:val="left" w:pos="1290"/>
        </w:tabs>
        <w:spacing w:line="360" w:lineRule="auto"/>
        <w:ind w:firstLine="709"/>
        <w:jc w:val="both"/>
        <w:rPr>
          <w:bCs/>
          <w:sz w:val="24"/>
          <w:szCs w:val="24"/>
        </w:rPr>
      </w:pPr>
      <w:r w:rsidRPr="001D1CDF">
        <w:rPr>
          <w:bCs/>
          <w:sz w:val="24"/>
          <w:szCs w:val="24"/>
        </w:rPr>
        <w:t xml:space="preserve">A análise espaço-temporal apresentada na </w:t>
      </w:r>
      <w:r w:rsidR="0085273A">
        <w:rPr>
          <w:bCs/>
          <w:sz w:val="24"/>
          <w:szCs w:val="24"/>
        </w:rPr>
        <w:t>f</w:t>
      </w:r>
      <w:r w:rsidRPr="0085273A">
        <w:rPr>
          <w:bCs/>
          <w:sz w:val="24"/>
          <w:szCs w:val="24"/>
        </w:rPr>
        <w:t>igura 2</w:t>
      </w:r>
      <w:r w:rsidRPr="001D1CDF">
        <w:rPr>
          <w:bCs/>
          <w:sz w:val="24"/>
          <w:szCs w:val="24"/>
        </w:rPr>
        <w:t xml:space="preserve"> permite identificar mudanças significativas entre 2011 e 2021, revelando um processo contínuo de substituição de formações naturais por usos antrópicos associados, sobretudo, à pecuária e à mineração. A Formação Florestal (FF) foi a classe mais impactada, apresentando redução de aproximadamente 35% de sua área original, passando de 16.906,51 ha em 2011 para 11.085,08 ha em 2021.</w:t>
      </w:r>
    </w:p>
    <w:p w14:paraId="4ACC1AB6" w14:textId="77777777" w:rsidR="001D1CDF" w:rsidRPr="00BC01F5" w:rsidRDefault="001D1CDF" w:rsidP="00973465">
      <w:pPr>
        <w:widowControl/>
        <w:tabs>
          <w:tab w:val="left" w:pos="1290"/>
        </w:tabs>
        <w:spacing w:after="160" w:line="259" w:lineRule="auto"/>
        <w:jc w:val="center"/>
        <w:rPr>
          <w:bCs/>
          <w:lang w:val="pt-PT"/>
        </w:rPr>
      </w:pPr>
      <w:r w:rsidRPr="00BB2501">
        <w:rPr>
          <w:b/>
          <w:lang w:val="pt-PT"/>
        </w:rPr>
        <w:t xml:space="preserve">Figura </w:t>
      </w:r>
      <w:r>
        <w:rPr>
          <w:b/>
          <w:lang w:val="pt-PT"/>
        </w:rPr>
        <w:t>2</w:t>
      </w:r>
      <w:r w:rsidRPr="00BB2501">
        <w:rPr>
          <w:b/>
          <w:lang w:val="pt-PT"/>
        </w:rPr>
        <w:t xml:space="preserve"> </w:t>
      </w:r>
      <w:r w:rsidRPr="00BC01F5">
        <w:rPr>
          <w:bCs/>
          <w:lang w:val="pt-PT"/>
        </w:rPr>
        <w:t>– Áreas de uso e cobertura do solo São Félix do Xingu dos anos 2011(A)-2021(B).</w:t>
      </w:r>
    </w:p>
    <w:p w14:paraId="1329A5AA" w14:textId="77777777" w:rsidR="001D1CDF" w:rsidRPr="00E43158" w:rsidRDefault="001D1CDF" w:rsidP="001D1CDF">
      <w:pPr>
        <w:widowControl/>
        <w:tabs>
          <w:tab w:val="left" w:pos="1290"/>
        </w:tabs>
        <w:spacing w:after="160" w:line="259" w:lineRule="auto"/>
        <w:jc w:val="both"/>
        <w:rPr>
          <w:b/>
          <w:lang w:val="pt-PT"/>
        </w:rPr>
      </w:pPr>
      <w:r w:rsidRPr="00BB2501">
        <w:rPr>
          <w:b/>
          <w:noProof/>
          <w:lang w:val="pt-PT"/>
        </w:rPr>
        <w:drawing>
          <wp:inline distT="0" distB="0" distL="0" distR="0" wp14:anchorId="0B5BD07C" wp14:editId="682C1DC6">
            <wp:extent cx="5743575" cy="3162300"/>
            <wp:effectExtent l="0" t="0" r="9525" b="0"/>
            <wp:docPr id="575419883"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7"/>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162300"/>
                    </a:xfrm>
                    <a:prstGeom prst="rect">
                      <a:avLst/>
                    </a:prstGeom>
                    <a:noFill/>
                    <a:ln>
                      <a:noFill/>
                    </a:ln>
                  </pic:spPr>
                </pic:pic>
              </a:graphicData>
            </a:graphic>
          </wp:inline>
        </w:drawing>
      </w:r>
    </w:p>
    <w:p w14:paraId="36FAB3AF" w14:textId="4A8651EA" w:rsidR="001D1CDF" w:rsidRPr="001D1CDF" w:rsidRDefault="0085273A" w:rsidP="0085273A">
      <w:pPr>
        <w:widowControl/>
        <w:spacing w:after="160" w:line="259" w:lineRule="auto"/>
        <w:jc w:val="both"/>
        <w:rPr>
          <w:bCs/>
          <w:lang w:val="pt-PT"/>
        </w:rPr>
      </w:pPr>
      <w:r>
        <w:rPr>
          <w:b/>
          <w:lang w:val="pt-PT"/>
        </w:rPr>
        <w:tab/>
      </w:r>
      <w:r w:rsidR="001D1CDF" w:rsidRPr="00E43158">
        <w:rPr>
          <w:b/>
          <w:lang w:val="pt-PT"/>
        </w:rPr>
        <w:t xml:space="preserve">Fonte: </w:t>
      </w:r>
      <w:r w:rsidR="001D1CDF" w:rsidRPr="00AE3BF1">
        <w:rPr>
          <w:bCs/>
          <w:lang w:val="pt-PT"/>
        </w:rPr>
        <w:t>LIMA et al.</w:t>
      </w:r>
      <w:r w:rsidR="001D1CDF">
        <w:rPr>
          <w:bCs/>
          <w:lang w:val="pt-PT"/>
        </w:rPr>
        <w:t xml:space="preserve">, </w:t>
      </w:r>
      <w:r w:rsidR="001D1CDF" w:rsidRPr="00AE3BF1">
        <w:rPr>
          <w:bCs/>
          <w:lang w:val="pt-PT"/>
        </w:rPr>
        <w:t>2024.</w:t>
      </w:r>
    </w:p>
    <w:p w14:paraId="200F395E" w14:textId="09CB80B4" w:rsid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Conforme indicado </w:t>
      </w:r>
      <w:r w:rsidRPr="0085273A">
        <w:rPr>
          <w:bCs/>
          <w:sz w:val="24"/>
          <w:szCs w:val="24"/>
        </w:rPr>
        <w:t xml:space="preserve">na </w:t>
      </w:r>
      <w:r w:rsidR="0085273A">
        <w:rPr>
          <w:bCs/>
          <w:sz w:val="24"/>
          <w:szCs w:val="24"/>
        </w:rPr>
        <w:t>t</w:t>
      </w:r>
      <w:r w:rsidRPr="0085273A">
        <w:rPr>
          <w:bCs/>
          <w:sz w:val="24"/>
          <w:szCs w:val="24"/>
        </w:rPr>
        <w:t>abela 2, grande</w:t>
      </w:r>
      <w:r w:rsidRPr="001D1CDF">
        <w:rPr>
          <w:bCs/>
          <w:sz w:val="24"/>
          <w:szCs w:val="24"/>
        </w:rPr>
        <w:t xml:space="preserve"> parte dessa perda converteu-se em pastagem (6.264,76 ha) e mineração (271,53 ha), evidenciando que essas atividades se consolidam como os principais vetores de transformação da paisagem no período analisado. Fearnside (2006) destaca que a pecuária extensiva constitui historicamente o maior motor do desmatamento na </w:t>
      </w:r>
      <w:r w:rsidRPr="001D1CDF">
        <w:rPr>
          <w:bCs/>
          <w:sz w:val="24"/>
          <w:szCs w:val="24"/>
        </w:rPr>
        <w:lastRenderedPageBreak/>
        <w:t>Amazônia, promovendo a conversão direta de áreas florestais em pastagens — um padrão plenamente coerente com os fluxos de transição observados neste estudo.</w:t>
      </w:r>
    </w:p>
    <w:p w14:paraId="04B6FEA7" w14:textId="77777777" w:rsidR="001D1CDF" w:rsidRPr="00302E42" w:rsidRDefault="001D1CDF" w:rsidP="001D1CDF">
      <w:pPr>
        <w:pStyle w:val="Corpodetexto"/>
        <w:spacing w:before="1" w:line="242" w:lineRule="auto"/>
        <w:ind w:left="257" w:right="242"/>
        <w:jc w:val="both"/>
        <w:rPr>
          <w:sz w:val="22"/>
          <w:szCs w:val="22"/>
        </w:rPr>
      </w:pPr>
      <w:r w:rsidRPr="00BB2501">
        <w:rPr>
          <w:b/>
          <w:sz w:val="22"/>
          <w:szCs w:val="22"/>
        </w:rPr>
        <w:t>Tabela</w:t>
      </w:r>
      <w:r w:rsidRPr="00BB2501">
        <w:rPr>
          <w:b/>
          <w:spacing w:val="-3"/>
          <w:sz w:val="22"/>
          <w:szCs w:val="22"/>
        </w:rPr>
        <w:t xml:space="preserve"> </w:t>
      </w:r>
      <w:r>
        <w:rPr>
          <w:b/>
          <w:sz w:val="22"/>
          <w:szCs w:val="22"/>
        </w:rPr>
        <w:t>2</w:t>
      </w:r>
      <w:r w:rsidRPr="00BB2501">
        <w:rPr>
          <w:b/>
          <w:spacing w:val="-3"/>
          <w:sz w:val="22"/>
          <w:szCs w:val="22"/>
        </w:rPr>
        <w:t xml:space="preserve"> </w:t>
      </w:r>
      <w:r w:rsidRPr="00BB2501">
        <w:rPr>
          <w:b/>
          <w:sz w:val="22"/>
          <w:szCs w:val="22"/>
        </w:rPr>
        <w:t>–</w:t>
      </w:r>
      <w:r w:rsidRPr="00BB2501">
        <w:rPr>
          <w:b/>
          <w:spacing w:val="-1"/>
          <w:sz w:val="22"/>
          <w:szCs w:val="22"/>
        </w:rPr>
        <w:t xml:space="preserve"> </w:t>
      </w:r>
      <w:r>
        <w:rPr>
          <w:sz w:val="22"/>
          <w:szCs w:val="22"/>
        </w:rPr>
        <w:t>Matriz de</w:t>
      </w:r>
      <w:r w:rsidRPr="00BB2501">
        <w:rPr>
          <w:spacing w:val="-2"/>
          <w:sz w:val="22"/>
          <w:szCs w:val="22"/>
        </w:rPr>
        <w:t xml:space="preserve"> </w:t>
      </w:r>
      <w:r w:rsidRPr="00BB2501">
        <w:rPr>
          <w:sz w:val="22"/>
          <w:szCs w:val="22"/>
        </w:rPr>
        <w:t>transição</w:t>
      </w:r>
      <w:r w:rsidRPr="00BB2501">
        <w:rPr>
          <w:spacing w:val="-3"/>
          <w:sz w:val="22"/>
          <w:szCs w:val="22"/>
        </w:rPr>
        <w:t xml:space="preserve"> </w:t>
      </w:r>
      <w:r w:rsidRPr="00BB2501">
        <w:rPr>
          <w:sz w:val="22"/>
          <w:szCs w:val="22"/>
        </w:rPr>
        <w:t>de</w:t>
      </w:r>
      <w:r w:rsidRPr="00BB2501">
        <w:rPr>
          <w:spacing w:val="-4"/>
          <w:sz w:val="22"/>
          <w:szCs w:val="22"/>
        </w:rPr>
        <w:t xml:space="preserve"> </w:t>
      </w:r>
      <w:r w:rsidRPr="00BB2501">
        <w:rPr>
          <w:sz w:val="22"/>
          <w:szCs w:val="22"/>
        </w:rPr>
        <w:t>uso</w:t>
      </w:r>
      <w:r w:rsidRPr="00BB2501">
        <w:rPr>
          <w:spacing w:val="-3"/>
          <w:sz w:val="22"/>
          <w:szCs w:val="22"/>
        </w:rPr>
        <w:t xml:space="preserve"> </w:t>
      </w:r>
      <w:r w:rsidRPr="00BB2501">
        <w:rPr>
          <w:sz w:val="22"/>
          <w:szCs w:val="22"/>
        </w:rPr>
        <w:t>e</w:t>
      </w:r>
      <w:r w:rsidRPr="00BB2501">
        <w:rPr>
          <w:spacing w:val="-2"/>
          <w:sz w:val="22"/>
          <w:szCs w:val="22"/>
        </w:rPr>
        <w:t xml:space="preserve"> </w:t>
      </w:r>
      <w:r w:rsidRPr="00BB2501">
        <w:rPr>
          <w:sz w:val="22"/>
          <w:szCs w:val="22"/>
        </w:rPr>
        <w:t>ocupação</w:t>
      </w:r>
      <w:r w:rsidRPr="00BB2501">
        <w:rPr>
          <w:spacing w:val="-3"/>
          <w:sz w:val="22"/>
          <w:szCs w:val="22"/>
        </w:rPr>
        <w:t xml:space="preserve"> </w:t>
      </w:r>
      <w:r w:rsidRPr="00BB2501">
        <w:rPr>
          <w:sz w:val="22"/>
          <w:szCs w:val="22"/>
        </w:rPr>
        <w:t>do</w:t>
      </w:r>
      <w:r w:rsidRPr="00BB2501">
        <w:rPr>
          <w:spacing w:val="-3"/>
          <w:sz w:val="22"/>
          <w:szCs w:val="22"/>
        </w:rPr>
        <w:t xml:space="preserve"> </w:t>
      </w:r>
      <w:r w:rsidRPr="00BB2501">
        <w:rPr>
          <w:sz w:val="22"/>
          <w:szCs w:val="22"/>
        </w:rPr>
        <w:t>solo</w:t>
      </w:r>
      <w:r w:rsidRPr="00BB2501">
        <w:rPr>
          <w:spacing w:val="-3"/>
          <w:sz w:val="22"/>
          <w:szCs w:val="22"/>
        </w:rPr>
        <w:t xml:space="preserve"> </w:t>
      </w:r>
      <w:r w:rsidRPr="00BB2501">
        <w:rPr>
          <w:sz w:val="22"/>
          <w:szCs w:val="22"/>
        </w:rPr>
        <w:t>em</w:t>
      </w:r>
      <w:r w:rsidRPr="00BB2501">
        <w:rPr>
          <w:spacing w:val="-3"/>
          <w:sz w:val="22"/>
          <w:szCs w:val="22"/>
        </w:rPr>
        <w:t xml:space="preserve"> </w:t>
      </w:r>
      <w:r w:rsidRPr="00BB2501">
        <w:rPr>
          <w:sz w:val="22"/>
          <w:szCs w:val="22"/>
        </w:rPr>
        <w:t>áreas</w:t>
      </w:r>
      <w:r w:rsidRPr="00BB2501">
        <w:rPr>
          <w:spacing w:val="-4"/>
          <w:sz w:val="22"/>
          <w:szCs w:val="22"/>
        </w:rPr>
        <w:t xml:space="preserve"> </w:t>
      </w:r>
      <w:r w:rsidRPr="00BB2501">
        <w:rPr>
          <w:sz w:val="22"/>
          <w:szCs w:val="22"/>
        </w:rPr>
        <w:t>com</w:t>
      </w:r>
      <w:r w:rsidRPr="00BB2501">
        <w:rPr>
          <w:spacing w:val="-3"/>
          <w:sz w:val="22"/>
          <w:szCs w:val="22"/>
        </w:rPr>
        <w:t xml:space="preserve"> </w:t>
      </w:r>
      <w:r w:rsidRPr="00BB2501">
        <w:rPr>
          <w:sz w:val="22"/>
          <w:szCs w:val="22"/>
        </w:rPr>
        <w:t>processos</w:t>
      </w:r>
      <w:r w:rsidRPr="00BB2501">
        <w:rPr>
          <w:spacing w:val="-4"/>
          <w:sz w:val="22"/>
          <w:szCs w:val="22"/>
        </w:rPr>
        <w:t xml:space="preserve"> </w:t>
      </w:r>
      <w:r w:rsidRPr="00BB2501">
        <w:rPr>
          <w:sz w:val="22"/>
          <w:szCs w:val="22"/>
        </w:rPr>
        <w:t>minerários</w:t>
      </w:r>
      <w:r w:rsidRPr="00BB2501">
        <w:rPr>
          <w:spacing w:val="-4"/>
          <w:sz w:val="22"/>
          <w:szCs w:val="22"/>
        </w:rPr>
        <w:t xml:space="preserve"> </w:t>
      </w:r>
      <w:r w:rsidRPr="00BB2501">
        <w:rPr>
          <w:sz w:val="22"/>
          <w:szCs w:val="22"/>
        </w:rPr>
        <w:t>ativos</w:t>
      </w:r>
      <w:r w:rsidRPr="00BB2501">
        <w:rPr>
          <w:spacing w:val="-4"/>
          <w:sz w:val="22"/>
          <w:szCs w:val="22"/>
        </w:rPr>
        <w:t xml:space="preserve"> </w:t>
      </w:r>
      <w:r w:rsidRPr="00BB2501">
        <w:rPr>
          <w:sz w:val="22"/>
          <w:szCs w:val="22"/>
        </w:rPr>
        <w:t>de estanho, em São Felix do Xingu, entre 2011 e 2021.</w:t>
      </w:r>
    </w:p>
    <w:tbl>
      <w:tblPr>
        <w:tblStyle w:val="SimplesTabela2"/>
        <w:tblW w:w="8506" w:type="dxa"/>
        <w:tblLook w:val="04A0" w:firstRow="1" w:lastRow="0" w:firstColumn="1" w:lastColumn="0" w:noHBand="0" w:noVBand="1"/>
      </w:tblPr>
      <w:tblGrid>
        <w:gridCol w:w="1212"/>
        <w:gridCol w:w="522"/>
        <w:gridCol w:w="685"/>
        <w:gridCol w:w="699"/>
        <w:gridCol w:w="875"/>
        <w:gridCol w:w="776"/>
        <w:gridCol w:w="787"/>
        <w:gridCol w:w="543"/>
        <w:gridCol w:w="875"/>
        <w:gridCol w:w="699"/>
        <w:gridCol w:w="523"/>
        <w:gridCol w:w="875"/>
      </w:tblGrid>
      <w:tr w:rsidR="001D1CDF" w:rsidRPr="00DC6B06" w14:paraId="13329004" w14:textId="77777777" w:rsidTr="0085273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vMerge w:val="restart"/>
            <w:hideMark/>
          </w:tcPr>
          <w:p w14:paraId="7B54023D" w14:textId="77777777" w:rsidR="001D1CDF" w:rsidRPr="00DC6B06" w:rsidRDefault="001D1CDF" w:rsidP="0085273A">
            <w:pPr>
              <w:widowControl/>
              <w:jc w:val="center"/>
              <w:rPr>
                <w:color w:val="000000"/>
              </w:rPr>
            </w:pPr>
            <w:r w:rsidRPr="00DC6B06">
              <w:rPr>
                <w:color w:val="000000"/>
              </w:rPr>
              <w:t>Classes de uso e ocupação do solo</w:t>
            </w:r>
          </w:p>
        </w:tc>
        <w:tc>
          <w:tcPr>
            <w:tcW w:w="7041" w:type="dxa"/>
            <w:gridSpan w:val="11"/>
            <w:noWrap/>
            <w:hideMark/>
          </w:tcPr>
          <w:p w14:paraId="60E6D97E" w14:textId="77777777" w:rsidR="001D1CDF" w:rsidRPr="00DC6B06" w:rsidRDefault="001D1CDF" w:rsidP="0085273A">
            <w:pPr>
              <w:widowControl/>
              <w:jc w:val="center"/>
              <w:cnfStyle w:val="100000000000" w:firstRow="1" w:lastRow="0" w:firstColumn="0" w:lastColumn="0" w:oddVBand="0" w:evenVBand="0" w:oddHBand="0" w:evenHBand="0" w:firstRowFirstColumn="0" w:firstRowLastColumn="0" w:lastRowFirstColumn="0" w:lastRowLastColumn="0"/>
              <w:rPr>
                <w:color w:val="000000"/>
              </w:rPr>
            </w:pPr>
            <w:r w:rsidRPr="00DC6B06">
              <w:rPr>
                <w:color w:val="000000"/>
              </w:rPr>
              <w:t>Ano de 2021</w:t>
            </w:r>
          </w:p>
        </w:tc>
      </w:tr>
      <w:tr w:rsidR="001D1CDF" w:rsidRPr="00DC6B06" w14:paraId="3A6BB68C"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vMerge/>
            <w:hideMark/>
          </w:tcPr>
          <w:p w14:paraId="15CBA9BF" w14:textId="77777777" w:rsidR="001D1CDF" w:rsidRPr="00DC6B06" w:rsidRDefault="001D1CDF" w:rsidP="0085273A">
            <w:pPr>
              <w:widowControl/>
              <w:rPr>
                <w:color w:val="000000"/>
              </w:rPr>
            </w:pPr>
          </w:p>
        </w:tc>
        <w:tc>
          <w:tcPr>
            <w:tcW w:w="443" w:type="dxa"/>
            <w:noWrap/>
            <w:hideMark/>
          </w:tcPr>
          <w:p w14:paraId="413BB205"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 xml:space="preserve">AU </w:t>
            </w:r>
          </w:p>
        </w:tc>
        <w:tc>
          <w:tcPr>
            <w:tcW w:w="569" w:type="dxa"/>
            <w:noWrap/>
            <w:hideMark/>
          </w:tcPr>
          <w:p w14:paraId="2A29350C"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CAAP</w:t>
            </w:r>
          </w:p>
        </w:tc>
        <w:tc>
          <w:tcPr>
            <w:tcW w:w="629" w:type="dxa"/>
            <w:noWrap/>
            <w:hideMark/>
          </w:tcPr>
          <w:p w14:paraId="09E4CEE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FC</w:t>
            </w:r>
          </w:p>
        </w:tc>
        <w:tc>
          <w:tcPr>
            <w:tcW w:w="815" w:type="dxa"/>
            <w:noWrap/>
            <w:hideMark/>
          </w:tcPr>
          <w:p w14:paraId="29E30B1A"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6"/>
              </w:rPr>
              <w:t>FF</w:t>
            </w:r>
          </w:p>
        </w:tc>
        <w:tc>
          <w:tcPr>
            <w:tcW w:w="710" w:type="dxa"/>
            <w:noWrap/>
            <w:hideMark/>
          </w:tcPr>
          <w:p w14:paraId="062DB65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6"/>
              </w:rPr>
              <w:t>FS</w:t>
            </w:r>
          </w:p>
        </w:tc>
        <w:tc>
          <w:tcPr>
            <w:tcW w:w="722" w:type="dxa"/>
            <w:noWrap/>
            <w:hideMark/>
          </w:tcPr>
          <w:p w14:paraId="22B915E7"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MIN</w:t>
            </w:r>
          </w:p>
        </w:tc>
        <w:tc>
          <w:tcPr>
            <w:tcW w:w="443" w:type="dxa"/>
            <w:noWrap/>
            <w:hideMark/>
          </w:tcPr>
          <w:p w14:paraId="318A00C8"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6"/>
                <w:position w:val="11"/>
              </w:rPr>
              <w:t>OLT</w:t>
            </w:r>
          </w:p>
        </w:tc>
        <w:tc>
          <w:tcPr>
            <w:tcW w:w="815" w:type="dxa"/>
            <w:noWrap/>
            <w:hideMark/>
          </w:tcPr>
          <w:p w14:paraId="164CC58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PAST</w:t>
            </w:r>
          </w:p>
        </w:tc>
        <w:tc>
          <w:tcPr>
            <w:tcW w:w="629" w:type="dxa"/>
            <w:noWrap/>
            <w:hideMark/>
          </w:tcPr>
          <w:p w14:paraId="1A42DA2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 xml:space="preserve">RLO </w:t>
            </w:r>
          </w:p>
        </w:tc>
        <w:tc>
          <w:tcPr>
            <w:tcW w:w="443" w:type="dxa"/>
            <w:noWrap/>
            <w:hideMark/>
          </w:tcPr>
          <w:p w14:paraId="11B90682"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SOJ</w:t>
            </w:r>
          </w:p>
        </w:tc>
        <w:tc>
          <w:tcPr>
            <w:tcW w:w="815" w:type="dxa"/>
            <w:noWrap/>
            <w:hideMark/>
          </w:tcPr>
          <w:p w14:paraId="023B5D02"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2"/>
              </w:rPr>
              <w:t>Total</w:t>
            </w:r>
          </w:p>
        </w:tc>
      </w:tr>
      <w:tr w:rsidR="001D1CDF" w:rsidRPr="00DC6B06" w14:paraId="66B5908D"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hideMark/>
          </w:tcPr>
          <w:p w14:paraId="5146E1C4" w14:textId="77777777" w:rsidR="001D1CDF" w:rsidRPr="00DC6B06" w:rsidRDefault="001D1CDF" w:rsidP="0085273A">
            <w:pPr>
              <w:widowControl/>
              <w:jc w:val="center"/>
              <w:rPr>
                <w:color w:val="000000"/>
              </w:rPr>
            </w:pPr>
            <w:r w:rsidRPr="00DC6B06">
              <w:rPr>
                <w:color w:val="000000"/>
              </w:rPr>
              <w:t>AU</w:t>
            </w:r>
          </w:p>
        </w:tc>
        <w:tc>
          <w:tcPr>
            <w:tcW w:w="443" w:type="dxa"/>
            <w:noWrap/>
            <w:hideMark/>
          </w:tcPr>
          <w:p w14:paraId="275002EF"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569" w:type="dxa"/>
            <w:noWrap/>
            <w:hideMark/>
          </w:tcPr>
          <w:p w14:paraId="438D3F6D"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629" w:type="dxa"/>
            <w:noWrap/>
            <w:hideMark/>
          </w:tcPr>
          <w:p w14:paraId="1CC6FFB5"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194C84B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710" w:type="dxa"/>
            <w:noWrap/>
            <w:hideMark/>
          </w:tcPr>
          <w:p w14:paraId="278B4E26"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722" w:type="dxa"/>
            <w:noWrap/>
            <w:hideMark/>
          </w:tcPr>
          <w:p w14:paraId="2641C519"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0,63</w:t>
            </w:r>
          </w:p>
        </w:tc>
        <w:tc>
          <w:tcPr>
            <w:tcW w:w="443" w:type="dxa"/>
            <w:noWrap/>
            <w:hideMark/>
          </w:tcPr>
          <w:p w14:paraId="443319E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7774F01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629" w:type="dxa"/>
            <w:noWrap/>
            <w:hideMark/>
          </w:tcPr>
          <w:p w14:paraId="5C2B2E91"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443" w:type="dxa"/>
            <w:noWrap/>
            <w:hideMark/>
          </w:tcPr>
          <w:p w14:paraId="7FA661E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2D06534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0,63</w:t>
            </w:r>
          </w:p>
        </w:tc>
      </w:tr>
      <w:tr w:rsidR="001D1CDF" w:rsidRPr="00DC6B06" w14:paraId="5641DE1F"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E774F2E" w14:textId="77777777" w:rsidR="001D1CDF" w:rsidRPr="00DC6B06" w:rsidRDefault="001D1CDF" w:rsidP="0085273A">
            <w:pPr>
              <w:widowControl/>
              <w:jc w:val="center"/>
              <w:rPr>
                <w:color w:val="000000"/>
              </w:rPr>
            </w:pPr>
            <w:r w:rsidRPr="00DC6B06">
              <w:rPr>
                <w:color w:val="000000"/>
              </w:rPr>
              <w:t>CAAP</w:t>
            </w:r>
          </w:p>
        </w:tc>
        <w:tc>
          <w:tcPr>
            <w:tcW w:w="443" w:type="dxa"/>
            <w:noWrap/>
            <w:hideMark/>
          </w:tcPr>
          <w:p w14:paraId="22258F60"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position w:val="11"/>
                <w:lang w:val="pt-PT"/>
              </w:rPr>
              <w:t>0,00</w:t>
            </w:r>
          </w:p>
        </w:tc>
        <w:tc>
          <w:tcPr>
            <w:tcW w:w="569" w:type="dxa"/>
            <w:noWrap/>
            <w:hideMark/>
          </w:tcPr>
          <w:p w14:paraId="15FA0C6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629" w:type="dxa"/>
            <w:noWrap/>
            <w:hideMark/>
          </w:tcPr>
          <w:p w14:paraId="34BB6E11"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2,07</w:t>
            </w:r>
          </w:p>
        </w:tc>
        <w:tc>
          <w:tcPr>
            <w:tcW w:w="815" w:type="dxa"/>
            <w:noWrap/>
            <w:hideMark/>
          </w:tcPr>
          <w:p w14:paraId="157A4C0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0,27</w:t>
            </w:r>
          </w:p>
        </w:tc>
        <w:tc>
          <w:tcPr>
            <w:tcW w:w="710" w:type="dxa"/>
            <w:noWrap/>
            <w:hideMark/>
          </w:tcPr>
          <w:p w14:paraId="0FC492A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0,00</w:t>
            </w:r>
          </w:p>
        </w:tc>
        <w:tc>
          <w:tcPr>
            <w:tcW w:w="722" w:type="dxa"/>
            <w:noWrap/>
            <w:hideMark/>
          </w:tcPr>
          <w:p w14:paraId="033BA54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2,61</w:t>
            </w:r>
          </w:p>
        </w:tc>
        <w:tc>
          <w:tcPr>
            <w:tcW w:w="443" w:type="dxa"/>
            <w:noWrap/>
            <w:hideMark/>
          </w:tcPr>
          <w:p w14:paraId="22416C7E"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5"/>
                <w:position w:val="11"/>
              </w:rPr>
              <w:t>0,00</w:t>
            </w:r>
          </w:p>
        </w:tc>
        <w:tc>
          <w:tcPr>
            <w:tcW w:w="815" w:type="dxa"/>
            <w:noWrap/>
            <w:hideMark/>
          </w:tcPr>
          <w:p w14:paraId="42EBD85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0,36</w:t>
            </w:r>
          </w:p>
        </w:tc>
        <w:tc>
          <w:tcPr>
            <w:tcW w:w="629" w:type="dxa"/>
            <w:noWrap/>
            <w:hideMark/>
          </w:tcPr>
          <w:p w14:paraId="6CD880A3"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0,09</w:t>
            </w:r>
          </w:p>
        </w:tc>
        <w:tc>
          <w:tcPr>
            <w:tcW w:w="443" w:type="dxa"/>
            <w:noWrap/>
            <w:hideMark/>
          </w:tcPr>
          <w:p w14:paraId="48CBDC0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4FC5119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4"/>
              </w:rPr>
              <w:t>5,40</w:t>
            </w:r>
          </w:p>
        </w:tc>
      </w:tr>
      <w:tr w:rsidR="001D1CDF" w:rsidRPr="00DC6B06" w14:paraId="64B37C01"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7F3318A" w14:textId="77777777" w:rsidR="001D1CDF" w:rsidRPr="00DC6B06" w:rsidRDefault="001D1CDF" w:rsidP="0085273A">
            <w:pPr>
              <w:widowControl/>
              <w:jc w:val="center"/>
              <w:rPr>
                <w:color w:val="000000"/>
              </w:rPr>
            </w:pPr>
            <w:r w:rsidRPr="00DC6B06">
              <w:rPr>
                <w:color w:val="000000"/>
              </w:rPr>
              <w:t>FC</w:t>
            </w:r>
          </w:p>
        </w:tc>
        <w:tc>
          <w:tcPr>
            <w:tcW w:w="443" w:type="dxa"/>
            <w:noWrap/>
            <w:hideMark/>
          </w:tcPr>
          <w:p w14:paraId="07C052A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5"/>
                <w:lang w:val="pt-PT"/>
              </w:rPr>
              <w:t>0,00</w:t>
            </w:r>
          </w:p>
        </w:tc>
        <w:tc>
          <w:tcPr>
            <w:tcW w:w="569" w:type="dxa"/>
            <w:noWrap/>
            <w:hideMark/>
          </w:tcPr>
          <w:p w14:paraId="782F8A2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0,72</w:t>
            </w:r>
          </w:p>
        </w:tc>
        <w:tc>
          <w:tcPr>
            <w:tcW w:w="629" w:type="dxa"/>
            <w:noWrap/>
            <w:hideMark/>
          </w:tcPr>
          <w:p w14:paraId="52D346C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position w:val="11"/>
              </w:rPr>
              <w:t>431,13</w:t>
            </w:r>
          </w:p>
        </w:tc>
        <w:tc>
          <w:tcPr>
            <w:tcW w:w="815" w:type="dxa"/>
            <w:noWrap/>
            <w:hideMark/>
          </w:tcPr>
          <w:p w14:paraId="0E4EB655"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rPr>
              <w:t>3,43</w:t>
            </w:r>
          </w:p>
        </w:tc>
        <w:tc>
          <w:tcPr>
            <w:tcW w:w="710" w:type="dxa"/>
            <w:noWrap/>
            <w:hideMark/>
          </w:tcPr>
          <w:p w14:paraId="7CB58848"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rPr>
              <w:t>6,93</w:t>
            </w:r>
          </w:p>
        </w:tc>
        <w:tc>
          <w:tcPr>
            <w:tcW w:w="722" w:type="dxa"/>
            <w:noWrap/>
            <w:hideMark/>
          </w:tcPr>
          <w:p w14:paraId="5B3A353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64,35</w:t>
            </w:r>
          </w:p>
        </w:tc>
        <w:tc>
          <w:tcPr>
            <w:tcW w:w="443" w:type="dxa"/>
            <w:noWrap/>
            <w:hideMark/>
          </w:tcPr>
          <w:p w14:paraId="63180041"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0,54</w:t>
            </w:r>
          </w:p>
        </w:tc>
        <w:tc>
          <w:tcPr>
            <w:tcW w:w="815" w:type="dxa"/>
            <w:noWrap/>
            <w:hideMark/>
          </w:tcPr>
          <w:p w14:paraId="2ACE9AD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476,73</w:t>
            </w:r>
          </w:p>
        </w:tc>
        <w:tc>
          <w:tcPr>
            <w:tcW w:w="629" w:type="dxa"/>
            <w:noWrap/>
            <w:hideMark/>
          </w:tcPr>
          <w:p w14:paraId="531668FE"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7,69</w:t>
            </w:r>
          </w:p>
        </w:tc>
        <w:tc>
          <w:tcPr>
            <w:tcW w:w="443" w:type="dxa"/>
            <w:noWrap/>
            <w:hideMark/>
          </w:tcPr>
          <w:p w14:paraId="1DC6B809"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6B8EE9FD"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991,52</w:t>
            </w:r>
          </w:p>
        </w:tc>
      </w:tr>
      <w:tr w:rsidR="001D1CDF" w:rsidRPr="00DC6B06" w14:paraId="5457D168"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4A91E2F" w14:textId="77777777" w:rsidR="001D1CDF" w:rsidRPr="00DC6B06" w:rsidRDefault="001D1CDF" w:rsidP="0085273A">
            <w:pPr>
              <w:widowControl/>
              <w:jc w:val="center"/>
              <w:rPr>
                <w:color w:val="000000"/>
              </w:rPr>
            </w:pPr>
            <w:r w:rsidRPr="00DC6B06">
              <w:rPr>
                <w:color w:val="000000"/>
              </w:rPr>
              <w:t>FF</w:t>
            </w:r>
          </w:p>
        </w:tc>
        <w:tc>
          <w:tcPr>
            <w:tcW w:w="443" w:type="dxa"/>
            <w:noWrap/>
            <w:hideMark/>
          </w:tcPr>
          <w:p w14:paraId="76F7D985"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lang w:val="pt-PT"/>
              </w:rPr>
              <w:t>0,00</w:t>
            </w:r>
          </w:p>
        </w:tc>
        <w:tc>
          <w:tcPr>
            <w:tcW w:w="569" w:type="dxa"/>
            <w:noWrap/>
            <w:hideMark/>
          </w:tcPr>
          <w:p w14:paraId="1D60CB77"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lang w:val="pt-PT"/>
              </w:rPr>
              <w:t>4,86</w:t>
            </w:r>
          </w:p>
        </w:tc>
        <w:tc>
          <w:tcPr>
            <w:tcW w:w="629" w:type="dxa"/>
            <w:noWrap/>
            <w:hideMark/>
          </w:tcPr>
          <w:p w14:paraId="256A495B"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4,06</w:t>
            </w:r>
          </w:p>
        </w:tc>
        <w:tc>
          <w:tcPr>
            <w:tcW w:w="815" w:type="dxa"/>
            <w:noWrap/>
            <w:hideMark/>
          </w:tcPr>
          <w:p w14:paraId="798CF99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10334,09</w:t>
            </w:r>
          </w:p>
        </w:tc>
        <w:tc>
          <w:tcPr>
            <w:tcW w:w="710" w:type="dxa"/>
            <w:noWrap/>
            <w:hideMark/>
          </w:tcPr>
          <w:p w14:paraId="304F9495"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19,20</w:t>
            </w:r>
          </w:p>
        </w:tc>
        <w:tc>
          <w:tcPr>
            <w:tcW w:w="722" w:type="dxa"/>
            <w:noWrap/>
            <w:hideMark/>
          </w:tcPr>
          <w:p w14:paraId="7803EEAB"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271,53</w:t>
            </w:r>
          </w:p>
        </w:tc>
        <w:tc>
          <w:tcPr>
            <w:tcW w:w="443" w:type="dxa"/>
            <w:noWrap/>
            <w:hideMark/>
          </w:tcPr>
          <w:p w14:paraId="49E80E75"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667F6D8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6264,76</w:t>
            </w:r>
          </w:p>
        </w:tc>
        <w:tc>
          <w:tcPr>
            <w:tcW w:w="629" w:type="dxa"/>
            <w:noWrap/>
            <w:hideMark/>
          </w:tcPr>
          <w:p w14:paraId="419AAC4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8,00</w:t>
            </w:r>
          </w:p>
        </w:tc>
        <w:tc>
          <w:tcPr>
            <w:tcW w:w="443" w:type="dxa"/>
            <w:noWrap/>
            <w:hideMark/>
          </w:tcPr>
          <w:p w14:paraId="65CF71B6"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624A381E"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16906,51</w:t>
            </w:r>
          </w:p>
        </w:tc>
      </w:tr>
      <w:tr w:rsidR="001D1CDF" w:rsidRPr="00DC6B06" w14:paraId="3058E2A6"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8095BF2" w14:textId="77777777" w:rsidR="001D1CDF" w:rsidRPr="00DC6B06" w:rsidRDefault="001D1CDF" w:rsidP="0085273A">
            <w:pPr>
              <w:widowControl/>
              <w:jc w:val="center"/>
              <w:rPr>
                <w:color w:val="000000"/>
              </w:rPr>
            </w:pPr>
            <w:r w:rsidRPr="00DC6B06">
              <w:rPr>
                <w:color w:val="000000"/>
              </w:rPr>
              <w:t>FS</w:t>
            </w:r>
          </w:p>
        </w:tc>
        <w:tc>
          <w:tcPr>
            <w:tcW w:w="443" w:type="dxa"/>
            <w:noWrap/>
            <w:hideMark/>
          </w:tcPr>
          <w:p w14:paraId="2A193299"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lang w:val="pt-PT"/>
              </w:rPr>
              <w:t>0,00</w:t>
            </w:r>
          </w:p>
        </w:tc>
        <w:tc>
          <w:tcPr>
            <w:tcW w:w="569" w:type="dxa"/>
            <w:noWrap/>
            <w:hideMark/>
          </w:tcPr>
          <w:p w14:paraId="23B6EFB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10"/>
                <w:lang w:val="pt-PT"/>
              </w:rPr>
              <w:t>0,00</w:t>
            </w:r>
          </w:p>
        </w:tc>
        <w:tc>
          <w:tcPr>
            <w:tcW w:w="629" w:type="dxa"/>
            <w:noWrap/>
            <w:hideMark/>
          </w:tcPr>
          <w:p w14:paraId="3C1670E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5"/>
                <w:position w:val="11"/>
              </w:rPr>
              <w:t>10,22</w:t>
            </w:r>
          </w:p>
        </w:tc>
        <w:tc>
          <w:tcPr>
            <w:tcW w:w="815" w:type="dxa"/>
            <w:noWrap/>
            <w:hideMark/>
          </w:tcPr>
          <w:p w14:paraId="43F5532F"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10"/>
              </w:rPr>
              <w:t>23,41</w:t>
            </w:r>
          </w:p>
        </w:tc>
        <w:tc>
          <w:tcPr>
            <w:tcW w:w="710" w:type="dxa"/>
            <w:noWrap/>
            <w:hideMark/>
          </w:tcPr>
          <w:p w14:paraId="35851E0C"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10"/>
              </w:rPr>
              <w:t>1861,57</w:t>
            </w:r>
          </w:p>
        </w:tc>
        <w:tc>
          <w:tcPr>
            <w:tcW w:w="722" w:type="dxa"/>
            <w:noWrap/>
            <w:hideMark/>
          </w:tcPr>
          <w:p w14:paraId="4EDE826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10"/>
              </w:rPr>
              <w:t>119,32</w:t>
            </w:r>
          </w:p>
        </w:tc>
        <w:tc>
          <w:tcPr>
            <w:tcW w:w="443" w:type="dxa"/>
            <w:noWrap/>
            <w:hideMark/>
          </w:tcPr>
          <w:p w14:paraId="493CC32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10"/>
                <w:position w:val="11"/>
              </w:rPr>
              <w:t>0,00</w:t>
            </w:r>
          </w:p>
        </w:tc>
        <w:tc>
          <w:tcPr>
            <w:tcW w:w="815" w:type="dxa"/>
            <w:noWrap/>
            <w:hideMark/>
          </w:tcPr>
          <w:p w14:paraId="3B17183E"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5"/>
              </w:rPr>
              <w:t>1600,25</w:t>
            </w:r>
          </w:p>
        </w:tc>
        <w:tc>
          <w:tcPr>
            <w:tcW w:w="629" w:type="dxa"/>
            <w:noWrap/>
            <w:hideMark/>
          </w:tcPr>
          <w:p w14:paraId="0009C60A"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0,27</w:t>
            </w:r>
          </w:p>
        </w:tc>
        <w:tc>
          <w:tcPr>
            <w:tcW w:w="443" w:type="dxa"/>
            <w:noWrap/>
            <w:hideMark/>
          </w:tcPr>
          <w:p w14:paraId="11FF1400"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01AEF77B"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rPr>
              <w:t>3615,04</w:t>
            </w:r>
          </w:p>
        </w:tc>
      </w:tr>
      <w:tr w:rsidR="001D1CDF" w:rsidRPr="00DC6B06" w14:paraId="23381EF7"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CFBCE18" w14:textId="77777777" w:rsidR="001D1CDF" w:rsidRPr="00DC6B06" w:rsidRDefault="001D1CDF" w:rsidP="0085273A">
            <w:pPr>
              <w:widowControl/>
              <w:jc w:val="center"/>
              <w:rPr>
                <w:color w:val="000000"/>
              </w:rPr>
            </w:pPr>
            <w:r w:rsidRPr="00DC6B06">
              <w:rPr>
                <w:color w:val="000000"/>
              </w:rPr>
              <w:t>MIN</w:t>
            </w:r>
          </w:p>
        </w:tc>
        <w:tc>
          <w:tcPr>
            <w:tcW w:w="443" w:type="dxa"/>
            <w:noWrap/>
            <w:hideMark/>
          </w:tcPr>
          <w:p w14:paraId="431E5A8A"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lang w:val="pt-PT"/>
              </w:rPr>
              <w:t>0,00</w:t>
            </w:r>
          </w:p>
        </w:tc>
        <w:tc>
          <w:tcPr>
            <w:tcW w:w="569" w:type="dxa"/>
            <w:noWrap/>
            <w:hideMark/>
          </w:tcPr>
          <w:p w14:paraId="7E84489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629" w:type="dxa"/>
            <w:noWrap/>
            <w:hideMark/>
          </w:tcPr>
          <w:p w14:paraId="33E15DE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0,27</w:t>
            </w:r>
          </w:p>
        </w:tc>
        <w:tc>
          <w:tcPr>
            <w:tcW w:w="815" w:type="dxa"/>
            <w:noWrap/>
            <w:hideMark/>
          </w:tcPr>
          <w:p w14:paraId="67DC8F21"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0,00</w:t>
            </w:r>
          </w:p>
        </w:tc>
        <w:tc>
          <w:tcPr>
            <w:tcW w:w="710" w:type="dxa"/>
            <w:noWrap/>
            <w:hideMark/>
          </w:tcPr>
          <w:p w14:paraId="136BDCE0"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722" w:type="dxa"/>
            <w:noWrap/>
            <w:hideMark/>
          </w:tcPr>
          <w:p w14:paraId="2C0548D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579,82</w:t>
            </w:r>
          </w:p>
        </w:tc>
        <w:tc>
          <w:tcPr>
            <w:tcW w:w="443" w:type="dxa"/>
            <w:noWrap/>
            <w:hideMark/>
          </w:tcPr>
          <w:p w14:paraId="61C7C37B"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47A3370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2,52</w:t>
            </w:r>
          </w:p>
        </w:tc>
        <w:tc>
          <w:tcPr>
            <w:tcW w:w="629" w:type="dxa"/>
            <w:noWrap/>
            <w:hideMark/>
          </w:tcPr>
          <w:p w14:paraId="5B83C0BE"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15,40</w:t>
            </w:r>
          </w:p>
        </w:tc>
        <w:tc>
          <w:tcPr>
            <w:tcW w:w="443" w:type="dxa"/>
            <w:noWrap/>
            <w:hideMark/>
          </w:tcPr>
          <w:p w14:paraId="68861CC0"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7C09E8E2"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598,07</w:t>
            </w:r>
          </w:p>
        </w:tc>
      </w:tr>
      <w:tr w:rsidR="001D1CDF" w:rsidRPr="00DC6B06" w14:paraId="4F05E828"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B089CC2" w14:textId="77777777" w:rsidR="001D1CDF" w:rsidRPr="00DC6B06" w:rsidRDefault="001D1CDF" w:rsidP="0085273A">
            <w:pPr>
              <w:widowControl/>
              <w:jc w:val="center"/>
              <w:rPr>
                <w:color w:val="000000"/>
              </w:rPr>
            </w:pPr>
            <w:r w:rsidRPr="00DC6B06">
              <w:rPr>
                <w:color w:val="000000"/>
              </w:rPr>
              <w:t>OLT</w:t>
            </w:r>
          </w:p>
        </w:tc>
        <w:tc>
          <w:tcPr>
            <w:tcW w:w="443" w:type="dxa"/>
            <w:noWrap/>
            <w:hideMark/>
          </w:tcPr>
          <w:p w14:paraId="54728CB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5"/>
                <w:lang w:val="pt-PT"/>
              </w:rPr>
              <w:t>0,00</w:t>
            </w:r>
          </w:p>
        </w:tc>
        <w:tc>
          <w:tcPr>
            <w:tcW w:w="569" w:type="dxa"/>
            <w:noWrap/>
            <w:hideMark/>
          </w:tcPr>
          <w:p w14:paraId="498CA125"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629" w:type="dxa"/>
            <w:noWrap/>
            <w:hideMark/>
          </w:tcPr>
          <w:p w14:paraId="330ED46B"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position w:val="11"/>
              </w:rPr>
              <w:t>0,00</w:t>
            </w:r>
          </w:p>
        </w:tc>
        <w:tc>
          <w:tcPr>
            <w:tcW w:w="815" w:type="dxa"/>
            <w:noWrap/>
            <w:hideMark/>
          </w:tcPr>
          <w:p w14:paraId="5AF7EDC1"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position w:val="11"/>
              </w:rPr>
              <w:t>0,00</w:t>
            </w:r>
          </w:p>
        </w:tc>
        <w:tc>
          <w:tcPr>
            <w:tcW w:w="710" w:type="dxa"/>
            <w:noWrap/>
            <w:hideMark/>
          </w:tcPr>
          <w:p w14:paraId="7468D9A1"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rPr>
              <w:t>0,00</w:t>
            </w:r>
          </w:p>
        </w:tc>
        <w:tc>
          <w:tcPr>
            <w:tcW w:w="722" w:type="dxa"/>
            <w:noWrap/>
            <w:hideMark/>
          </w:tcPr>
          <w:p w14:paraId="7571F17E"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443" w:type="dxa"/>
            <w:noWrap/>
            <w:hideMark/>
          </w:tcPr>
          <w:p w14:paraId="2F4A604B"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535CD7EA"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0,54</w:t>
            </w:r>
          </w:p>
        </w:tc>
        <w:tc>
          <w:tcPr>
            <w:tcW w:w="629" w:type="dxa"/>
            <w:noWrap/>
            <w:hideMark/>
          </w:tcPr>
          <w:p w14:paraId="2BD40E7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443" w:type="dxa"/>
            <w:noWrap/>
            <w:hideMark/>
          </w:tcPr>
          <w:p w14:paraId="013BB8A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6B26EAAD"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0,54</w:t>
            </w:r>
          </w:p>
        </w:tc>
      </w:tr>
      <w:tr w:rsidR="001D1CDF" w:rsidRPr="00DC6B06" w14:paraId="40CEB664"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0A82EE8" w14:textId="77777777" w:rsidR="001D1CDF" w:rsidRPr="00DC6B06" w:rsidRDefault="001D1CDF" w:rsidP="0085273A">
            <w:pPr>
              <w:widowControl/>
              <w:jc w:val="center"/>
              <w:rPr>
                <w:color w:val="000000"/>
              </w:rPr>
            </w:pPr>
            <w:r w:rsidRPr="00DC6B06">
              <w:rPr>
                <w:color w:val="000000"/>
              </w:rPr>
              <w:t>PAST</w:t>
            </w:r>
          </w:p>
        </w:tc>
        <w:tc>
          <w:tcPr>
            <w:tcW w:w="443" w:type="dxa"/>
            <w:noWrap/>
            <w:hideMark/>
          </w:tcPr>
          <w:p w14:paraId="3F1C5518"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lang w:val="pt-PT"/>
              </w:rPr>
              <w:t>0,00</w:t>
            </w:r>
          </w:p>
        </w:tc>
        <w:tc>
          <w:tcPr>
            <w:tcW w:w="569" w:type="dxa"/>
            <w:noWrap/>
            <w:hideMark/>
          </w:tcPr>
          <w:p w14:paraId="3CF95941"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3,33</w:t>
            </w:r>
          </w:p>
        </w:tc>
        <w:tc>
          <w:tcPr>
            <w:tcW w:w="629" w:type="dxa"/>
            <w:noWrap/>
            <w:hideMark/>
          </w:tcPr>
          <w:p w14:paraId="44E1DCCB"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5"/>
              </w:rPr>
              <w:t>5,54</w:t>
            </w:r>
          </w:p>
        </w:tc>
        <w:tc>
          <w:tcPr>
            <w:tcW w:w="815" w:type="dxa"/>
            <w:noWrap/>
            <w:hideMark/>
          </w:tcPr>
          <w:p w14:paraId="27E02AD8"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718,75</w:t>
            </w:r>
          </w:p>
        </w:tc>
        <w:tc>
          <w:tcPr>
            <w:tcW w:w="710" w:type="dxa"/>
            <w:noWrap/>
            <w:hideMark/>
          </w:tcPr>
          <w:p w14:paraId="5DD864C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49,65</w:t>
            </w:r>
          </w:p>
        </w:tc>
        <w:tc>
          <w:tcPr>
            <w:tcW w:w="722" w:type="dxa"/>
            <w:noWrap/>
            <w:hideMark/>
          </w:tcPr>
          <w:p w14:paraId="519FFF7D"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796,44</w:t>
            </w:r>
          </w:p>
        </w:tc>
        <w:tc>
          <w:tcPr>
            <w:tcW w:w="443" w:type="dxa"/>
            <w:noWrap/>
            <w:hideMark/>
          </w:tcPr>
          <w:p w14:paraId="0219314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0,69</w:t>
            </w:r>
          </w:p>
        </w:tc>
        <w:tc>
          <w:tcPr>
            <w:tcW w:w="815" w:type="dxa"/>
            <w:noWrap/>
            <w:hideMark/>
          </w:tcPr>
          <w:p w14:paraId="1B846CF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23420,08</w:t>
            </w:r>
          </w:p>
        </w:tc>
        <w:tc>
          <w:tcPr>
            <w:tcW w:w="629" w:type="dxa"/>
            <w:noWrap/>
            <w:hideMark/>
          </w:tcPr>
          <w:p w14:paraId="42547F4B"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12,87</w:t>
            </w:r>
          </w:p>
        </w:tc>
        <w:tc>
          <w:tcPr>
            <w:tcW w:w="443" w:type="dxa"/>
            <w:noWrap/>
            <w:hideMark/>
          </w:tcPr>
          <w:p w14:paraId="3EA448F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3F9135EE"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25007,25</w:t>
            </w:r>
          </w:p>
        </w:tc>
      </w:tr>
      <w:tr w:rsidR="001D1CDF" w:rsidRPr="00DC6B06" w14:paraId="7795ED83"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537E661" w14:textId="77777777" w:rsidR="001D1CDF" w:rsidRPr="00DC6B06" w:rsidRDefault="001D1CDF" w:rsidP="0085273A">
            <w:pPr>
              <w:widowControl/>
              <w:jc w:val="center"/>
              <w:rPr>
                <w:color w:val="000000"/>
              </w:rPr>
            </w:pPr>
            <w:r w:rsidRPr="00DC6B06">
              <w:rPr>
                <w:color w:val="000000"/>
              </w:rPr>
              <w:t>RLO</w:t>
            </w:r>
          </w:p>
        </w:tc>
        <w:tc>
          <w:tcPr>
            <w:tcW w:w="443" w:type="dxa"/>
            <w:noWrap/>
            <w:hideMark/>
          </w:tcPr>
          <w:p w14:paraId="5C8DFF16"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lang w:val="pt-PT"/>
              </w:rPr>
              <w:t>0,00</w:t>
            </w:r>
          </w:p>
        </w:tc>
        <w:tc>
          <w:tcPr>
            <w:tcW w:w="569" w:type="dxa"/>
            <w:noWrap/>
            <w:hideMark/>
          </w:tcPr>
          <w:p w14:paraId="4E7FE5C1"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0,63</w:t>
            </w:r>
          </w:p>
        </w:tc>
        <w:tc>
          <w:tcPr>
            <w:tcW w:w="629" w:type="dxa"/>
            <w:noWrap/>
            <w:hideMark/>
          </w:tcPr>
          <w:p w14:paraId="1B9DF32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lang w:val="pt-PT"/>
              </w:rPr>
              <w:t>1,01</w:t>
            </w:r>
          </w:p>
        </w:tc>
        <w:tc>
          <w:tcPr>
            <w:tcW w:w="815" w:type="dxa"/>
            <w:noWrap/>
            <w:hideMark/>
          </w:tcPr>
          <w:p w14:paraId="158526E9"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5,14</w:t>
            </w:r>
          </w:p>
        </w:tc>
        <w:tc>
          <w:tcPr>
            <w:tcW w:w="710" w:type="dxa"/>
            <w:noWrap/>
            <w:hideMark/>
          </w:tcPr>
          <w:p w14:paraId="30327E08"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0,09</w:t>
            </w:r>
          </w:p>
        </w:tc>
        <w:tc>
          <w:tcPr>
            <w:tcW w:w="722" w:type="dxa"/>
            <w:noWrap/>
            <w:hideMark/>
          </w:tcPr>
          <w:p w14:paraId="1C19B40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45,54</w:t>
            </w:r>
          </w:p>
        </w:tc>
        <w:tc>
          <w:tcPr>
            <w:tcW w:w="443" w:type="dxa"/>
            <w:noWrap/>
            <w:hideMark/>
          </w:tcPr>
          <w:p w14:paraId="211C3016"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0,00</w:t>
            </w:r>
          </w:p>
        </w:tc>
        <w:tc>
          <w:tcPr>
            <w:tcW w:w="815" w:type="dxa"/>
            <w:noWrap/>
            <w:hideMark/>
          </w:tcPr>
          <w:p w14:paraId="516D70AB"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0,25</w:t>
            </w:r>
          </w:p>
        </w:tc>
        <w:tc>
          <w:tcPr>
            <w:tcW w:w="629" w:type="dxa"/>
            <w:noWrap/>
            <w:hideMark/>
          </w:tcPr>
          <w:p w14:paraId="6E881E3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651,29</w:t>
            </w:r>
          </w:p>
        </w:tc>
        <w:tc>
          <w:tcPr>
            <w:tcW w:w="443" w:type="dxa"/>
            <w:noWrap/>
            <w:hideMark/>
          </w:tcPr>
          <w:p w14:paraId="76FB485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0,54</w:t>
            </w:r>
          </w:p>
        </w:tc>
        <w:tc>
          <w:tcPr>
            <w:tcW w:w="815" w:type="dxa"/>
            <w:noWrap/>
            <w:hideMark/>
          </w:tcPr>
          <w:p w14:paraId="21132C44"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704,49</w:t>
            </w:r>
          </w:p>
        </w:tc>
      </w:tr>
      <w:tr w:rsidR="001D1CDF" w:rsidRPr="00DC6B06" w14:paraId="7BE2216F" w14:textId="77777777" w:rsidTr="0085273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DC5BF5D" w14:textId="77777777" w:rsidR="001D1CDF" w:rsidRPr="00DC6B06" w:rsidRDefault="001D1CDF" w:rsidP="0085273A">
            <w:pPr>
              <w:widowControl/>
              <w:jc w:val="center"/>
              <w:rPr>
                <w:color w:val="000000"/>
              </w:rPr>
            </w:pPr>
            <w:r w:rsidRPr="00DC6B06">
              <w:rPr>
                <w:color w:val="000000"/>
              </w:rPr>
              <w:t>SOJ</w:t>
            </w:r>
          </w:p>
        </w:tc>
        <w:tc>
          <w:tcPr>
            <w:tcW w:w="443" w:type="dxa"/>
            <w:noWrap/>
            <w:hideMark/>
          </w:tcPr>
          <w:p w14:paraId="364B2788"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lang w:val="pt-PT"/>
              </w:rPr>
              <w:t>0,00</w:t>
            </w:r>
          </w:p>
        </w:tc>
        <w:tc>
          <w:tcPr>
            <w:tcW w:w="569" w:type="dxa"/>
            <w:noWrap/>
            <w:hideMark/>
          </w:tcPr>
          <w:p w14:paraId="7C385096"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629" w:type="dxa"/>
            <w:noWrap/>
            <w:hideMark/>
          </w:tcPr>
          <w:p w14:paraId="177895F0"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5"/>
              </w:rPr>
              <w:t>0,00</w:t>
            </w:r>
          </w:p>
        </w:tc>
        <w:tc>
          <w:tcPr>
            <w:tcW w:w="815" w:type="dxa"/>
            <w:noWrap/>
            <w:hideMark/>
          </w:tcPr>
          <w:p w14:paraId="081CCD04"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0,00</w:t>
            </w:r>
          </w:p>
        </w:tc>
        <w:tc>
          <w:tcPr>
            <w:tcW w:w="710" w:type="dxa"/>
            <w:noWrap/>
            <w:hideMark/>
          </w:tcPr>
          <w:p w14:paraId="53F1C81A"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0,00</w:t>
            </w:r>
          </w:p>
        </w:tc>
        <w:tc>
          <w:tcPr>
            <w:tcW w:w="722" w:type="dxa"/>
            <w:noWrap/>
            <w:hideMark/>
          </w:tcPr>
          <w:p w14:paraId="7D966961"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10"/>
              </w:rPr>
              <w:t>0,00</w:t>
            </w:r>
          </w:p>
        </w:tc>
        <w:tc>
          <w:tcPr>
            <w:tcW w:w="443" w:type="dxa"/>
            <w:noWrap/>
            <w:hideMark/>
          </w:tcPr>
          <w:p w14:paraId="0E55A993"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spacing w:val="-5"/>
              </w:rPr>
              <w:t>0,00</w:t>
            </w:r>
          </w:p>
        </w:tc>
        <w:tc>
          <w:tcPr>
            <w:tcW w:w="815" w:type="dxa"/>
            <w:noWrap/>
            <w:hideMark/>
          </w:tcPr>
          <w:p w14:paraId="07571F48"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629" w:type="dxa"/>
            <w:noWrap/>
            <w:hideMark/>
          </w:tcPr>
          <w:p w14:paraId="3457CD72"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443" w:type="dxa"/>
            <w:noWrap/>
            <w:hideMark/>
          </w:tcPr>
          <w:p w14:paraId="27716269"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c>
          <w:tcPr>
            <w:tcW w:w="815" w:type="dxa"/>
            <w:noWrap/>
            <w:hideMark/>
          </w:tcPr>
          <w:p w14:paraId="43D9215F" w14:textId="77777777" w:rsidR="001D1CDF" w:rsidRPr="00DC6B06" w:rsidRDefault="001D1CDF" w:rsidP="0085273A">
            <w:pPr>
              <w:widowControl/>
              <w:jc w:val="center"/>
              <w:cnfStyle w:val="000000100000" w:firstRow="0" w:lastRow="0" w:firstColumn="0" w:lastColumn="0" w:oddVBand="0" w:evenVBand="0" w:oddHBand="1" w:evenHBand="0" w:firstRowFirstColumn="0" w:firstRowLastColumn="0" w:lastRowFirstColumn="0" w:lastRowLastColumn="0"/>
              <w:rPr>
                <w:color w:val="000000"/>
              </w:rPr>
            </w:pPr>
            <w:r w:rsidRPr="00DC6B06">
              <w:rPr>
                <w:color w:val="000000"/>
              </w:rPr>
              <w:t>0,00</w:t>
            </w:r>
          </w:p>
        </w:tc>
      </w:tr>
      <w:tr w:rsidR="001D1CDF" w:rsidRPr="00DC6B06" w14:paraId="3B0964B3" w14:textId="77777777" w:rsidTr="0085273A">
        <w:trPr>
          <w:trHeight w:val="288"/>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D299D0E" w14:textId="77777777" w:rsidR="001D1CDF" w:rsidRPr="00DC6B06" w:rsidRDefault="001D1CDF" w:rsidP="0085273A">
            <w:pPr>
              <w:widowControl/>
              <w:jc w:val="center"/>
              <w:rPr>
                <w:color w:val="000000"/>
              </w:rPr>
            </w:pPr>
            <w:r w:rsidRPr="00DC6B06">
              <w:rPr>
                <w:color w:val="000000"/>
              </w:rPr>
              <w:t>Total</w:t>
            </w:r>
          </w:p>
        </w:tc>
        <w:tc>
          <w:tcPr>
            <w:tcW w:w="443" w:type="dxa"/>
            <w:noWrap/>
            <w:hideMark/>
          </w:tcPr>
          <w:p w14:paraId="307AF42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lang w:val="pt-PT"/>
              </w:rPr>
              <w:t>0,00</w:t>
            </w:r>
          </w:p>
        </w:tc>
        <w:tc>
          <w:tcPr>
            <w:tcW w:w="569" w:type="dxa"/>
            <w:noWrap/>
            <w:hideMark/>
          </w:tcPr>
          <w:p w14:paraId="77F4923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9,54</w:t>
            </w:r>
          </w:p>
        </w:tc>
        <w:tc>
          <w:tcPr>
            <w:tcW w:w="629" w:type="dxa"/>
            <w:noWrap/>
            <w:hideMark/>
          </w:tcPr>
          <w:p w14:paraId="7C9A4E53"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lang w:val="pt-PT"/>
              </w:rPr>
              <w:t>454,31</w:t>
            </w:r>
          </w:p>
        </w:tc>
        <w:tc>
          <w:tcPr>
            <w:tcW w:w="815" w:type="dxa"/>
            <w:noWrap/>
            <w:hideMark/>
          </w:tcPr>
          <w:p w14:paraId="46BBBA3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4"/>
              </w:rPr>
              <w:t>11085,08</w:t>
            </w:r>
          </w:p>
        </w:tc>
        <w:tc>
          <w:tcPr>
            <w:tcW w:w="710" w:type="dxa"/>
            <w:noWrap/>
            <w:hideMark/>
          </w:tcPr>
          <w:p w14:paraId="2AE3B7C2"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spacing w:val="-2"/>
                <w:position w:val="-10"/>
              </w:rPr>
              <w:t>1937,44</w:t>
            </w:r>
          </w:p>
        </w:tc>
        <w:tc>
          <w:tcPr>
            <w:tcW w:w="722" w:type="dxa"/>
            <w:noWrap/>
            <w:hideMark/>
          </w:tcPr>
          <w:p w14:paraId="7D0D56E7"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1880,24</w:t>
            </w:r>
          </w:p>
        </w:tc>
        <w:tc>
          <w:tcPr>
            <w:tcW w:w="443" w:type="dxa"/>
            <w:noWrap/>
            <w:hideMark/>
          </w:tcPr>
          <w:p w14:paraId="03CBDC6D"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1,23</w:t>
            </w:r>
          </w:p>
        </w:tc>
        <w:tc>
          <w:tcPr>
            <w:tcW w:w="815" w:type="dxa"/>
            <w:noWrap/>
            <w:hideMark/>
          </w:tcPr>
          <w:p w14:paraId="3ED3E27E"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31765,49</w:t>
            </w:r>
          </w:p>
        </w:tc>
        <w:tc>
          <w:tcPr>
            <w:tcW w:w="629" w:type="dxa"/>
            <w:noWrap/>
            <w:hideMark/>
          </w:tcPr>
          <w:p w14:paraId="61A4CBA5"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695,58</w:t>
            </w:r>
          </w:p>
        </w:tc>
        <w:tc>
          <w:tcPr>
            <w:tcW w:w="443" w:type="dxa"/>
            <w:noWrap/>
            <w:hideMark/>
          </w:tcPr>
          <w:p w14:paraId="0A256AE9"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0,54</w:t>
            </w:r>
          </w:p>
        </w:tc>
        <w:tc>
          <w:tcPr>
            <w:tcW w:w="815" w:type="dxa"/>
            <w:noWrap/>
            <w:hideMark/>
          </w:tcPr>
          <w:p w14:paraId="58832AAF" w14:textId="77777777" w:rsidR="001D1CDF" w:rsidRPr="00DC6B06" w:rsidRDefault="001D1CDF" w:rsidP="0085273A">
            <w:pPr>
              <w:widowControl/>
              <w:jc w:val="center"/>
              <w:cnfStyle w:val="000000000000" w:firstRow="0" w:lastRow="0" w:firstColumn="0" w:lastColumn="0" w:oddVBand="0" w:evenVBand="0" w:oddHBand="0" w:evenHBand="0" w:firstRowFirstColumn="0" w:firstRowLastColumn="0" w:lastRowFirstColumn="0" w:lastRowLastColumn="0"/>
              <w:rPr>
                <w:color w:val="000000"/>
              </w:rPr>
            </w:pPr>
            <w:r w:rsidRPr="00DC6B06">
              <w:rPr>
                <w:color w:val="000000"/>
              </w:rPr>
              <w:t>47829,44</w:t>
            </w:r>
          </w:p>
        </w:tc>
      </w:tr>
    </w:tbl>
    <w:p w14:paraId="7268FACB" w14:textId="77777777" w:rsidR="001D1CDF" w:rsidRDefault="001D1CDF" w:rsidP="001D1CDF">
      <w:pPr>
        <w:pStyle w:val="TableParagraph"/>
        <w:spacing w:line="20" w:lineRule="exact"/>
        <w:ind w:left="178"/>
        <w:jc w:val="both"/>
        <w:rPr>
          <w:sz w:val="2"/>
        </w:rPr>
      </w:pPr>
      <w:r>
        <w:rPr>
          <w:noProof/>
          <w:sz w:val="2"/>
        </w:rPr>
        <mc:AlternateContent>
          <mc:Choice Requires="wpg">
            <w:drawing>
              <wp:inline distT="0" distB="0" distL="0" distR="0" wp14:anchorId="2EBF2F62" wp14:editId="77899AF0">
                <wp:extent cx="5572760" cy="6350"/>
                <wp:effectExtent l="9525" t="0" r="0" b="317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760" cy="6350"/>
                          <a:chOff x="0" y="0"/>
                          <a:chExt cx="5572760" cy="6350"/>
                        </a:xfrm>
                      </wpg:grpSpPr>
                      <wps:wsp>
                        <wps:cNvPr id="123" name="Graphic 123"/>
                        <wps:cNvSpPr/>
                        <wps:spPr>
                          <a:xfrm>
                            <a:off x="0" y="3175"/>
                            <a:ext cx="5572760" cy="1270"/>
                          </a:xfrm>
                          <a:custGeom>
                            <a:avLst/>
                            <a:gdLst/>
                            <a:ahLst/>
                            <a:cxnLst/>
                            <a:rect l="l" t="t" r="r" b="b"/>
                            <a:pathLst>
                              <a:path w="5572760">
                                <a:moveTo>
                                  <a:pt x="0" y="0"/>
                                </a:moveTo>
                                <a:lnTo>
                                  <a:pt x="5572759"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2B42338" id="Group 122" o:spid="_x0000_s1026" style="width:438.8pt;height:.5pt;mso-position-horizontal-relative:char;mso-position-vertical-relative:line" coordsize="557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">
                <v:shape id="Graphic 123" o:spid="_x0000_s1027" style="position:absolute;top:31;width:55727;height:13;visibility:visible;mso-wrap-style:square;v-text-anchor:top" coordsize="5572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" path="m,l5572759,e" filled="f" strokeweight=".5pt">
                  <v:path arrowok="t"/>
                </v:shape>
                <w10:anchorlock/>
              </v:group>
            </w:pict>
          </mc:Fallback>
        </mc:AlternateContent>
      </w:r>
    </w:p>
    <w:p w14:paraId="406A40CC" w14:textId="77777777" w:rsidR="001D1CDF" w:rsidRPr="00CD3A1E" w:rsidRDefault="001D1CDF" w:rsidP="001D1CDF">
      <w:pPr>
        <w:pStyle w:val="TableParagraph"/>
        <w:ind w:left="110"/>
        <w:jc w:val="both"/>
      </w:pPr>
      <w:r w:rsidRPr="00BB2501">
        <w:t>AU:</w:t>
      </w:r>
      <w:r w:rsidRPr="00BB2501">
        <w:rPr>
          <w:spacing w:val="-4"/>
        </w:rPr>
        <w:t xml:space="preserve"> </w:t>
      </w:r>
      <w:r w:rsidRPr="00BB2501">
        <w:t>Área</w:t>
      </w:r>
      <w:r w:rsidRPr="00BB2501">
        <w:rPr>
          <w:spacing w:val="-4"/>
        </w:rPr>
        <w:t xml:space="preserve"> </w:t>
      </w:r>
      <w:r w:rsidRPr="00BB2501">
        <w:t>Urbanizada;</w:t>
      </w:r>
      <w:r w:rsidRPr="00BB2501">
        <w:rPr>
          <w:spacing w:val="-4"/>
        </w:rPr>
        <w:t xml:space="preserve"> </w:t>
      </w:r>
      <w:r w:rsidRPr="00BB2501">
        <w:t>CAAP:</w:t>
      </w:r>
      <w:r w:rsidRPr="00BB2501">
        <w:rPr>
          <w:spacing w:val="-4"/>
        </w:rPr>
        <w:t xml:space="preserve"> </w:t>
      </w:r>
      <w:r w:rsidRPr="00BB2501">
        <w:t>Campos</w:t>
      </w:r>
      <w:r w:rsidRPr="00BB2501">
        <w:rPr>
          <w:spacing w:val="-5"/>
        </w:rPr>
        <w:t xml:space="preserve"> </w:t>
      </w:r>
      <w:r w:rsidRPr="00BB2501">
        <w:t>Alagados</w:t>
      </w:r>
      <w:r w:rsidRPr="00BB2501">
        <w:rPr>
          <w:spacing w:val="-4"/>
        </w:rPr>
        <w:t xml:space="preserve"> </w:t>
      </w:r>
      <w:r w:rsidRPr="00BB2501">
        <w:t>e</w:t>
      </w:r>
      <w:r w:rsidRPr="00BB2501">
        <w:rPr>
          <w:spacing w:val="-3"/>
        </w:rPr>
        <w:t xml:space="preserve"> </w:t>
      </w:r>
      <w:r w:rsidRPr="00BB2501">
        <w:t>Área</w:t>
      </w:r>
      <w:r w:rsidRPr="00BB2501">
        <w:rPr>
          <w:spacing w:val="-4"/>
        </w:rPr>
        <w:t xml:space="preserve"> </w:t>
      </w:r>
      <w:r w:rsidRPr="00BB2501">
        <w:t>Pantanosa;</w:t>
      </w:r>
      <w:r w:rsidRPr="00BB2501">
        <w:rPr>
          <w:spacing w:val="-5"/>
        </w:rPr>
        <w:t xml:space="preserve"> </w:t>
      </w:r>
      <w:r w:rsidRPr="00BB2501">
        <w:t>FC:</w:t>
      </w:r>
      <w:r w:rsidRPr="00BB2501">
        <w:rPr>
          <w:spacing w:val="-5"/>
        </w:rPr>
        <w:t xml:space="preserve"> </w:t>
      </w:r>
      <w:r w:rsidRPr="00BB2501">
        <w:t>Formação</w:t>
      </w:r>
      <w:r w:rsidRPr="00BB2501">
        <w:rPr>
          <w:spacing w:val="-4"/>
        </w:rPr>
        <w:t xml:space="preserve"> </w:t>
      </w:r>
      <w:r w:rsidRPr="00BB2501">
        <w:t>Campestre;</w:t>
      </w:r>
      <w:r w:rsidRPr="00BB2501">
        <w:rPr>
          <w:spacing w:val="-4"/>
        </w:rPr>
        <w:t xml:space="preserve"> </w:t>
      </w:r>
      <w:r w:rsidRPr="00BB2501">
        <w:t>FF:</w:t>
      </w:r>
      <w:r w:rsidRPr="00BB2501">
        <w:rPr>
          <w:spacing w:val="-4"/>
        </w:rPr>
        <w:t xml:space="preserve"> </w:t>
      </w:r>
      <w:r w:rsidRPr="00BB2501">
        <w:t>Formação florestal; FS: Formação Savânica; MIN: Mineração; OLT: Outras Lavouras Temporárias; PAST: Pastagem; RLO: Rio, Lago e Oceano; SOJ: Soja</w:t>
      </w:r>
    </w:p>
    <w:p w14:paraId="49FCDCFF" w14:textId="7509EF4E" w:rsidR="001D1CDF" w:rsidRDefault="001D1CDF" w:rsidP="001D1CDF">
      <w:pPr>
        <w:pStyle w:val="TableParagraph"/>
        <w:jc w:val="both"/>
        <w:rPr>
          <w:szCs w:val="24"/>
        </w:rPr>
      </w:pPr>
      <w:r w:rsidRPr="00CD3A1E">
        <w:rPr>
          <w:b/>
          <w:bCs/>
          <w:szCs w:val="24"/>
        </w:rPr>
        <w:t xml:space="preserve">Fonte: </w:t>
      </w:r>
      <w:r w:rsidRPr="00302E42">
        <w:rPr>
          <w:szCs w:val="24"/>
        </w:rPr>
        <w:t>Lima et al</w:t>
      </w:r>
      <w:r>
        <w:rPr>
          <w:szCs w:val="24"/>
        </w:rPr>
        <w:t>.</w:t>
      </w:r>
      <w:r w:rsidRPr="00302E42">
        <w:rPr>
          <w:szCs w:val="24"/>
        </w:rPr>
        <w:t>,</w:t>
      </w:r>
      <w:r>
        <w:rPr>
          <w:szCs w:val="24"/>
        </w:rPr>
        <w:t xml:space="preserve"> </w:t>
      </w:r>
      <w:r w:rsidRPr="00302E42">
        <w:rPr>
          <w:szCs w:val="24"/>
        </w:rPr>
        <w:t>2024.</w:t>
      </w:r>
    </w:p>
    <w:p w14:paraId="769FE4FB" w14:textId="77777777" w:rsidR="0085273A" w:rsidRPr="001D1CDF" w:rsidRDefault="0085273A" w:rsidP="001D1CDF">
      <w:pPr>
        <w:pStyle w:val="TableParagraph"/>
        <w:jc w:val="both"/>
        <w:rPr>
          <w:szCs w:val="24"/>
        </w:rPr>
      </w:pPr>
    </w:p>
    <w:p w14:paraId="36E22567" w14:textId="77777777" w:rsid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A </w:t>
      </w:r>
      <w:r w:rsidRPr="0085273A">
        <w:rPr>
          <w:bCs/>
          <w:sz w:val="24"/>
          <w:szCs w:val="24"/>
        </w:rPr>
        <w:t>Figura 2</w:t>
      </w:r>
      <w:r>
        <w:rPr>
          <w:bCs/>
          <w:sz w:val="24"/>
          <w:szCs w:val="24"/>
        </w:rPr>
        <w:t xml:space="preserve">, </w:t>
      </w:r>
      <w:r w:rsidRPr="001D1CDF">
        <w:rPr>
          <w:bCs/>
          <w:sz w:val="24"/>
          <w:szCs w:val="24"/>
        </w:rPr>
        <w:t xml:space="preserve">referente ao ano final demonstra que a Formação Savânica (FS) também sofreu redução expressiva, destinando 1.600,25 ha à classe Pastagem (PAST) e 119,32 ha à classe Mineração (MIN). </w:t>
      </w:r>
    </w:p>
    <w:p w14:paraId="03189C00" w14:textId="20E7B50D" w:rsidR="001D1CDF" w:rsidRPr="001D1CDF" w:rsidRDefault="001D1CDF" w:rsidP="001D1CDF">
      <w:pPr>
        <w:widowControl/>
        <w:tabs>
          <w:tab w:val="left" w:pos="1290"/>
        </w:tabs>
        <w:spacing w:line="360" w:lineRule="auto"/>
        <w:ind w:firstLine="709"/>
        <w:jc w:val="both"/>
        <w:rPr>
          <w:bCs/>
          <w:sz w:val="24"/>
          <w:szCs w:val="24"/>
        </w:rPr>
      </w:pPr>
      <w:r>
        <w:rPr>
          <w:bCs/>
          <w:sz w:val="24"/>
          <w:szCs w:val="24"/>
        </w:rPr>
        <w:t>Ademais, segundo</w:t>
      </w:r>
      <w:r w:rsidRPr="001D1CDF">
        <w:rPr>
          <w:bCs/>
          <w:sz w:val="24"/>
          <w:szCs w:val="24"/>
        </w:rPr>
        <w:t xml:space="preserve"> Romero-Ruiz </w:t>
      </w:r>
      <w:r w:rsidRPr="0085273A">
        <w:rPr>
          <w:bCs/>
          <w:i/>
          <w:iCs/>
          <w:sz w:val="24"/>
          <w:szCs w:val="24"/>
        </w:rPr>
        <w:t>et al</w:t>
      </w:r>
      <w:r w:rsidRPr="001D1CDF">
        <w:rPr>
          <w:bCs/>
          <w:sz w:val="24"/>
          <w:szCs w:val="24"/>
        </w:rPr>
        <w:t xml:space="preserve">. (2012) indicam que formações savânicas na América do Sul têm sido amplamente substituídas por atividades pecuárias, resultando em perda de diversidade estrutural e simplificação da paisagem. Essa tendência é claramente perceptível no cenário local, em que a FS apresenta dinâmica compatível com a observada por </w:t>
      </w:r>
      <w:r w:rsidRPr="001D1CDF">
        <w:rPr>
          <w:bCs/>
          <w:sz w:val="24"/>
          <w:szCs w:val="24"/>
        </w:rPr>
        <w:lastRenderedPageBreak/>
        <w:t>esses autores, indicando que características ambientais semelhantes respondem a pressões antrópicas de forma análoga.</w:t>
      </w:r>
    </w:p>
    <w:p w14:paraId="4D1257E3" w14:textId="47915868" w:rsid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A </w:t>
      </w:r>
      <w:r w:rsidR="0085273A">
        <w:rPr>
          <w:bCs/>
          <w:sz w:val="24"/>
          <w:szCs w:val="24"/>
        </w:rPr>
        <w:t>t</w:t>
      </w:r>
      <w:r w:rsidRPr="0085273A">
        <w:rPr>
          <w:bCs/>
          <w:sz w:val="24"/>
          <w:szCs w:val="24"/>
        </w:rPr>
        <w:t>abela 2</w:t>
      </w:r>
      <w:r>
        <w:rPr>
          <w:bCs/>
          <w:sz w:val="24"/>
          <w:szCs w:val="24"/>
        </w:rPr>
        <w:t xml:space="preserve">, </w:t>
      </w:r>
      <w:r w:rsidRPr="001D1CDF">
        <w:rPr>
          <w:bCs/>
          <w:sz w:val="24"/>
          <w:szCs w:val="24"/>
        </w:rPr>
        <w:t xml:space="preserve">evidencia que a classe MIN foi a que apresentou o maior ganho proporcional no período avaliado, triplicando seu tamanho e atingindo 1.880,24 ha em 2021. Silva, Oliveira e Morais (2017) descrevem que a expansão da economia mineral na Amazônia provoca profundas transformações territoriais, impactando diretamente áreas naturais e modificando padrões de uso do solo em múltiplas escalas. </w:t>
      </w:r>
    </w:p>
    <w:p w14:paraId="62255F19" w14:textId="71A3B2BA" w:rsidR="001D1CDF" w:rsidRPr="001D1CDF" w:rsidRDefault="001D1CDF" w:rsidP="001D1CDF">
      <w:pPr>
        <w:widowControl/>
        <w:tabs>
          <w:tab w:val="left" w:pos="1290"/>
        </w:tabs>
        <w:spacing w:line="360" w:lineRule="auto"/>
        <w:ind w:firstLine="709"/>
        <w:jc w:val="both"/>
        <w:rPr>
          <w:bCs/>
          <w:sz w:val="24"/>
          <w:szCs w:val="24"/>
        </w:rPr>
      </w:pPr>
      <w:r>
        <w:rPr>
          <w:bCs/>
          <w:sz w:val="24"/>
          <w:szCs w:val="24"/>
        </w:rPr>
        <w:t xml:space="preserve">Segundo </w:t>
      </w:r>
      <w:r w:rsidRPr="001D1CDF">
        <w:rPr>
          <w:bCs/>
          <w:sz w:val="24"/>
          <w:szCs w:val="24"/>
        </w:rPr>
        <w:t>Palheta (2020), ao analisar os conflitos pelo uso do território na chamada “Amazônia mineral”, ressalta que a intensificação da mineração frequentemente ocorre de forma sobreposta a áreas florestais e savânicas, reproduzindo um processo de reorganização espacial que pode ser reconhecido nos dados avaliados neste estudo. Assim, os fluxos de conversão para MIN indicados na Tabela refletem precisamente esse processo de expansão extrativa descrito na literatura.</w:t>
      </w:r>
    </w:p>
    <w:p w14:paraId="4EBE3DA4" w14:textId="08A60A6A" w:rsidR="001D1CDF" w:rsidRP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A dinâmica da mineração local também pode ser relacionada às observações de Oviedo e Senra (2023), que discutem a atuação de garimpos, inclusive em áreas protegidas, como fator relevante de degradação ambiental. A conversão de FF, FS e FC em MIN, identificada na Tabela, reforça a leitura de que atividades extrativas, formais ou informais, contribuem para a perda de cobertura nativa e ampliam a vulnerabilidade ecológica do território. A </w:t>
      </w:r>
      <w:r w:rsidR="0085273A">
        <w:rPr>
          <w:bCs/>
          <w:sz w:val="24"/>
          <w:szCs w:val="24"/>
        </w:rPr>
        <w:t>f</w:t>
      </w:r>
      <w:r w:rsidRPr="0085273A">
        <w:rPr>
          <w:bCs/>
          <w:sz w:val="24"/>
          <w:szCs w:val="24"/>
        </w:rPr>
        <w:t>igura</w:t>
      </w:r>
      <w:r w:rsidR="007718E2" w:rsidRPr="0085273A">
        <w:rPr>
          <w:bCs/>
          <w:sz w:val="24"/>
          <w:szCs w:val="24"/>
        </w:rPr>
        <w:t xml:space="preserve"> 2</w:t>
      </w:r>
      <w:r w:rsidR="007718E2">
        <w:rPr>
          <w:bCs/>
          <w:sz w:val="24"/>
          <w:szCs w:val="24"/>
        </w:rPr>
        <w:t>,</w:t>
      </w:r>
      <w:r w:rsidRPr="001D1CDF">
        <w:rPr>
          <w:bCs/>
          <w:sz w:val="24"/>
          <w:szCs w:val="24"/>
        </w:rPr>
        <w:t xml:space="preserve"> que delimita a área de exploração de estanho evidencia esse contexto espacial, demonstrando a presença da atividade minerária em zonas sensíveis.</w:t>
      </w:r>
    </w:p>
    <w:p w14:paraId="68CFCD43" w14:textId="53009C55" w:rsid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A persistência e a expansão da classe PAST constituem elementos centrais da dinâmica territorial observada. A </w:t>
      </w:r>
      <w:r w:rsidR="0085273A" w:rsidRPr="0085273A">
        <w:rPr>
          <w:bCs/>
          <w:sz w:val="24"/>
          <w:szCs w:val="24"/>
        </w:rPr>
        <w:t>t</w:t>
      </w:r>
      <w:r w:rsidRPr="0085273A">
        <w:rPr>
          <w:bCs/>
          <w:sz w:val="24"/>
          <w:szCs w:val="24"/>
        </w:rPr>
        <w:t xml:space="preserve">abela </w:t>
      </w:r>
      <w:r w:rsidR="00B80B0C" w:rsidRPr="0085273A">
        <w:rPr>
          <w:bCs/>
          <w:sz w:val="24"/>
          <w:szCs w:val="24"/>
        </w:rPr>
        <w:t xml:space="preserve">2 </w:t>
      </w:r>
      <w:r w:rsidRPr="001D1CDF">
        <w:rPr>
          <w:bCs/>
          <w:sz w:val="24"/>
          <w:szCs w:val="24"/>
        </w:rPr>
        <w:t xml:space="preserve">revela que 23.420,08 ha permaneceram classificados como pastagem ao longo da década, enquanto o ganho total levou a classe a alcançar 31.765,49 ha em 2021. Souza et al. (2020) argumentam que a expansão agropecuária é responsável por transformações estruturais nos biomas brasileiros, conduzindo à conversão de vegetação nativa em superfícies produtivas e reorganizando a configuração territorial. </w:t>
      </w:r>
    </w:p>
    <w:p w14:paraId="734F9B36" w14:textId="16AC3DE9" w:rsidR="001D1CDF" w:rsidRPr="001D1CDF" w:rsidRDefault="001D1CDF" w:rsidP="001D1CDF">
      <w:pPr>
        <w:widowControl/>
        <w:tabs>
          <w:tab w:val="left" w:pos="1290"/>
        </w:tabs>
        <w:spacing w:line="360" w:lineRule="auto"/>
        <w:ind w:firstLine="709"/>
        <w:jc w:val="both"/>
        <w:rPr>
          <w:bCs/>
          <w:sz w:val="24"/>
          <w:szCs w:val="24"/>
        </w:rPr>
      </w:pPr>
      <w:r w:rsidRPr="001D1CDF">
        <w:rPr>
          <w:bCs/>
          <w:sz w:val="24"/>
          <w:szCs w:val="24"/>
        </w:rPr>
        <w:t>Tal interpretação é pertinente ao caso estudado, visto que a pecuária exerce papel dominante na redistribuição espacial dos usos da terra. Essa leitura é reforçada por Vasconcelos et al. (2013), que identificam a pastagem como classe de elevada recorrência e permanência em diferentes regiões amazônicas analisadas por sensoriamento remoto.</w:t>
      </w:r>
    </w:p>
    <w:p w14:paraId="50025044" w14:textId="41A0A70D" w:rsidR="001D1CDF" w:rsidRP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A </w:t>
      </w:r>
      <w:r w:rsidR="0085273A">
        <w:rPr>
          <w:bCs/>
          <w:sz w:val="24"/>
          <w:szCs w:val="24"/>
        </w:rPr>
        <w:t>f</w:t>
      </w:r>
      <w:r w:rsidRPr="0085273A">
        <w:rPr>
          <w:bCs/>
          <w:sz w:val="24"/>
          <w:szCs w:val="24"/>
        </w:rPr>
        <w:t>igura 2</w:t>
      </w:r>
      <w:r w:rsidRPr="001D1CDF">
        <w:rPr>
          <w:bCs/>
          <w:sz w:val="24"/>
          <w:szCs w:val="24"/>
        </w:rPr>
        <w:t xml:space="preserve"> que retrata o recorte espacial da área minerária contribui para contextualizar a coexistência entre pecuária, mineração e ocupação humana. Mattos Neto (2019) descreve que </w:t>
      </w:r>
      <w:r w:rsidRPr="001D1CDF">
        <w:rPr>
          <w:bCs/>
          <w:sz w:val="24"/>
          <w:szCs w:val="24"/>
        </w:rPr>
        <w:lastRenderedPageBreak/>
        <w:t>regiões de fronteira extrativa costumam vivenciar intensificação de fluxos socioeconômicos, com implicações na configuração urbana e no uso do solo. Esse entendimento permite interpretar a pequena, porém notável, emergência da classe Área Urbanizada (AU) ao longo do período, resultante da reorganização territorial associada às atividades econômicas.</w:t>
      </w:r>
    </w:p>
    <w:p w14:paraId="03CE1F0B" w14:textId="5DAB9BCF" w:rsid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O </w:t>
      </w:r>
      <w:r w:rsidR="0085273A">
        <w:rPr>
          <w:b/>
          <w:sz w:val="24"/>
          <w:szCs w:val="24"/>
        </w:rPr>
        <w:t>g</w:t>
      </w:r>
      <w:r w:rsidRPr="001D1CDF">
        <w:rPr>
          <w:b/>
          <w:sz w:val="24"/>
          <w:szCs w:val="24"/>
        </w:rPr>
        <w:t xml:space="preserve">ráfico </w:t>
      </w:r>
      <w:r w:rsidRPr="007718E2">
        <w:rPr>
          <w:b/>
          <w:sz w:val="24"/>
          <w:szCs w:val="24"/>
        </w:rPr>
        <w:t>1</w:t>
      </w:r>
      <w:r>
        <w:rPr>
          <w:bCs/>
          <w:sz w:val="24"/>
          <w:szCs w:val="24"/>
        </w:rPr>
        <w:t xml:space="preserve"> </w:t>
      </w:r>
      <w:r w:rsidRPr="001D1CDF">
        <w:rPr>
          <w:bCs/>
          <w:sz w:val="24"/>
          <w:szCs w:val="24"/>
        </w:rPr>
        <w:t xml:space="preserve">sintetiza visualmente os fluxos de transição entre as classes, evidenciando a predominância de conversões originadas de FF, FS e FC em direção a PAST e MIN. Segundo </w:t>
      </w:r>
      <w:proofErr w:type="spellStart"/>
      <w:r w:rsidRPr="001D1CDF">
        <w:rPr>
          <w:bCs/>
          <w:sz w:val="24"/>
          <w:szCs w:val="24"/>
        </w:rPr>
        <w:t>Pontius</w:t>
      </w:r>
      <w:proofErr w:type="spellEnd"/>
      <w:r w:rsidRPr="001D1CDF">
        <w:rPr>
          <w:bCs/>
          <w:sz w:val="24"/>
          <w:szCs w:val="24"/>
        </w:rPr>
        <w:t xml:space="preserve">, </w:t>
      </w:r>
      <w:proofErr w:type="spellStart"/>
      <w:r w:rsidRPr="001D1CDF">
        <w:rPr>
          <w:bCs/>
          <w:sz w:val="24"/>
          <w:szCs w:val="24"/>
        </w:rPr>
        <w:t>Shusas</w:t>
      </w:r>
      <w:proofErr w:type="spellEnd"/>
      <w:r w:rsidRPr="001D1CDF">
        <w:rPr>
          <w:bCs/>
          <w:sz w:val="24"/>
          <w:szCs w:val="24"/>
        </w:rPr>
        <w:t xml:space="preserve"> e </w:t>
      </w:r>
      <w:proofErr w:type="spellStart"/>
      <w:r w:rsidRPr="001D1CDF">
        <w:rPr>
          <w:bCs/>
          <w:sz w:val="24"/>
          <w:szCs w:val="24"/>
        </w:rPr>
        <w:t>McEachern</w:t>
      </w:r>
      <w:proofErr w:type="spellEnd"/>
      <w:r w:rsidRPr="001D1CDF">
        <w:rPr>
          <w:bCs/>
          <w:sz w:val="24"/>
          <w:szCs w:val="24"/>
        </w:rPr>
        <w:t xml:space="preserve"> (2004), a análise de mudanças categóricas baseada em matrizes de transição permite identificar padrões estruturais de modificação do uso da terra, distinguindo classes que funcionam como fontes e destinos preferenciais de transformação. A leitura do </w:t>
      </w:r>
      <w:r w:rsidRPr="00B80B0C">
        <w:rPr>
          <w:b/>
          <w:sz w:val="24"/>
          <w:szCs w:val="24"/>
        </w:rPr>
        <w:t>Gráfico 1</w:t>
      </w:r>
      <w:r w:rsidRPr="001D1CDF">
        <w:rPr>
          <w:bCs/>
          <w:sz w:val="24"/>
          <w:szCs w:val="24"/>
        </w:rPr>
        <w:t xml:space="preserve">, em conjunto com a </w:t>
      </w:r>
      <w:r w:rsidRPr="00B80B0C">
        <w:rPr>
          <w:b/>
          <w:sz w:val="24"/>
          <w:szCs w:val="24"/>
        </w:rPr>
        <w:t>Tabela 2</w:t>
      </w:r>
      <w:r w:rsidRPr="001D1CDF">
        <w:rPr>
          <w:bCs/>
          <w:sz w:val="24"/>
          <w:szCs w:val="24"/>
        </w:rPr>
        <w:t>, confirma a coerência metodológica entre os resultados obtidos e a abordagem proposta pelos autores.</w:t>
      </w:r>
    </w:p>
    <w:p w14:paraId="6E9BC9EA" w14:textId="77777777" w:rsidR="007718E2" w:rsidRPr="00477436" w:rsidRDefault="007718E2" w:rsidP="007718E2">
      <w:pPr>
        <w:jc w:val="center"/>
        <w:rPr>
          <w:bCs/>
          <w:sz w:val="24"/>
          <w:szCs w:val="24"/>
        </w:rPr>
      </w:pPr>
      <w:r w:rsidRPr="00BB2501">
        <w:rPr>
          <w:b/>
        </w:rPr>
        <w:t xml:space="preserve">Gráfico </w:t>
      </w:r>
      <w:r>
        <w:rPr>
          <w:b/>
        </w:rPr>
        <w:t>1</w:t>
      </w:r>
      <w:r w:rsidRPr="00BB2501">
        <w:rPr>
          <w:b/>
        </w:rPr>
        <w:t xml:space="preserve"> – </w:t>
      </w:r>
      <w:r w:rsidRPr="00BC01F5">
        <w:rPr>
          <w:bCs/>
        </w:rPr>
        <w:t>Diagrama de Sankey anos 2011-2021.</w:t>
      </w:r>
    </w:p>
    <w:p w14:paraId="699E0D5E" w14:textId="77777777" w:rsidR="007718E2" w:rsidRPr="00E43158" w:rsidRDefault="007718E2" w:rsidP="007718E2">
      <w:pPr>
        <w:widowControl/>
        <w:tabs>
          <w:tab w:val="left" w:pos="1290"/>
        </w:tabs>
        <w:spacing w:after="160" w:line="259" w:lineRule="auto"/>
        <w:jc w:val="both"/>
        <w:rPr>
          <w:b/>
          <w:lang w:val="pt-PT"/>
        </w:rPr>
      </w:pPr>
      <w:r w:rsidRPr="00BB2501">
        <w:rPr>
          <w:b/>
          <w:noProof/>
          <w:lang w:val="pt-PT"/>
        </w:rPr>
        <w:drawing>
          <wp:inline distT="0" distB="0" distL="0" distR="0" wp14:anchorId="4531EC0B" wp14:editId="27394C9F">
            <wp:extent cx="5248275" cy="2762250"/>
            <wp:effectExtent l="0" t="0" r="9525" b="0"/>
            <wp:docPr id="955959178"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2762250"/>
                    </a:xfrm>
                    <a:prstGeom prst="rect">
                      <a:avLst/>
                    </a:prstGeom>
                    <a:noFill/>
                    <a:ln>
                      <a:noFill/>
                    </a:ln>
                  </pic:spPr>
                </pic:pic>
              </a:graphicData>
            </a:graphic>
          </wp:inline>
        </w:drawing>
      </w:r>
    </w:p>
    <w:p w14:paraId="7AFD9DCD" w14:textId="1B854891" w:rsidR="007718E2" w:rsidRPr="001D1CDF" w:rsidRDefault="0085273A" w:rsidP="007718E2">
      <w:pPr>
        <w:widowControl/>
        <w:tabs>
          <w:tab w:val="left" w:pos="1290"/>
        </w:tabs>
        <w:spacing w:after="160" w:line="259" w:lineRule="auto"/>
        <w:jc w:val="both"/>
        <w:rPr>
          <w:bCs/>
          <w:lang w:val="pt-PT"/>
        </w:rPr>
      </w:pPr>
      <w:r>
        <w:rPr>
          <w:b/>
          <w:lang w:val="pt-PT"/>
        </w:rPr>
        <w:tab/>
      </w:r>
      <w:r w:rsidR="007718E2" w:rsidRPr="00BB2501">
        <w:rPr>
          <w:b/>
          <w:lang w:val="pt-PT"/>
        </w:rPr>
        <w:t xml:space="preserve">Fonte: </w:t>
      </w:r>
      <w:r w:rsidR="007718E2" w:rsidRPr="008E5D6B">
        <w:rPr>
          <w:bCs/>
          <w:lang w:val="pt-PT"/>
        </w:rPr>
        <w:t>LIMA et al.</w:t>
      </w:r>
      <w:r w:rsidR="007718E2">
        <w:rPr>
          <w:bCs/>
          <w:lang w:val="pt-PT"/>
        </w:rPr>
        <w:t xml:space="preserve">, </w:t>
      </w:r>
      <w:r w:rsidR="007718E2" w:rsidRPr="008E5D6B">
        <w:rPr>
          <w:bCs/>
          <w:lang w:val="pt-PT"/>
        </w:rPr>
        <w:t>2024.</w:t>
      </w:r>
    </w:p>
    <w:p w14:paraId="15899069" w14:textId="77777777" w:rsidR="001D1CDF" w:rsidRPr="001D1CDF" w:rsidRDefault="001D1CDF" w:rsidP="001D1CDF">
      <w:pPr>
        <w:widowControl/>
        <w:tabs>
          <w:tab w:val="left" w:pos="1290"/>
        </w:tabs>
        <w:spacing w:line="360" w:lineRule="auto"/>
        <w:ind w:firstLine="709"/>
        <w:jc w:val="both"/>
        <w:rPr>
          <w:bCs/>
          <w:sz w:val="24"/>
          <w:szCs w:val="24"/>
        </w:rPr>
      </w:pPr>
      <w:r w:rsidRPr="001D1CDF">
        <w:rPr>
          <w:bCs/>
          <w:sz w:val="24"/>
          <w:szCs w:val="24"/>
        </w:rPr>
        <w:t xml:space="preserve">Por fim, a literatura também destaca o papel estratégico das geotecnologias para monitorar a dinâmica do uso da terra na Amazônia. Silva (2022) e Vasconcelos </w:t>
      </w:r>
      <w:r w:rsidRPr="0085273A">
        <w:rPr>
          <w:bCs/>
          <w:i/>
          <w:iCs/>
          <w:sz w:val="24"/>
          <w:szCs w:val="24"/>
        </w:rPr>
        <w:t>et al</w:t>
      </w:r>
      <w:r w:rsidRPr="001D1CDF">
        <w:rPr>
          <w:bCs/>
          <w:sz w:val="24"/>
          <w:szCs w:val="24"/>
        </w:rPr>
        <w:t>. (2013) ressaltam que imagens orbitais, integradas a sistemas de informação geográfica, são essenciais para detectar mudanças espaço-temporais, identificar vetores antrópicos e subsidiar políticas públicas. O presente estudo exemplifica essa capacidade ao integrar mapas temáticos, matriz de transição e representação gráfica dos fluxos, permitindo compreender de maneira detalhada a evolução do território na área analisada.</w:t>
      </w:r>
    </w:p>
    <w:p w14:paraId="13BD748C" w14:textId="27205DE7" w:rsidR="00BA363F" w:rsidRPr="002F763D" w:rsidRDefault="00302E42" w:rsidP="002F763D">
      <w:pPr>
        <w:widowControl/>
        <w:tabs>
          <w:tab w:val="left" w:pos="1290"/>
        </w:tabs>
        <w:spacing w:line="360" w:lineRule="auto"/>
        <w:ind w:firstLine="709"/>
        <w:jc w:val="both"/>
        <w:rPr>
          <w:bCs/>
          <w:sz w:val="24"/>
          <w:szCs w:val="24"/>
        </w:rPr>
      </w:pPr>
      <w:r w:rsidRPr="00302E42">
        <w:rPr>
          <w:bCs/>
          <w:sz w:val="24"/>
          <w:szCs w:val="24"/>
        </w:rPr>
        <w:lastRenderedPageBreak/>
        <w:t>De maneira geral, as mudanças observadas no período são consistentes com estudos clássicos sobre processos de degradação na Amazônia, como Fearnside (2006), que destaca o papel da expansão agropecuária e da mineração na fragmentação florestal. No conjunto, as figuras e matrizes apresentadas</w:t>
      </w:r>
      <w:r w:rsidR="00BC01F5">
        <w:rPr>
          <w:bCs/>
          <w:sz w:val="24"/>
          <w:szCs w:val="24"/>
        </w:rPr>
        <w:t>,</w:t>
      </w:r>
      <w:r w:rsidRPr="00302E42">
        <w:rPr>
          <w:bCs/>
          <w:sz w:val="24"/>
          <w:szCs w:val="24"/>
        </w:rPr>
        <w:t xml:space="preserve"> especialmente </w:t>
      </w:r>
      <w:r w:rsidRPr="0085273A">
        <w:rPr>
          <w:bCs/>
          <w:sz w:val="24"/>
          <w:szCs w:val="24"/>
        </w:rPr>
        <w:t xml:space="preserve">a </w:t>
      </w:r>
      <w:r w:rsidR="0085273A">
        <w:rPr>
          <w:bCs/>
          <w:sz w:val="24"/>
          <w:szCs w:val="24"/>
        </w:rPr>
        <w:t>f</w:t>
      </w:r>
      <w:r w:rsidRPr="0085273A">
        <w:rPr>
          <w:bCs/>
          <w:sz w:val="24"/>
          <w:szCs w:val="24"/>
        </w:rPr>
        <w:t xml:space="preserve">igura 2, o </w:t>
      </w:r>
      <w:r w:rsidR="0085273A">
        <w:rPr>
          <w:bCs/>
          <w:sz w:val="24"/>
          <w:szCs w:val="24"/>
        </w:rPr>
        <w:t>g</w:t>
      </w:r>
      <w:r w:rsidRPr="0085273A">
        <w:rPr>
          <w:bCs/>
          <w:sz w:val="24"/>
          <w:szCs w:val="24"/>
        </w:rPr>
        <w:t xml:space="preserve">ráfico 1 e a </w:t>
      </w:r>
      <w:r w:rsidR="0085273A">
        <w:rPr>
          <w:bCs/>
          <w:sz w:val="24"/>
          <w:szCs w:val="24"/>
        </w:rPr>
        <w:t>t</w:t>
      </w:r>
      <w:r w:rsidRPr="0085273A">
        <w:rPr>
          <w:bCs/>
          <w:sz w:val="24"/>
          <w:szCs w:val="24"/>
        </w:rPr>
        <w:t xml:space="preserve">abela </w:t>
      </w:r>
      <w:r w:rsidR="00BC01F5" w:rsidRPr="0085273A">
        <w:rPr>
          <w:bCs/>
          <w:sz w:val="24"/>
          <w:szCs w:val="24"/>
        </w:rPr>
        <w:t>2</w:t>
      </w:r>
      <w:r w:rsidRPr="00302E42">
        <w:rPr>
          <w:bCs/>
          <w:sz w:val="24"/>
          <w:szCs w:val="24"/>
        </w:rPr>
        <w:t xml:space="preserve"> confirmam que a década analisada foi marcada pela substituição acelerada das formações nativas e pela intensificação das atividades produtivas, reconfigurando profundamente a estrutura territorial da região.</w:t>
      </w:r>
    </w:p>
    <w:p w14:paraId="62206CCF" w14:textId="77777777" w:rsidR="00BA363F" w:rsidRPr="00FB6145" w:rsidRDefault="00BA363F" w:rsidP="00FB6145">
      <w:pPr>
        <w:pStyle w:val="TableParagraph"/>
        <w:jc w:val="both"/>
        <w:rPr>
          <w:szCs w:val="24"/>
        </w:rPr>
      </w:pPr>
    </w:p>
    <w:p w14:paraId="2BAB7C07" w14:textId="6CC1D8FB" w:rsidR="00BC01F5" w:rsidRPr="00BC01F5" w:rsidRDefault="00A82C68" w:rsidP="00A82C68">
      <w:pPr>
        <w:widowControl/>
        <w:tabs>
          <w:tab w:val="left" w:pos="1290"/>
        </w:tabs>
        <w:spacing w:after="160" w:line="259" w:lineRule="auto"/>
        <w:jc w:val="both"/>
        <w:rPr>
          <w:b/>
          <w:sz w:val="24"/>
          <w:szCs w:val="24"/>
        </w:rPr>
      </w:pPr>
      <w:r>
        <w:rPr>
          <w:b/>
          <w:sz w:val="24"/>
          <w:szCs w:val="24"/>
        </w:rPr>
        <w:t>4. CONSIDERAÇÕES FINAIS</w:t>
      </w:r>
    </w:p>
    <w:p w14:paraId="769EF744" w14:textId="7E360A4D" w:rsidR="00A82C68" w:rsidRDefault="00A82C68" w:rsidP="00A82C68">
      <w:pPr>
        <w:widowControl/>
        <w:tabs>
          <w:tab w:val="left" w:pos="699"/>
        </w:tabs>
        <w:spacing w:line="360" w:lineRule="auto"/>
        <w:ind w:firstLine="851"/>
        <w:jc w:val="both"/>
        <w:rPr>
          <w:bCs/>
          <w:sz w:val="24"/>
          <w:szCs w:val="24"/>
        </w:rPr>
      </w:pPr>
      <w:r w:rsidRPr="00A82C68">
        <w:rPr>
          <w:sz w:val="24"/>
          <w:szCs w:val="24"/>
        </w:rPr>
        <w:t>O município de São Félix do Xingu apresenta acelerada degradação ambiental, marcada pela forte conversão de vegetação nativa em áreas de pastagem e mineração. A Formação Florestal foi a classe mais impactada</w:t>
      </w:r>
      <w:r w:rsidR="00784D71">
        <w:rPr>
          <w:sz w:val="24"/>
          <w:szCs w:val="24"/>
        </w:rPr>
        <w:t xml:space="preserve"> durante o período de 2011 e</w:t>
      </w:r>
      <w:r w:rsidRPr="00A82C68">
        <w:rPr>
          <w:sz w:val="24"/>
          <w:szCs w:val="24"/>
        </w:rPr>
        <w:t xml:space="preserve"> 2021.</w:t>
      </w:r>
      <w:r>
        <w:rPr>
          <w:sz w:val="24"/>
          <w:szCs w:val="24"/>
        </w:rPr>
        <w:t xml:space="preserve"> </w:t>
      </w:r>
      <w:r w:rsidRPr="00A82C68">
        <w:rPr>
          <w:bCs/>
          <w:sz w:val="24"/>
          <w:szCs w:val="24"/>
        </w:rPr>
        <w:t>O avanço desordenado da pecuária, aliado ao crescimento do setor mineral</w:t>
      </w:r>
      <w:r w:rsidR="0085273A">
        <w:rPr>
          <w:bCs/>
          <w:sz w:val="24"/>
          <w:szCs w:val="24"/>
        </w:rPr>
        <w:t xml:space="preserve">, </w:t>
      </w:r>
      <w:r w:rsidRPr="00A82C68">
        <w:rPr>
          <w:bCs/>
          <w:sz w:val="24"/>
          <w:szCs w:val="24"/>
        </w:rPr>
        <w:t>inclusive em áreas protegidas reforça a necessidade urgente de estratégias de manejo sustentável e fiscalização ambiental. As geotecnologias se mostram essenciais para monitorar, quantificar e compreender essas mudanças, subsidiando ações de controle e políticas públicas mais eficazes na Amazônia.</w:t>
      </w:r>
    </w:p>
    <w:p w14:paraId="0D6E7EB0" w14:textId="77777777" w:rsidR="00DB332E" w:rsidRPr="00A82C68" w:rsidRDefault="00DB332E" w:rsidP="00A82C68">
      <w:pPr>
        <w:widowControl/>
        <w:tabs>
          <w:tab w:val="left" w:pos="699"/>
        </w:tabs>
        <w:spacing w:line="360" w:lineRule="auto"/>
        <w:ind w:firstLine="851"/>
        <w:jc w:val="both"/>
        <w:rPr>
          <w:sz w:val="24"/>
          <w:szCs w:val="24"/>
        </w:rPr>
      </w:pPr>
    </w:p>
    <w:p w14:paraId="2795260C" w14:textId="0815F6EF" w:rsidR="00FB6145" w:rsidRPr="00446186" w:rsidRDefault="00DB332E" w:rsidP="00446186">
      <w:pPr>
        <w:widowControl/>
        <w:tabs>
          <w:tab w:val="left" w:pos="1290"/>
        </w:tabs>
        <w:spacing w:after="160" w:line="259" w:lineRule="auto"/>
        <w:jc w:val="both"/>
        <w:rPr>
          <w:color w:val="FF0000"/>
          <w:sz w:val="24"/>
          <w:szCs w:val="24"/>
        </w:rPr>
      </w:pPr>
      <w:r>
        <w:rPr>
          <w:b/>
          <w:sz w:val="24"/>
          <w:szCs w:val="24"/>
        </w:rPr>
        <w:t xml:space="preserve">5. </w:t>
      </w:r>
      <w:r w:rsidR="00A82C68">
        <w:rPr>
          <w:b/>
          <w:sz w:val="24"/>
          <w:szCs w:val="24"/>
        </w:rPr>
        <w:t>REFERÊNCIAS</w:t>
      </w:r>
      <w:bookmarkStart w:id="2" w:name="_gjdgxs" w:colFirst="0" w:colLast="0"/>
      <w:bookmarkEnd w:id="2"/>
    </w:p>
    <w:p w14:paraId="3A689237" w14:textId="77777777" w:rsidR="00FB6145" w:rsidRDefault="00FB6145" w:rsidP="00302E42">
      <w:pPr>
        <w:rPr>
          <w:sz w:val="24"/>
          <w:szCs w:val="24"/>
        </w:rPr>
      </w:pPr>
      <w:r w:rsidRPr="00302E42">
        <w:rPr>
          <w:sz w:val="24"/>
          <w:szCs w:val="24"/>
        </w:rPr>
        <w:t xml:space="preserve">FEARNSIDE, P. M. Desmatamento na Amazônia: dinâmica, impactos e controle. </w:t>
      </w:r>
      <w:r w:rsidRPr="00302E42">
        <w:rPr>
          <w:b/>
          <w:bCs/>
          <w:sz w:val="24"/>
          <w:szCs w:val="24"/>
        </w:rPr>
        <w:t>Acta Amazonica</w:t>
      </w:r>
      <w:r w:rsidRPr="00302E42">
        <w:rPr>
          <w:sz w:val="24"/>
          <w:szCs w:val="24"/>
        </w:rPr>
        <w:t>, v. 36, n. 3, p. 395–400, 2006.</w:t>
      </w:r>
    </w:p>
    <w:p w14:paraId="5D426661" w14:textId="77777777" w:rsidR="00A07738" w:rsidRDefault="00A07738" w:rsidP="00302E42">
      <w:pPr>
        <w:rPr>
          <w:sz w:val="24"/>
          <w:szCs w:val="24"/>
        </w:rPr>
      </w:pPr>
    </w:p>
    <w:p w14:paraId="5D9D9881" w14:textId="40751696" w:rsidR="00A07738" w:rsidRDefault="00A07738" w:rsidP="00302E42">
      <w:pPr>
        <w:rPr>
          <w:sz w:val="24"/>
          <w:szCs w:val="24"/>
        </w:rPr>
      </w:pPr>
      <w:r w:rsidRPr="00A07738">
        <w:rPr>
          <w:sz w:val="24"/>
          <w:szCs w:val="24"/>
        </w:rPr>
        <w:t xml:space="preserve">IBGE – Instituto Brasileiro de Geografia e Estatística. </w:t>
      </w:r>
      <w:r w:rsidRPr="00A07738">
        <w:rPr>
          <w:b/>
          <w:bCs/>
          <w:sz w:val="24"/>
          <w:szCs w:val="24"/>
        </w:rPr>
        <w:t>Pesquisa da Pecuária Municipal 2024</w:t>
      </w:r>
      <w:r w:rsidRPr="00A07738">
        <w:rPr>
          <w:sz w:val="24"/>
          <w:szCs w:val="24"/>
        </w:rPr>
        <w:t>. Rebanho bovino: 2,52 milhões de cabeças em São Félix do Xingu (PA).</w:t>
      </w:r>
    </w:p>
    <w:p w14:paraId="251FD220" w14:textId="77777777" w:rsidR="00FB6145" w:rsidRDefault="00FB6145" w:rsidP="00302E42">
      <w:pPr>
        <w:rPr>
          <w:sz w:val="24"/>
          <w:szCs w:val="24"/>
        </w:rPr>
      </w:pPr>
    </w:p>
    <w:p w14:paraId="58BE23C4" w14:textId="77777777" w:rsidR="00FB6145" w:rsidRDefault="00FB6145" w:rsidP="00302E42">
      <w:pPr>
        <w:rPr>
          <w:sz w:val="24"/>
          <w:szCs w:val="24"/>
        </w:rPr>
      </w:pPr>
      <w:r>
        <w:rPr>
          <w:sz w:val="24"/>
          <w:szCs w:val="24"/>
        </w:rPr>
        <w:t>LIMA, J.G.S. et al</w:t>
      </w:r>
      <w:r w:rsidRPr="00CD3A1E">
        <w:rPr>
          <w:sz w:val="24"/>
          <w:szCs w:val="24"/>
        </w:rPr>
        <w:t>. O uso de geotecnologias na operacionalização do combate ao desmatamento e queimadas em áreas protegidas na Amazônia legal. Universidade Federal Rural da Amazônia, Belém, 2024. Relatório Técnico-Científico Final.</w:t>
      </w:r>
    </w:p>
    <w:p w14:paraId="603F6315" w14:textId="77777777" w:rsidR="00FB6145" w:rsidRDefault="00FB6145" w:rsidP="00302E42">
      <w:pPr>
        <w:rPr>
          <w:sz w:val="24"/>
          <w:szCs w:val="24"/>
        </w:rPr>
      </w:pPr>
    </w:p>
    <w:p w14:paraId="116F039A" w14:textId="77777777" w:rsidR="00FB6145" w:rsidRDefault="00FB6145" w:rsidP="00FB6145">
      <w:pPr>
        <w:rPr>
          <w:sz w:val="24"/>
          <w:szCs w:val="24"/>
        </w:rPr>
      </w:pPr>
      <w:r w:rsidRPr="00FB6145">
        <w:rPr>
          <w:sz w:val="24"/>
          <w:szCs w:val="24"/>
        </w:rPr>
        <w:t xml:space="preserve">MATTOS NETO, A. J. de. Movimentos sociais frente às grandes mineradoras no Pará. </w:t>
      </w:r>
      <w:r w:rsidRPr="00FB6145">
        <w:rPr>
          <w:b/>
          <w:bCs/>
          <w:sz w:val="24"/>
          <w:szCs w:val="24"/>
        </w:rPr>
        <w:t>Veredas do Direito</w:t>
      </w:r>
      <w:r w:rsidRPr="00FB6145">
        <w:rPr>
          <w:sz w:val="24"/>
          <w:szCs w:val="24"/>
        </w:rPr>
        <w:t xml:space="preserve">, Belo Horizonte, v. 16, n. 36, p. 109–136, 2019. </w:t>
      </w:r>
    </w:p>
    <w:p w14:paraId="0E2DA288" w14:textId="77777777" w:rsidR="00FB6145" w:rsidRPr="00FB6145" w:rsidRDefault="00FB6145" w:rsidP="00FB6145">
      <w:pPr>
        <w:rPr>
          <w:sz w:val="24"/>
          <w:szCs w:val="24"/>
        </w:rPr>
      </w:pPr>
    </w:p>
    <w:p w14:paraId="6AE9E5E9" w14:textId="77777777" w:rsidR="00FB6145" w:rsidRDefault="00FB6145" w:rsidP="00302E42">
      <w:pPr>
        <w:rPr>
          <w:sz w:val="24"/>
          <w:szCs w:val="24"/>
        </w:rPr>
      </w:pPr>
      <w:r w:rsidRPr="00302E42">
        <w:rPr>
          <w:sz w:val="24"/>
          <w:szCs w:val="24"/>
        </w:rPr>
        <w:t xml:space="preserve">OLIVEIRA, A. M. M.; PINTO, S. A. F. Análise da dinâmica do uso da terra: o estudo da bacia hidrográfica do Ribeirão São João – SP. </w:t>
      </w:r>
      <w:r w:rsidRPr="00302E42">
        <w:rPr>
          <w:b/>
          <w:bCs/>
          <w:sz w:val="24"/>
          <w:szCs w:val="24"/>
        </w:rPr>
        <w:t>UNESP</w:t>
      </w:r>
      <w:r w:rsidRPr="00302E42">
        <w:rPr>
          <w:sz w:val="24"/>
          <w:szCs w:val="24"/>
        </w:rPr>
        <w:t>, v. 28, n. 2, p. 197–224, 2008.</w:t>
      </w:r>
    </w:p>
    <w:p w14:paraId="10795BB0" w14:textId="77777777" w:rsidR="00FB6145" w:rsidRDefault="00FB6145" w:rsidP="00302E42">
      <w:pPr>
        <w:rPr>
          <w:sz w:val="24"/>
          <w:szCs w:val="24"/>
        </w:rPr>
      </w:pPr>
    </w:p>
    <w:p w14:paraId="2A2619FA" w14:textId="77777777" w:rsidR="00FB6145" w:rsidRDefault="00FB6145" w:rsidP="00302E42">
      <w:pPr>
        <w:rPr>
          <w:sz w:val="24"/>
          <w:szCs w:val="24"/>
        </w:rPr>
      </w:pPr>
      <w:r w:rsidRPr="00302E42">
        <w:rPr>
          <w:sz w:val="24"/>
          <w:szCs w:val="24"/>
        </w:rPr>
        <w:t xml:space="preserve">OVIEDO, A. F. P.; SENRA, E. B. Modificando a trajetória de degradação do garimpo em Terras Indígenas. </w:t>
      </w:r>
      <w:r w:rsidRPr="00302E42">
        <w:rPr>
          <w:b/>
          <w:bCs/>
          <w:sz w:val="24"/>
          <w:szCs w:val="24"/>
        </w:rPr>
        <w:t>Cadernos de Saúde Pública</w:t>
      </w:r>
      <w:r w:rsidRPr="00302E42">
        <w:rPr>
          <w:sz w:val="24"/>
          <w:szCs w:val="24"/>
        </w:rPr>
        <w:t>, v. 39, n. 11, p. 1–5, 2023.</w:t>
      </w:r>
    </w:p>
    <w:p w14:paraId="3518E5D5" w14:textId="77777777" w:rsidR="00FB6145" w:rsidRDefault="00FB6145" w:rsidP="00302E42">
      <w:pPr>
        <w:rPr>
          <w:sz w:val="24"/>
          <w:szCs w:val="24"/>
        </w:rPr>
      </w:pPr>
    </w:p>
    <w:p w14:paraId="12BF48E4" w14:textId="77777777" w:rsidR="00FB6145" w:rsidRDefault="00FB6145" w:rsidP="00FB6145">
      <w:pPr>
        <w:rPr>
          <w:sz w:val="24"/>
          <w:szCs w:val="24"/>
        </w:rPr>
      </w:pPr>
      <w:r w:rsidRPr="00FB6145">
        <w:rPr>
          <w:sz w:val="24"/>
          <w:szCs w:val="24"/>
        </w:rPr>
        <w:t xml:space="preserve">PALHETA, J. M. Conflitos pelo uso do território na Amazônia mineral. Mercator, Fortaleza, </w:t>
      </w:r>
      <w:r w:rsidRPr="00FB6145">
        <w:rPr>
          <w:sz w:val="24"/>
          <w:szCs w:val="24"/>
        </w:rPr>
        <w:lastRenderedPageBreak/>
        <w:t>v. 19, e19013, p. 1–15, 2020.</w:t>
      </w:r>
    </w:p>
    <w:p w14:paraId="092B76F0" w14:textId="77777777" w:rsidR="00FB6145" w:rsidRPr="00FB6145" w:rsidRDefault="00FB6145" w:rsidP="00FB6145">
      <w:pPr>
        <w:rPr>
          <w:sz w:val="24"/>
          <w:szCs w:val="24"/>
        </w:rPr>
      </w:pPr>
    </w:p>
    <w:p w14:paraId="4F5C07BA" w14:textId="1965966A" w:rsidR="00FB6145" w:rsidRPr="0085273A" w:rsidRDefault="00FB6145" w:rsidP="00FB6145">
      <w:pPr>
        <w:rPr>
          <w:color w:val="000000" w:themeColor="text1"/>
        </w:rPr>
      </w:pPr>
      <w:r w:rsidRPr="00FB6145">
        <w:rPr>
          <w:sz w:val="24"/>
          <w:szCs w:val="24"/>
        </w:rPr>
        <w:t xml:space="preserve">PLANAFLOR. Estudo 12 — Sistemas de controle e monitoramento do uso da terra no Brasil. Brasília: </w:t>
      </w:r>
      <w:proofErr w:type="spellStart"/>
      <w:r w:rsidRPr="00FB6145">
        <w:rPr>
          <w:sz w:val="24"/>
          <w:szCs w:val="24"/>
        </w:rPr>
        <w:t>ClimaInfo</w:t>
      </w:r>
      <w:proofErr w:type="spellEnd"/>
      <w:r w:rsidRPr="00FB6145">
        <w:rPr>
          <w:sz w:val="24"/>
          <w:szCs w:val="24"/>
        </w:rPr>
        <w:t xml:space="preserve">, 2023. Disponível em: </w:t>
      </w:r>
      <w:hyperlink r:id="rId13" w:history="1">
        <w:r w:rsidRPr="0085273A">
          <w:rPr>
            <w:rStyle w:val="Hyperlink"/>
            <w:color w:val="000000" w:themeColor="text1"/>
            <w:sz w:val="24"/>
            <w:szCs w:val="24"/>
            <w:u w:val="none"/>
          </w:rPr>
          <w:t>https://planaflor.org/wp-content/uploads/2023/06/Planaflor-estudo-12-sistemas-monitoramento-uso-terra-BR.pdf</w:t>
        </w:r>
      </w:hyperlink>
    </w:p>
    <w:p w14:paraId="31384C82" w14:textId="77777777" w:rsidR="007B1AFD" w:rsidRPr="0085273A" w:rsidRDefault="007B1AFD" w:rsidP="00FB6145">
      <w:pPr>
        <w:rPr>
          <w:color w:val="000000" w:themeColor="text1"/>
        </w:rPr>
      </w:pPr>
    </w:p>
    <w:p w14:paraId="288B8F94" w14:textId="549407A0" w:rsidR="007B1AFD" w:rsidRPr="0085273A" w:rsidRDefault="007B1AFD" w:rsidP="00FB6145">
      <w:pPr>
        <w:rPr>
          <w:color w:val="000000" w:themeColor="text1"/>
          <w:sz w:val="24"/>
          <w:szCs w:val="24"/>
          <w:lang w:val="en-US"/>
        </w:rPr>
      </w:pPr>
      <w:r w:rsidRPr="0085273A">
        <w:rPr>
          <w:color w:val="000000" w:themeColor="text1"/>
          <w:sz w:val="24"/>
          <w:lang w:val="en-US"/>
        </w:rPr>
        <w:t>PONTIUS,</w:t>
      </w:r>
      <w:r w:rsidRPr="0085273A">
        <w:rPr>
          <w:color w:val="000000" w:themeColor="text1"/>
          <w:spacing w:val="-5"/>
          <w:sz w:val="24"/>
          <w:lang w:val="en-US"/>
        </w:rPr>
        <w:t xml:space="preserve"> </w:t>
      </w:r>
      <w:r w:rsidRPr="0085273A">
        <w:rPr>
          <w:color w:val="000000" w:themeColor="text1"/>
          <w:sz w:val="24"/>
          <w:lang w:val="en-US"/>
        </w:rPr>
        <w:t>R.</w:t>
      </w:r>
      <w:r w:rsidRPr="0085273A">
        <w:rPr>
          <w:color w:val="000000" w:themeColor="text1"/>
          <w:spacing w:val="-5"/>
          <w:sz w:val="24"/>
          <w:lang w:val="en-US"/>
        </w:rPr>
        <w:t xml:space="preserve"> </w:t>
      </w:r>
      <w:r w:rsidRPr="0085273A">
        <w:rPr>
          <w:color w:val="000000" w:themeColor="text1"/>
          <w:sz w:val="24"/>
          <w:lang w:val="en-US"/>
        </w:rPr>
        <w:t>G.;</w:t>
      </w:r>
      <w:r w:rsidRPr="0085273A">
        <w:rPr>
          <w:color w:val="000000" w:themeColor="text1"/>
          <w:spacing w:val="-4"/>
          <w:sz w:val="24"/>
          <w:lang w:val="en-US"/>
        </w:rPr>
        <w:t xml:space="preserve"> </w:t>
      </w:r>
      <w:r w:rsidRPr="0085273A">
        <w:rPr>
          <w:color w:val="000000" w:themeColor="text1"/>
          <w:sz w:val="24"/>
          <w:lang w:val="en-US"/>
        </w:rPr>
        <w:t>SHUSAS,</w:t>
      </w:r>
      <w:r w:rsidRPr="0085273A">
        <w:rPr>
          <w:color w:val="000000" w:themeColor="text1"/>
          <w:spacing w:val="-5"/>
          <w:sz w:val="24"/>
          <w:lang w:val="en-US"/>
        </w:rPr>
        <w:t xml:space="preserve"> </w:t>
      </w:r>
      <w:r w:rsidRPr="0085273A">
        <w:rPr>
          <w:color w:val="000000" w:themeColor="text1"/>
          <w:sz w:val="24"/>
          <w:lang w:val="en-US"/>
        </w:rPr>
        <w:t>E.;</w:t>
      </w:r>
      <w:r w:rsidRPr="0085273A">
        <w:rPr>
          <w:color w:val="000000" w:themeColor="text1"/>
          <w:spacing w:val="-4"/>
          <w:sz w:val="24"/>
          <w:lang w:val="en-US"/>
        </w:rPr>
        <w:t xml:space="preserve"> </w:t>
      </w:r>
      <w:r w:rsidRPr="0085273A">
        <w:rPr>
          <w:color w:val="000000" w:themeColor="text1"/>
          <w:sz w:val="24"/>
          <w:lang w:val="en-US"/>
        </w:rPr>
        <w:t>MCEACHERN,</w:t>
      </w:r>
      <w:r w:rsidRPr="0085273A">
        <w:rPr>
          <w:color w:val="000000" w:themeColor="text1"/>
          <w:spacing w:val="-5"/>
          <w:sz w:val="24"/>
          <w:lang w:val="en-US"/>
        </w:rPr>
        <w:t xml:space="preserve"> </w:t>
      </w:r>
      <w:r w:rsidRPr="0085273A">
        <w:rPr>
          <w:color w:val="000000" w:themeColor="text1"/>
          <w:sz w:val="24"/>
          <w:lang w:val="en-US"/>
        </w:rPr>
        <w:t>M.</w:t>
      </w:r>
      <w:r w:rsidRPr="0085273A">
        <w:rPr>
          <w:color w:val="000000" w:themeColor="text1"/>
          <w:spacing w:val="-5"/>
          <w:sz w:val="24"/>
          <w:lang w:val="en-US"/>
        </w:rPr>
        <w:t xml:space="preserve"> </w:t>
      </w:r>
      <w:r w:rsidRPr="0085273A">
        <w:rPr>
          <w:color w:val="000000" w:themeColor="text1"/>
          <w:sz w:val="24"/>
          <w:lang w:val="en-US"/>
        </w:rPr>
        <w:t>Detecting</w:t>
      </w:r>
      <w:r w:rsidRPr="0085273A">
        <w:rPr>
          <w:color w:val="000000" w:themeColor="text1"/>
          <w:spacing w:val="-5"/>
          <w:sz w:val="24"/>
          <w:lang w:val="en-US"/>
        </w:rPr>
        <w:t xml:space="preserve"> </w:t>
      </w:r>
      <w:r w:rsidRPr="0085273A">
        <w:rPr>
          <w:color w:val="000000" w:themeColor="text1"/>
          <w:sz w:val="24"/>
          <w:lang w:val="en-US"/>
        </w:rPr>
        <w:t>important</w:t>
      </w:r>
      <w:r w:rsidRPr="0085273A">
        <w:rPr>
          <w:color w:val="000000" w:themeColor="text1"/>
          <w:spacing w:val="-4"/>
          <w:sz w:val="24"/>
          <w:lang w:val="en-US"/>
        </w:rPr>
        <w:t xml:space="preserve"> </w:t>
      </w:r>
      <w:r w:rsidRPr="0085273A">
        <w:rPr>
          <w:color w:val="000000" w:themeColor="text1"/>
          <w:sz w:val="24"/>
          <w:lang w:val="en-US"/>
        </w:rPr>
        <w:t>categorical</w:t>
      </w:r>
      <w:r w:rsidRPr="0085273A">
        <w:rPr>
          <w:color w:val="000000" w:themeColor="text1"/>
          <w:spacing w:val="-4"/>
          <w:sz w:val="24"/>
          <w:lang w:val="en-US"/>
        </w:rPr>
        <w:t xml:space="preserve"> </w:t>
      </w:r>
      <w:r w:rsidRPr="0085273A">
        <w:rPr>
          <w:color w:val="000000" w:themeColor="text1"/>
          <w:sz w:val="24"/>
          <w:lang w:val="en-US"/>
        </w:rPr>
        <w:t xml:space="preserve">land changes while accounting for persistence. </w:t>
      </w:r>
      <w:r w:rsidRPr="0085273A">
        <w:rPr>
          <w:b/>
          <w:color w:val="000000" w:themeColor="text1"/>
          <w:sz w:val="24"/>
          <w:lang w:val="en-US"/>
        </w:rPr>
        <w:t>Agriculture, Ecosystems &amp; Environment</w:t>
      </w:r>
      <w:r w:rsidRPr="0085273A">
        <w:rPr>
          <w:color w:val="000000" w:themeColor="text1"/>
          <w:sz w:val="24"/>
          <w:lang w:val="en-US"/>
        </w:rPr>
        <w:t xml:space="preserve">, v. 101, n. 2–3, p. 251–268, </w:t>
      </w:r>
      <w:proofErr w:type="spellStart"/>
      <w:r w:rsidRPr="0085273A">
        <w:rPr>
          <w:color w:val="000000" w:themeColor="text1"/>
          <w:sz w:val="24"/>
          <w:lang w:val="en-US"/>
        </w:rPr>
        <w:t>fev</w:t>
      </w:r>
      <w:proofErr w:type="spellEnd"/>
      <w:r w:rsidRPr="0085273A">
        <w:rPr>
          <w:color w:val="000000" w:themeColor="text1"/>
          <w:sz w:val="24"/>
          <w:lang w:val="en-US"/>
        </w:rPr>
        <w:t>. 2004.</w:t>
      </w:r>
    </w:p>
    <w:p w14:paraId="084233F3" w14:textId="77777777" w:rsidR="00FB6145" w:rsidRPr="0085273A" w:rsidRDefault="00FB6145" w:rsidP="00FB6145">
      <w:pPr>
        <w:rPr>
          <w:color w:val="000000" w:themeColor="text1"/>
          <w:sz w:val="24"/>
          <w:szCs w:val="24"/>
          <w:lang w:val="en-US"/>
        </w:rPr>
      </w:pPr>
    </w:p>
    <w:p w14:paraId="18A14D8E" w14:textId="77777777" w:rsidR="00FB6145" w:rsidRPr="0085273A" w:rsidRDefault="00FB6145" w:rsidP="00302E42">
      <w:pPr>
        <w:rPr>
          <w:color w:val="000000" w:themeColor="text1"/>
          <w:sz w:val="24"/>
          <w:szCs w:val="24"/>
        </w:rPr>
      </w:pPr>
      <w:r w:rsidRPr="0085273A">
        <w:rPr>
          <w:color w:val="000000" w:themeColor="text1"/>
          <w:sz w:val="24"/>
          <w:szCs w:val="24"/>
          <w:lang w:val="en-US"/>
        </w:rPr>
        <w:t xml:space="preserve">ROMERO-RUIZ, M. H. et al. Landscape transformations in savannas of northern South America: land use/cover changes since 1987 in the Llanos </w:t>
      </w:r>
      <w:proofErr w:type="spellStart"/>
      <w:r w:rsidRPr="0085273A">
        <w:rPr>
          <w:color w:val="000000" w:themeColor="text1"/>
          <w:sz w:val="24"/>
          <w:szCs w:val="24"/>
          <w:lang w:val="en-US"/>
        </w:rPr>
        <w:t>Orientales</w:t>
      </w:r>
      <w:proofErr w:type="spellEnd"/>
      <w:r w:rsidRPr="0085273A">
        <w:rPr>
          <w:color w:val="000000" w:themeColor="text1"/>
          <w:sz w:val="24"/>
          <w:szCs w:val="24"/>
          <w:lang w:val="en-US"/>
        </w:rPr>
        <w:t xml:space="preserve"> of Colombia. </w:t>
      </w:r>
      <w:r w:rsidRPr="0085273A">
        <w:rPr>
          <w:b/>
          <w:bCs/>
          <w:color w:val="000000" w:themeColor="text1"/>
          <w:sz w:val="24"/>
          <w:szCs w:val="24"/>
        </w:rPr>
        <w:t xml:space="preserve">Applied </w:t>
      </w:r>
      <w:proofErr w:type="spellStart"/>
      <w:r w:rsidRPr="0085273A">
        <w:rPr>
          <w:b/>
          <w:bCs/>
          <w:color w:val="000000" w:themeColor="text1"/>
          <w:sz w:val="24"/>
          <w:szCs w:val="24"/>
        </w:rPr>
        <w:t>Geography</w:t>
      </w:r>
      <w:proofErr w:type="spellEnd"/>
      <w:r w:rsidRPr="0085273A">
        <w:rPr>
          <w:color w:val="000000" w:themeColor="text1"/>
          <w:sz w:val="24"/>
          <w:szCs w:val="24"/>
        </w:rPr>
        <w:t>, v. 32, n. 2, p. 766–776, 2012.</w:t>
      </w:r>
    </w:p>
    <w:p w14:paraId="19645A00" w14:textId="77777777" w:rsidR="00FB6145" w:rsidRPr="0085273A" w:rsidRDefault="00FB6145" w:rsidP="00302E42">
      <w:pPr>
        <w:rPr>
          <w:color w:val="000000" w:themeColor="text1"/>
          <w:sz w:val="24"/>
          <w:szCs w:val="24"/>
        </w:rPr>
      </w:pPr>
    </w:p>
    <w:p w14:paraId="7F28F209" w14:textId="4F2F8F18" w:rsidR="00FB6145" w:rsidRPr="0085273A" w:rsidRDefault="00FB6145" w:rsidP="00FB6145">
      <w:pPr>
        <w:rPr>
          <w:color w:val="000000" w:themeColor="text1"/>
          <w:sz w:val="24"/>
          <w:szCs w:val="24"/>
        </w:rPr>
      </w:pPr>
      <w:r w:rsidRPr="0085273A">
        <w:rPr>
          <w:color w:val="000000" w:themeColor="text1"/>
          <w:sz w:val="24"/>
          <w:szCs w:val="24"/>
        </w:rPr>
        <w:t xml:space="preserve">SILVA, C. G. da. A utilização do geoprocessamento na análise espaço-temporal da cobertura vegetal. COINTER-PDVAGRO, 2022. Disponível em: </w:t>
      </w:r>
      <w:hyperlink r:id="rId14" w:history="1">
        <w:r w:rsidRPr="0085273A">
          <w:rPr>
            <w:rStyle w:val="Hyperlink"/>
            <w:color w:val="000000" w:themeColor="text1"/>
            <w:sz w:val="24"/>
            <w:szCs w:val="24"/>
            <w:u w:val="none"/>
          </w:rPr>
          <w:t>https://cointer.institutoidv.org/smart/2022/pdvagro/uploads/205.pdf</w:t>
        </w:r>
      </w:hyperlink>
    </w:p>
    <w:p w14:paraId="00D5051B" w14:textId="77777777" w:rsidR="00FB6145" w:rsidRPr="00FB6145" w:rsidRDefault="00FB6145" w:rsidP="00FB6145">
      <w:pPr>
        <w:rPr>
          <w:sz w:val="24"/>
          <w:szCs w:val="24"/>
        </w:rPr>
      </w:pPr>
    </w:p>
    <w:p w14:paraId="60DA3EF9" w14:textId="77777777" w:rsidR="00FB6145" w:rsidRDefault="00FB6145" w:rsidP="00FB6145">
      <w:pPr>
        <w:rPr>
          <w:sz w:val="24"/>
          <w:szCs w:val="24"/>
        </w:rPr>
      </w:pPr>
      <w:r w:rsidRPr="00FB6145">
        <w:rPr>
          <w:sz w:val="24"/>
          <w:szCs w:val="24"/>
        </w:rPr>
        <w:t xml:space="preserve">SILVA, J. M. P.; OLIVEIRA, R. S.; MORAIS, H. B. Economia mineral e impactos nos territórios da Amazônia Mineral. </w:t>
      </w:r>
      <w:r w:rsidRPr="00FB6145">
        <w:rPr>
          <w:b/>
          <w:bCs/>
          <w:sz w:val="24"/>
          <w:szCs w:val="24"/>
        </w:rPr>
        <w:t>Planeta Amazônia</w:t>
      </w:r>
      <w:r w:rsidRPr="00FB6145">
        <w:rPr>
          <w:sz w:val="24"/>
          <w:szCs w:val="24"/>
        </w:rPr>
        <w:t>, Macapá, v. 9, p. 119–134, 2017.</w:t>
      </w:r>
    </w:p>
    <w:p w14:paraId="5D76F372" w14:textId="77777777" w:rsidR="00FB6145" w:rsidRPr="00FB6145" w:rsidRDefault="00FB6145" w:rsidP="00FB6145">
      <w:pPr>
        <w:rPr>
          <w:sz w:val="24"/>
          <w:szCs w:val="24"/>
        </w:rPr>
      </w:pPr>
    </w:p>
    <w:p w14:paraId="2FAED277" w14:textId="77777777" w:rsidR="00FB6145" w:rsidRDefault="00FB6145" w:rsidP="00302E42">
      <w:pPr>
        <w:rPr>
          <w:sz w:val="24"/>
          <w:szCs w:val="24"/>
        </w:rPr>
      </w:pPr>
      <w:r w:rsidRPr="00302E42">
        <w:rPr>
          <w:sz w:val="24"/>
          <w:szCs w:val="24"/>
        </w:rPr>
        <w:t xml:space="preserve">SOUZA, C. M. et al. </w:t>
      </w:r>
      <w:r w:rsidRPr="0085273A">
        <w:rPr>
          <w:sz w:val="24"/>
          <w:szCs w:val="24"/>
          <w:lang w:val="en-US"/>
        </w:rPr>
        <w:t xml:space="preserve">Reconstructing three decades of land use and land cover changes in Brazilian biomes with Landsat archive and Earth Engine. </w:t>
      </w:r>
      <w:r w:rsidRPr="00302E42">
        <w:rPr>
          <w:b/>
          <w:bCs/>
          <w:sz w:val="24"/>
          <w:szCs w:val="24"/>
        </w:rPr>
        <w:t xml:space="preserve">Remote </w:t>
      </w:r>
      <w:proofErr w:type="spellStart"/>
      <w:r w:rsidRPr="00302E42">
        <w:rPr>
          <w:b/>
          <w:bCs/>
          <w:sz w:val="24"/>
          <w:szCs w:val="24"/>
        </w:rPr>
        <w:t>Sensing</w:t>
      </w:r>
      <w:proofErr w:type="spellEnd"/>
      <w:r w:rsidRPr="00302E42">
        <w:rPr>
          <w:sz w:val="24"/>
          <w:szCs w:val="24"/>
        </w:rPr>
        <w:t>, v. 12, n. 17, p. 2735, 2020.</w:t>
      </w:r>
    </w:p>
    <w:p w14:paraId="67366D8B" w14:textId="77777777" w:rsidR="00FB6145" w:rsidRDefault="00FB6145" w:rsidP="00302E42">
      <w:pPr>
        <w:rPr>
          <w:sz w:val="24"/>
          <w:szCs w:val="24"/>
        </w:rPr>
      </w:pPr>
    </w:p>
    <w:p w14:paraId="60CCEA4F" w14:textId="77777777" w:rsidR="00FB6145" w:rsidRPr="00A82C68" w:rsidRDefault="00FB6145" w:rsidP="00FB6145">
      <w:pPr>
        <w:rPr>
          <w:sz w:val="24"/>
          <w:szCs w:val="24"/>
        </w:rPr>
      </w:pPr>
      <w:r w:rsidRPr="00FB6145">
        <w:rPr>
          <w:sz w:val="24"/>
          <w:szCs w:val="24"/>
        </w:rPr>
        <w:t xml:space="preserve">VASCONCELOS, C. H. et al. Mapeamento do uso e cobertura da terra por sensoriamento remoto em uma microrregião amazônica. </w:t>
      </w:r>
      <w:r w:rsidRPr="00FB6145">
        <w:rPr>
          <w:b/>
          <w:bCs/>
          <w:sz w:val="24"/>
          <w:szCs w:val="24"/>
        </w:rPr>
        <w:t>Acta Amazonica</w:t>
      </w:r>
      <w:r w:rsidRPr="00FB6145">
        <w:rPr>
          <w:sz w:val="24"/>
          <w:szCs w:val="24"/>
        </w:rPr>
        <w:t>, Manaus, v. 43, n. 2, p. 203–214, 2013.</w:t>
      </w:r>
    </w:p>
    <w:sectPr w:rsidR="00FB6145" w:rsidRPr="00A82C68">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505D1" w14:textId="77777777" w:rsidR="00436D72" w:rsidRDefault="00436D72">
      <w:r>
        <w:separator/>
      </w:r>
    </w:p>
  </w:endnote>
  <w:endnote w:type="continuationSeparator" w:id="0">
    <w:p w14:paraId="5400F1C1" w14:textId="77777777" w:rsidR="00436D72" w:rsidRDefault="0043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w:altName w:val="Lucida San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27CD" w14:textId="77777777" w:rsidR="00303D2C" w:rsidRDefault="00303D2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06C8" w14:textId="0D4474AD" w:rsidR="007830E4" w:rsidRDefault="00A86693">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69504" behindDoc="0" locked="0" layoutInCell="1" allowOverlap="1" wp14:anchorId="4098A312" wp14:editId="49736E47">
          <wp:simplePos x="0" y="0"/>
          <wp:positionH relativeFrom="column">
            <wp:posOffset>2691765</wp:posOffset>
          </wp:positionH>
          <wp:positionV relativeFrom="page">
            <wp:posOffset>10217150</wp:posOffset>
          </wp:positionV>
          <wp:extent cx="552450" cy="314325"/>
          <wp:effectExtent l="0" t="0" r="0" b="0"/>
          <wp:wrapSquare wrapText="bothSides"/>
          <wp:docPr id="12024851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68480" behindDoc="0" locked="0" layoutInCell="1" allowOverlap="1" wp14:anchorId="111FDD1B" wp14:editId="4F477EBF">
          <wp:simplePos x="0" y="0"/>
          <wp:positionH relativeFrom="margin">
            <wp:posOffset>-222885</wp:posOffset>
          </wp:positionH>
          <wp:positionV relativeFrom="page">
            <wp:posOffset>10202545</wp:posOffset>
          </wp:positionV>
          <wp:extent cx="762000" cy="245745"/>
          <wp:effectExtent l="0" t="0" r="0" b="1905"/>
          <wp:wrapSquare wrapText="bothSides"/>
          <wp:docPr id="107117410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0749" b="19098"/>
                  <a:stretch/>
                </pic:blipFill>
                <pic:spPr bwMode="auto">
                  <a:xfrm>
                    <a:off x="0" y="0"/>
                    <a:ext cx="762000" cy="24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1A914C26">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8"/>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E620" w14:textId="77777777" w:rsidR="00303D2C" w:rsidRDefault="00303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C599F" w14:textId="77777777" w:rsidR="00436D72" w:rsidRDefault="00436D72">
      <w:r>
        <w:separator/>
      </w:r>
    </w:p>
  </w:footnote>
  <w:footnote w:type="continuationSeparator" w:id="0">
    <w:p w14:paraId="0B05F4C2" w14:textId="77777777" w:rsidR="00436D72" w:rsidRDefault="00436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D4222" w14:textId="77777777" w:rsidR="00303D2C" w:rsidRDefault="00303D2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B50F" w14:textId="367CB070" w:rsidR="007830E4" w:rsidRDefault="00303D2C" w:rsidP="00303D2C">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6897A050" wp14:editId="635AB270">
          <wp:extent cx="3253105" cy="1610913"/>
          <wp:effectExtent l="0" t="0" r="0" b="0"/>
          <wp:docPr id="12226664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222666444"/>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332661" cy="165030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37CE8" w14:textId="77777777" w:rsidR="00303D2C" w:rsidRDefault="00303D2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22904"/>
    <w:multiLevelType w:val="multilevel"/>
    <w:tmpl w:val="6B8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7A3D5C"/>
    <w:multiLevelType w:val="hybridMultilevel"/>
    <w:tmpl w:val="B20CF6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5755475">
    <w:abstractNumId w:val="0"/>
  </w:num>
  <w:num w:numId="2" w16cid:durableId="1165361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0312A2"/>
    <w:rsid w:val="00043F89"/>
    <w:rsid w:val="00094878"/>
    <w:rsid w:val="000A1769"/>
    <w:rsid w:val="00135E8A"/>
    <w:rsid w:val="00152A15"/>
    <w:rsid w:val="001D1CDF"/>
    <w:rsid w:val="002C3404"/>
    <w:rsid w:val="002F763D"/>
    <w:rsid w:val="00302E42"/>
    <w:rsid w:val="00303D2C"/>
    <w:rsid w:val="003243EA"/>
    <w:rsid w:val="00335491"/>
    <w:rsid w:val="00363F59"/>
    <w:rsid w:val="003B077B"/>
    <w:rsid w:val="003F20D9"/>
    <w:rsid w:val="00436D72"/>
    <w:rsid w:val="00446186"/>
    <w:rsid w:val="00463538"/>
    <w:rsid w:val="00477436"/>
    <w:rsid w:val="0048607D"/>
    <w:rsid w:val="004E52FC"/>
    <w:rsid w:val="004F33F6"/>
    <w:rsid w:val="00501F2B"/>
    <w:rsid w:val="00505D60"/>
    <w:rsid w:val="00512C16"/>
    <w:rsid w:val="0053681D"/>
    <w:rsid w:val="00575E58"/>
    <w:rsid w:val="005D4968"/>
    <w:rsid w:val="00664BCA"/>
    <w:rsid w:val="006A354C"/>
    <w:rsid w:val="006A36E0"/>
    <w:rsid w:val="00724088"/>
    <w:rsid w:val="007537DE"/>
    <w:rsid w:val="007718E2"/>
    <w:rsid w:val="007830E4"/>
    <w:rsid w:val="00784D71"/>
    <w:rsid w:val="007B1AFD"/>
    <w:rsid w:val="007D1282"/>
    <w:rsid w:val="007D5218"/>
    <w:rsid w:val="00831F2D"/>
    <w:rsid w:val="0085273A"/>
    <w:rsid w:val="0089051E"/>
    <w:rsid w:val="008B336F"/>
    <w:rsid w:val="008E5D6B"/>
    <w:rsid w:val="008F3A4A"/>
    <w:rsid w:val="009423CF"/>
    <w:rsid w:val="00973465"/>
    <w:rsid w:val="009C13EE"/>
    <w:rsid w:val="009D32DF"/>
    <w:rsid w:val="009F6391"/>
    <w:rsid w:val="00A07738"/>
    <w:rsid w:val="00A51214"/>
    <w:rsid w:val="00A82C68"/>
    <w:rsid w:val="00A86693"/>
    <w:rsid w:val="00AA3C7D"/>
    <w:rsid w:val="00AE3BF1"/>
    <w:rsid w:val="00AF6BC6"/>
    <w:rsid w:val="00B26E21"/>
    <w:rsid w:val="00B57BC5"/>
    <w:rsid w:val="00B643EA"/>
    <w:rsid w:val="00B80B0C"/>
    <w:rsid w:val="00B826D9"/>
    <w:rsid w:val="00B83998"/>
    <w:rsid w:val="00B85AE7"/>
    <w:rsid w:val="00BA363F"/>
    <w:rsid w:val="00BA40DF"/>
    <w:rsid w:val="00BB2501"/>
    <w:rsid w:val="00BC01F5"/>
    <w:rsid w:val="00C57C34"/>
    <w:rsid w:val="00C63F88"/>
    <w:rsid w:val="00C64DF0"/>
    <w:rsid w:val="00CB1C19"/>
    <w:rsid w:val="00CC5977"/>
    <w:rsid w:val="00CC7E1B"/>
    <w:rsid w:val="00CD3A1E"/>
    <w:rsid w:val="00CE5298"/>
    <w:rsid w:val="00D04EF5"/>
    <w:rsid w:val="00D71AEB"/>
    <w:rsid w:val="00DB332E"/>
    <w:rsid w:val="00DC6B06"/>
    <w:rsid w:val="00E161EB"/>
    <w:rsid w:val="00E42F77"/>
    <w:rsid w:val="00E43158"/>
    <w:rsid w:val="00E712AA"/>
    <w:rsid w:val="00EB190C"/>
    <w:rsid w:val="00EB5ED2"/>
    <w:rsid w:val="00F01631"/>
    <w:rsid w:val="00F17360"/>
    <w:rsid w:val="00F2584D"/>
    <w:rsid w:val="00F63A75"/>
    <w:rsid w:val="00FB6145"/>
    <w:rsid w:val="00FC09F4"/>
    <w:rsid w:val="00FC7C95"/>
    <w:rsid w:val="00FD46AA"/>
    <w:rsid w:val="00FF69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AA3C7D"/>
    <w:rPr>
      <w:color w:val="0563C1" w:themeColor="hyperlink"/>
      <w:u w:val="single"/>
    </w:rPr>
  </w:style>
  <w:style w:type="character" w:styleId="MenoPendente">
    <w:name w:val="Unresolved Mention"/>
    <w:basedOn w:val="Fontepargpadro"/>
    <w:uiPriority w:val="99"/>
    <w:semiHidden/>
    <w:unhideWhenUsed/>
    <w:rsid w:val="00AA3C7D"/>
    <w:rPr>
      <w:color w:val="605E5C"/>
      <w:shd w:val="clear" w:color="auto" w:fill="E1DFDD"/>
    </w:rPr>
  </w:style>
  <w:style w:type="paragraph" w:styleId="PargrafodaLista">
    <w:name w:val="List Paragraph"/>
    <w:basedOn w:val="Normal"/>
    <w:uiPriority w:val="34"/>
    <w:qFormat/>
    <w:rsid w:val="00DB332E"/>
    <w:pPr>
      <w:ind w:left="720"/>
      <w:contextualSpacing/>
    </w:pPr>
  </w:style>
  <w:style w:type="paragraph" w:customStyle="1" w:styleId="TableParagraph">
    <w:name w:val="Table Paragraph"/>
    <w:basedOn w:val="Normal"/>
    <w:uiPriority w:val="1"/>
    <w:qFormat/>
    <w:rsid w:val="00E43158"/>
    <w:pPr>
      <w:autoSpaceDE w:val="0"/>
      <w:autoSpaceDN w:val="0"/>
    </w:pPr>
    <w:rPr>
      <w:lang w:val="pt-PT" w:eastAsia="en-US"/>
    </w:rPr>
  </w:style>
  <w:style w:type="paragraph" w:styleId="Corpodetexto">
    <w:name w:val="Body Text"/>
    <w:basedOn w:val="Normal"/>
    <w:link w:val="CorpodetextoChar"/>
    <w:uiPriority w:val="1"/>
    <w:qFormat/>
    <w:rsid w:val="00E43158"/>
    <w:pPr>
      <w:autoSpaceDE w:val="0"/>
      <w:autoSpaceDN w:val="0"/>
    </w:pPr>
    <w:rPr>
      <w:sz w:val="20"/>
      <w:szCs w:val="20"/>
      <w:lang w:val="pt-PT" w:eastAsia="en-US"/>
    </w:rPr>
  </w:style>
  <w:style w:type="character" w:customStyle="1" w:styleId="CorpodetextoChar">
    <w:name w:val="Corpo de texto Char"/>
    <w:basedOn w:val="Fontepargpadro"/>
    <w:link w:val="Corpodetexto"/>
    <w:uiPriority w:val="1"/>
    <w:rsid w:val="00E43158"/>
    <w:rPr>
      <w:sz w:val="20"/>
      <w:szCs w:val="20"/>
      <w:lang w:val="pt-PT" w:eastAsia="en-US"/>
    </w:rPr>
  </w:style>
  <w:style w:type="character" w:styleId="Refdecomentrio">
    <w:name w:val="annotation reference"/>
    <w:basedOn w:val="Fontepargpadro"/>
    <w:uiPriority w:val="99"/>
    <w:semiHidden/>
    <w:unhideWhenUsed/>
    <w:rsid w:val="00BC01F5"/>
    <w:rPr>
      <w:sz w:val="16"/>
      <w:szCs w:val="16"/>
    </w:rPr>
  </w:style>
  <w:style w:type="paragraph" w:styleId="Textodecomentrio">
    <w:name w:val="annotation text"/>
    <w:basedOn w:val="Normal"/>
    <w:link w:val="TextodecomentrioChar"/>
    <w:uiPriority w:val="99"/>
    <w:unhideWhenUsed/>
    <w:rsid w:val="00BC01F5"/>
    <w:rPr>
      <w:sz w:val="20"/>
      <w:szCs w:val="20"/>
    </w:rPr>
  </w:style>
  <w:style w:type="character" w:customStyle="1" w:styleId="TextodecomentrioChar">
    <w:name w:val="Texto de comentário Char"/>
    <w:basedOn w:val="Fontepargpadro"/>
    <w:link w:val="Textodecomentrio"/>
    <w:uiPriority w:val="99"/>
    <w:rsid w:val="00BC01F5"/>
    <w:rPr>
      <w:sz w:val="20"/>
      <w:szCs w:val="20"/>
    </w:rPr>
  </w:style>
  <w:style w:type="paragraph" w:styleId="Assuntodocomentrio">
    <w:name w:val="annotation subject"/>
    <w:basedOn w:val="Textodecomentrio"/>
    <w:next w:val="Textodecomentrio"/>
    <w:link w:val="AssuntodocomentrioChar"/>
    <w:uiPriority w:val="99"/>
    <w:semiHidden/>
    <w:unhideWhenUsed/>
    <w:rsid w:val="00BC01F5"/>
    <w:rPr>
      <w:b/>
      <w:bCs/>
    </w:rPr>
  </w:style>
  <w:style w:type="character" w:customStyle="1" w:styleId="AssuntodocomentrioChar">
    <w:name w:val="Assunto do comentário Char"/>
    <w:basedOn w:val="TextodecomentrioChar"/>
    <w:link w:val="Assuntodocomentrio"/>
    <w:uiPriority w:val="99"/>
    <w:semiHidden/>
    <w:rsid w:val="00BC01F5"/>
    <w:rPr>
      <w:b/>
      <w:bCs/>
      <w:sz w:val="20"/>
      <w:szCs w:val="20"/>
    </w:rPr>
  </w:style>
  <w:style w:type="table" w:styleId="Tabelacomgrade">
    <w:name w:val="Table Grid"/>
    <w:basedOn w:val="Tabelanormal"/>
    <w:uiPriority w:val="39"/>
    <w:rsid w:val="00852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85273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74828">
      <w:bodyDiv w:val="1"/>
      <w:marLeft w:val="0"/>
      <w:marRight w:val="0"/>
      <w:marTop w:val="0"/>
      <w:marBottom w:val="0"/>
      <w:divBdr>
        <w:top w:val="none" w:sz="0" w:space="0" w:color="auto"/>
        <w:left w:val="none" w:sz="0" w:space="0" w:color="auto"/>
        <w:bottom w:val="none" w:sz="0" w:space="0" w:color="auto"/>
        <w:right w:val="none" w:sz="0" w:space="0" w:color="auto"/>
      </w:divBdr>
    </w:div>
    <w:div w:id="625619457">
      <w:bodyDiv w:val="1"/>
      <w:marLeft w:val="0"/>
      <w:marRight w:val="0"/>
      <w:marTop w:val="0"/>
      <w:marBottom w:val="0"/>
      <w:divBdr>
        <w:top w:val="none" w:sz="0" w:space="0" w:color="auto"/>
        <w:left w:val="none" w:sz="0" w:space="0" w:color="auto"/>
        <w:bottom w:val="none" w:sz="0" w:space="0" w:color="auto"/>
        <w:right w:val="none" w:sz="0" w:space="0" w:color="auto"/>
      </w:divBdr>
    </w:div>
    <w:div w:id="1379863184">
      <w:bodyDiv w:val="1"/>
      <w:marLeft w:val="0"/>
      <w:marRight w:val="0"/>
      <w:marTop w:val="0"/>
      <w:marBottom w:val="0"/>
      <w:divBdr>
        <w:top w:val="none" w:sz="0" w:space="0" w:color="auto"/>
        <w:left w:val="none" w:sz="0" w:space="0" w:color="auto"/>
        <w:bottom w:val="none" w:sz="0" w:space="0" w:color="auto"/>
        <w:right w:val="none" w:sz="0" w:space="0" w:color="auto"/>
      </w:divBdr>
    </w:div>
    <w:div w:id="1891571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naflor.org/wp-content/uploads/2023/06/Planaflor-estudo-12-sistemas-monitoramento-uso-terra-BR.pdf"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jogabrielslima@gmail.com" TargetMode="External"/><Relationship Id="rId14" Type="http://schemas.openxmlformats.org/officeDocument/2006/relationships/hyperlink" Target="https://cointer.institutoidv.org/smart/2022/pdvagro/uploads/205.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885A58-FE99-47A4-AC35-49AE680C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10</Pages>
  <Words>3211</Words>
  <Characters>17342</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Viviane Gomes</dc:creator>
  <cp:lastModifiedBy>Marcos Vinicius Afonso Cabral</cp:lastModifiedBy>
  <cp:revision>12</cp:revision>
  <dcterms:created xsi:type="dcterms:W3CDTF">2025-11-28T14:36:00Z</dcterms:created>
  <dcterms:modified xsi:type="dcterms:W3CDTF">2025-12-05T13:26:00Z</dcterms:modified>
</cp:coreProperties>
</file>