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DF5B" w14:textId="3E99F484" w:rsidR="004C74F7" w:rsidRDefault="001E305A" w:rsidP="00105956">
      <w:pPr>
        <w:spacing w:after="0" w:line="259" w:lineRule="auto"/>
        <w:ind w:left="0" w:right="1575" w:firstLine="0"/>
        <w:jc w:val="center"/>
        <w:rPr>
          <w:b/>
          <w:sz w:val="28"/>
        </w:rPr>
      </w:pPr>
      <w:r>
        <w:rPr>
          <w:b/>
          <w:sz w:val="28"/>
        </w:rPr>
        <w:t>IDENTIFICAÇÃO DE PEIXES DIPLOIDES, TRIPLOIDES E TETRAPLOIDES DE LAMBARI</w:t>
      </w:r>
      <w:r w:rsidR="00333ECC">
        <w:rPr>
          <w:b/>
          <w:sz w:val="28"/>
        </w:rPr>
        <w:t xml:space="preserve"> </w:t>
      </w:r>
      <w:r w:rsidRPr="00157F7F">
        <w:rPr>
          <w:b/>
          <w:i/>
          <w:iCs/>
          <w:sz w:val="28"/>
        </w:rPr>
        <w:t>ASTYANAX LACUSTRIS</w:t>
      </w:r>
      <w:r w:rsidR="00333ECC">
        <w:rPr>
          <w:b/>
          <w:i/>
          <w:iCs/>
          <w:sz w:val="28"/>
        </w:rPr>
        <w:t xml:space="preserve"> </w:t>
      </w:r>
      <w:r w:rsidR="00333ECC" w:rsidRPr="00333ECC">
        <w:rPr>
          <w:b/>
          <w:sz w:val="28"/>
        </w:rPr>
        <w:t>(L</w:t>
      </w:r>
      <w:r w:rsidR="00110403" w:rsidRPr="00110403">
        <w:rPr>
          <w:b/>
          <w:sz w:val="28"/>
        </w:rPr>
        <w:t>Ü</w:t>
      </w:r>
      <w:r w:rsidR="00333ECC" w:rsidRPr="00333ECC">
        <w:rPr>
          <w:b/>
          <w:sz w:val="28"/>
        </w:rPr>
        <w:t>TKEN</w:t>
      </w:r>
      <w:r w:rsidR="00333ECC">
        <w:rPr>
          <w:b/>
          <w:i/>
          <w:iCs/>
          <w:sz w:val="28"/>
        </w:rPr>
        <w:t xml:space="preserve">, </w:t>
      </w:r>
      <w:r w:rsidR="00333ECC" w:rsidRPr="00333ECC">
        <w:rPr>
          <w:b/>
          <w:sz w:val="28"/>
        </w:rPr>
        <w:t>187</w:t>
      </w:r>
      <w:r w:rsidR="00C477D4">
        <w:rPr>
          <w:b/>
          <w:sz w:val="28"/>
        </w:rPr>
        <w:t>5</w:t>
      </w:r>
      <w:r w:rsidR="00590E81">
        <w:rPr>
          <w:b/>
          <w:sz w:val="28"/>
        </w:rPr>
        <w:t>)</w:t>
      </w:r>
      <w:r w:rsidR="00C477D4">
        <w:rPr>
          <w:b/>
          <w:sz w:val="28"/>
        </w:rPr>
        <w:t xml:space="preserve"> P</w:t>
      </w:r>
      <w:r>
        <w:rPr>
          <w:b/>
          <w:sz w:val="28"/>
        </w:rPr>
        <w:t xml:space="preserve">OR ESFREGAÇO SANGUÍNEO </w:t>
      </w:r>
      <w:r w:rsidR="00D80BD3">
        <w:rPr>
          <w:b/>
          <w:sz w:val="28"/>
        </w:rPr>
        <w:t>UTILIZAND</w:t>
      </w:r>
      <w:r>
        <w:rPr>
          <w:b/>
          <w:sz w:val="28"/>
        </w:rPr>
        <w:t>O SOFTWARE IMAGEJ®</w:t>
      </w:r>
    </w:p>
    <w:p w14:paraId="33464C16" w14:textId="77777777" w:rsidR="00105956" w:rsidRPr="00105956" w:rsidRDefault="00105956" w:rsidP="00105956">
      <w:pPr>
        <w:spacing w:after="0" w:line="259" w:lineRule="auto"/>
        <w:ind w:left="0" w:right="1575" w:firstLine="0"/>
        <w:jc w:val="center"/>
        <w:rPr>
          <w:b/>
          <w:szCs w:val="24"/>
        </w:rPr>
      </w:pPr>
    </w:p>
    <w:p w14:paraId="166EA16D" w14:textId="56B7C39F" w:rsidR="00105956" w:rsidRDefault="00105956" w:rsidP="00105956">
      <w:pPr>
        <w:spacing w:after="3" w:line="252" w:lineRule="auto"/>
        <w:ind w:left="142" w:right="1574" w:hanging="142"/>
        <w:jc w:val="center"/>
        <w:rPr>
          <w:b/>
          <w:sz w:val="20"/>
          <w:vertAlign w:val="superscript"/>
        </w:rPr>
      </w:pPr>
      <w:r>
        <w:rPr>
          <w:b/>
          <w:sz w:val="20"/>
        </w:rPr>
        <w:t>CONCEIÇÃO, A. B.</w:t>
      </w:r>
      <w:r>
        <w:rPr>
          <w:b/>
          <w:sz w:val="20"/>
          <w:vertAlign w:val="superscript"/>
        </w:rPr>
        <w:t>1</w:t>
      </w:r>
      <w:r>
        <w:rPr>
          <w:b/>
          <w:sz w:val="20"/>
        </w:rPr>
        <w:t>; SILVA, G. S.</w:t>
      </w:r>
      <w:r>
        <w:rPr>
          <w:b/>
          <w:sz w:val="20"/>
          <w:vertAlign w:val="superscript"/>
        </w:rPr>
        <w:t>2</w:t>
      </w:r>
      <w:r>
        <w:rPr>
          <w:b/>
          <w:sz w:val="20"/>
        </w:rPr>
        <w:t>; SILVA, J. T. S</w:t>
      </w:r>
      <w:r>
        <w:rPr>
          <w:b/>
          <w:sz w:val="20"/>
          <w:vertAlign w:val="superscript"/>
        </w:rPr>
        <w:t>3</w:t>
      </w:r>
      <w:r>
        <w:rPr>
          <w:b/>
          <w:sz w:val="20"/>
        </w:rPr>
        <w:t>; GOMES, J. S</w:t>
      </w:r>
      <w:r>
        <w:rPr>
          <w:b/>
          <w:sz w:val="20"/>
          <w:vertAlign w:val="superscript"/>
        </w:rPr>
        <w:t>4</w:t>
      </w:r>
      <w:r>
        <w:rPr>
          <w:b/>
          <w:sz w:val="20"/>
        </w:rPr>
        <w:t>; YASUI, G.S</w:t>
      </w:r>
      <w:r>
        <w:rPr>
          <w:b/>
          <w:sz w:val="20"/>
          <w:vertAlign w:val="superscript"/>
        </w:rPr>
        <w:t>5</w:t>
      </w:r>
      <w:r>
        <w:rPr>
          <w:b/>
          <w:sz w:val="20"/>
        </w:rPr>
        <w:t>; NASCIMENTO, N. F</w:t>
      </w:r>
      <w:r>
        <w:rPr>
          <w:b/>
          <w:sz w:val="20"/>
          <w:vertAlign w:val="superscript"/>
        </w:rPr>
        <w:t>6</w:t>
      </w:r>
    </w:p>
    <w:p w14:paraId="62D89442" w14:textId="77777777" w:rsidR="00105956" w:rsidRDefault="00105956" w:rsidP="00105956">
      <w:pPr>
        <w:spacing w:after="3" w:line="252" w:lineRule="auto"/>
        <w:ind w:left="142" w:right="1574" w:hanging="142"/>
        <w:jc w:val="center"/>
      </w:pPr>
    </w:p>
    <w:p w14:paraId="198EE72B" w14:textId="1F44BEAD" w:rsidR="00105956" w:rsidRDefault="00105956" w:rsidP="00105956">
      <w:pPr>
        <w:spacing w:after="0" w:line="240" w:lineRule="auto"/>
        <w:ind w:left="0" w:right="1718" w:firstLine="0"/>
        <w:jc w:val="center"/>
        <w:rPr>
          <w:sz w:val="20"/>
        </w:rPr>
      </w:pPr>
      <w:r w:rsidRPr="00105956">
        <w:rPr>
          <w:sz w:val="20"/>
          <w:vertAlign w:val="superscript"/>
        </w:rPr>
        <w:t>1</w:t>
      </w:r>
      <w:r w:rsidRPr="00105956">
        <w:rPr>
          <w:sz w:val="20"/>
        </w:rPr>
        <w:t>anderson.conceicao@ufrpe.br</w:t>
      </w:r>
      <w:r>
        <w:rPr>
          <w:sz w:val="20"/>
        </w:rPr>
        <w:t>, Universidade Federal Rural de Pernambuco (UFRPE), Unidade Acadêmica de Serra Talhada (UAST), graduando em Engenharia de Pesca.</w:t>
      </w:r>
      <w:bookmarkStart w:id="0" w:name="_Hlk111409057"/>
      <w:r>
        <w:rPr>
          <w:sz w:val="20"/>
        </w:rPr>
        <w:t xml:space="preserve"> </w:t>
      </w:r>
      <w:r w:rsidRPr="00105956">
        <w:rPr>
          <w:sz w:val="20"/>
          <w:vertAlign w:val="superscript"/>
        </w:rPr>
        <w:t>2</w:t>
      </w:r>
      <w:bookmarkEnd w:id="0"/>
      <w:r w:rsidRPr="00105956">
        <w:rPr>
          <w:sz w:val="20"/>
        </w:rPr>
        <w:t>gilmara.uast@gmail.com</w:t>
      </w:r>
      <w:r>
        <w:rPr>
          <w:sz w:val="20"/>
        </w:rPr>
        <w:t>, Universidade Federal Rural de Pernambuco (UFRPE), Unidade Acadêmica de Serra Talhada (UAST), graduanda em Engenharia de Pesca.</w:t>
      </w:r>
      <w:r>
        <w:rPr>
          <w:sz w:val="20"/>
          <w:vertAlign w:val="superscript"/>
        </w:rPr>
        <w:t xml:space="preserve"> </w:t>
      </w:r>
      <w:r w:rsidRPr="00105956">
        <w:rPr>
          <w:sz w:val="20"/>
          <w:vertAlign w:val="superscript"/>
        </w:rPr>
        <w:t>3</w:t>
      </w:r>
      <w:r w:rsidRPr="00105956">
        <w:rPr>
          <w:sz w:val="20"/>
        </w:rPr>
        <w:t>jamirestahissouza@gmail.com</w:t>
      </w:r>
      <w:r>
        <w:rPr>
          <w:sz w:val="20"/>
        </w:rPr>
        <w:t>, Universidade Federal Rural de Pernambuco (UFRPE),</w:t>
      </w:r>
      <w:r>
        <w:rPr>
          <w:sz w:val="20"/>
        </w:rPr>
        <w:t xml:space="preserve"> </w:t>
      </w:r>
      <w:r>
        <w:rPr>
          <w:sz w:val="20"/>
        </w:rPr>
        <w:t>Unidade Acadêmica de Serra Talhada (UAST), graduanda em Engenharia de Pesca.</w:t>
      </w:r>
      <w:r>
        <w:rPr>
          <w:sz w:val="20"/>
          <w:vertAlign w:val="superscript"/>
        </w:rPr>
        <w:t xml:space="preserve"> </w:t>
      </w:r>
      <w:r w:rsidRPr="00105956">
        <w:rPr>
          <w:sz w:val="20"/>
          <w:vertAlign w:val="superscript"/>
        </w:rPr>
        <w:t>4</w:t>
      </w:r>
      <w:r w:rsidRPr="00105956">
        <w:rPr>
          <w:sz w:val="20"/>
        </w:rPr>
        <w:t>jayslangomes19@gmail.com</w:t>
      </w:r>
      <w:r>
        <w:rPr>
          <w:sz w:val="20"/>
        </w:rPr>
        <w:t>, Universidade Federal Rural de Pernambuco (UFRPE), Unidade Acadêmica de Serra Talhada (UAST), graduando em Engenharia de Pesca.</w:t>
      </w:r>
    </w:p>
    <w:p w14:paraId="1A471C2A" w14:textId="4023C323" w:rsidR="00105956" w:rsidRDefault="00105956" w:rsidP="00105956">
      <w:pPr>
        <w:spacing w:after="0" w:line="240" w:lineRule="auto"/>
        <w:ind w:left="0" w:right="1718" w:firstLine="0"/>
        <w:jc w:val="center"/>
        <w:rPr>
          <w:sz w:val="20"/>
          <w:vertAlign w:val="superscript"/>
        </w:rPr>
      </w:pPr>
      <w:r w:rsidRPr="00105956">
        <w:rPr>
          <w:sz w:val="20"/>
          <w:vertAlign w:val="superscript"/>
        </w:rPr>
        <w:t>5</w:t>
      </w:r>
      <w:r w:rsidRPr="00105956">
        <w:rPr>
          <w:sz w:val="20"/>
        </w:rPr>
        <w:t>yasui@usp.br</w:t>
      </w:r>
      <w:r>
        <w:rPr>
          <w:sz w:val="20"/>
        </w:rPr>
        <w:t>, Universidade de São Paulo (USP), PhD em Marine Life Science.</w:t>
      </w:r>
    </w:p>
    <w:p w14:paraId="363F5D82" w14:textId="15BF91B7" w:rsidR="004C74F7" w:rsidRPr="00105956" w:rsidRDefault="00105956" w:rsidP="00105956">
      <w:pPr>
        <w:spacing w:after="0" w:line="240" w:lineRule="auto"/>
        <w:ind w:left="0" w:right="1718" w:firstLine="0"/>
        <w:jc w:val="center"/>
        <w:rPr>
          <w:sz w:val="20"/>
        </w:rPr>
      </w:pPr>
      <w:r w:rsidRPr="00105956">
        <w:rPr>
          <w:sz w:val="20"/>
          <w:vertAlign w:val="superscript"/>
        </w:rPr>
        <w:t>6</w:t>
      </w:r>
      <w:r w:rsidRPr="00105956">
        <w:rPr>
          <w:sz w:val="20"/>
        </w:rPr>
        <w:t>nivaldo.nascimento@ufrpe.br</w:t>
      </w:r>
      <w:r>
        <w:rPr>
          <w:sz w:val="20"/>
        </w:rPr>
        <w:t>, (UFRPE/UAST), Doutor em Aquicultura e Biologia aquática</w:t>
      </w:r>
    </w:p>
    <w:p w14:paraId="37F30797" w14:textId="77777777" w:rsidR="004C74F7" w:rsidRDefault="00AF5C72">
      <w:pPr>
        <w:spacing w:after="0" w:line="259" w:lineRule="auto"/>
        <w:ind w:left="4268" w:right="0" w:firstLine="0"/>
        <w:jc w:val="left"/>
      </w:pPr>
      <w:r>
        <w:rPr>
          <w:color w:val="000099"/>
        </w:rPr>
        <w:t xml:space="preserve"> </w:t>
      </w:r>
    </w:p>
    <w:p w14:paraId="0176EAA6" w14:textId="77777777" w:rsidR="004C74F7" w:rsidRDefault="00AF5C72">
      <w:pPr>
        <w:pStyle w:val="Ttulo1"/>
        <w:ind w:left="12"/>
      </w:pPr>
      <w:r>
        <w:t xml:space="preserve">Resumo </w:t>
      </w:r>
      <w:r>
        <w:rPr>
          <w:rFonts w:ascii="Times New Roman" w:eastAsia="Times New Roman" w:hAnsi="Times New Roman" w:cs="Times New Roman"/>
          <w:b w:val="0"/>
        </w:rPr>
        <w:t xml:space="preserve"> </w:t>
      </w:r>
    </w:p>
    <w:p w14:paraId="4A149E06" w14:textId="212A2725" w:rsidR="004C74F7" w:rsidRDefault="001E305A">
      <w:pPr>
        <w:ind w:left="2" w:right="1599" w:firstLine="2"/>
      </w:pPr>
      <w:r>
        <w:t xml:space="preserve">A produção de peixes triploides e tetraploides tem grande potencial de alavancar a piscicultura nacional. Após a indução de tais animais, é necessário a confirmação do resultado e dentre as técnicas empregadas, o esfregaço sanguíneo se destaca pela facilidade e baixo custo. No entanto, o processo de medir as células/ núcleos é trabalhoso demandando muito tempo. Assim, o objetivo deste trabalho foi utilizar o esfregaço sanguíneo para identificar peixes diploides, triploides e tetraploides de </w:t>
      </w:r>
      <w:proofErr w:type="spellStart"/>
      <w:r w:rsidRPr="00B50BC9">
        <w:rPr>
          <w:i/>
          <w:iCs/>
        </w:rPr>
        <w:t>Astyanax</w:t>
      </w:r>
      <w:proofErr w:type="spellEnd"/>
      <w:r w:rsidRPr="00B50BC9">
        <w:rPr>
          <w:i/>
          <w:iCs/>
        </w:rPr>
        <w:t xml:space="preserve"> </w:t>
      </w:r>
      <w:proofErr w:type="spellStart"/>
      <w:r w:rsidRPr="00B50BC9">
        <w:rPr>
          <w:i/>
          <w:iCs/>
        </w:rPr>
        <w:t>lacustr</w:t>
      </w:r>
      <w:r>
        <w:rPr>
          <w:i/>
          <w:iCs/>
        </w:rPr>
        <w:t>i</w:t>
      </w:r>
      <w:r w:rsidRPr="00B50BC9">
        <w:rPr>
          <w:i/>
          <w:iCs/>
        </w:rPr>
        <w:t>s</w:t>
      </w:r>
      <w:proofErr w:type="spellEnd"/>
      <w:r>
        <w:t xml:space="preserve"> utilizando o software livre </w:t>
      </w:r>
      <w:proofErr w:type="spellStart"/>
      <w:r>
        <w:t>imageJ</w:t>
      </w:r>
      <w:proofErr w:type="spellEnd"/>
      <w:r>
        <w:t>®.</w:t>
      </w:r>
      <w:r w:rsidR="004369A9">
        <w:t xml:space="preserve"> Peixes</w:t>
      </w:r>
      <w:r>
        <w:t xml:space="preserve"> </w:t>
      </w:r>
      <w:r w:rsidR="004369A9">
        <w:t>d</w:t>
      </w:r>
      <w:r>
        <w:t xml:space="preserve">iploides e tetraploides foram obtidos utilizando choque de temperatura (40°C; 2 minutos) com dois minutos e 26 minutos pós-fertilização, respectivamente. Com oito meses de idade, esfregaço sanguíneo dos animais foram confeccionados e as imagens obtidas foram analisadas no </w:t>
      </w:r>
      <w:proofErr w:type="spellStart"/>
      <w:r>
        <w:t>imageJ</w:t>
      </w:r>
      <w:proofErr w:type="spellEnd"/>
      <w:r>
        <w:t>®. Os resultados mostraram que o uso do software foi eficiente, garantindo a medição automática de centenas de núcleos em poucos segundos. Peixes triploides e tetraploides apresentaram núcleo com área</w:t>
      </w:r>
      <w:r w:rsidRPr="005A4A61">
        <w:t>, perímetro, eixo maior e eixo menor significativamente maior do que os diploides (</w:t>
      </w:r>
      <w:r w:rsidRPr="005A4A61">
        <w:rPr>
          <w:i/>
          <w:iCs/>
        </w:rPr>
        <w:t>P</w:t>
      </w:r>
      <w:r w:rsidRPr="005A4A61">
        <w:t xml:space="preserve"> &lt; 0,05).</w:t>
      </w:r>
      <w:r>
        <w:t xml:space="preserve"> Já o eixo maior foi o único parâmetro separou triploides e tetraploides (</w:t>
      </w:r>
      <w:r w:rsidRPr="005A4A61">
        <w:rPr>
          <w:i/>
          <w:iCs/>
        </w:rPr>
        <w:t>P</w:t>
      </w:r>
      <w:r w:rsidRPr="00F13000">
        <w:t xml:space="preserve"> = 0,0000).</w:t>
      </w:r>
      <w:r>
        <w:t xml:space="preserve"> Estes resultados são interessantes,</w:t>
      </w:r>
      <w:r w:rsidR="00C477D4">
        <w:t xml:space="preserve"> </w:t>
      </w:r>
      <w:r>
        <w:t xml:space="preserve">abrindo novas possibilidades para identificação de peixes poliploides </w:t>
      </w:r>
      <w:r w:rsidR="00157F7F" w:rsidRPr="00C477D4">
        <w:rPr>
          <w:szCs w:val="24"/>
        </w:rPr>
        <w:t>como</w:t>
      </w:r>
      <w:r w:rsidR="00C477D4" w:rsidRPr="00C477D4">
        <w:rPr>
          <w:rStyle w:val="Refdecomentrio"/>
          <w:sz w:val="24"/>
          <w:szCs w:val="24"/>
        </w:rPr>
        <w:t xml:space="preserve"> </w:t>
      </w:r>
      <w:r w:rsidR="00C477D4" w:rsidRPr="00936C1A">
        <w:rPr>
          <w:rStyle w:val="Refdecomentrio"/>
          <w:i/>
          <w:iCs/>
          <w:sz w:val="24"/>
          <w:szCs w:val="24"/>
        </w:rPr>
        <w:t>A.</w:t>
      </w:r>
      <w:r w:rsidRPr="005A4A61">
        <w:rPr>
          <w:i/>
          <w:iCs/>
        </w:rPr>
        <w:t xml:space="preserve"> </w:t>
      </w:r>
      <w:proofErr w:type="spellStart"/>
      <w:r w:rsidRPr="005A4A61">
        <w:rPr>
          <w:i/>
          <w:iCs/>
        </w:rPr>
        <w:t>lacustris</w:t>
      </w:r>
      <w:proofErr w:type="spellEnd"/>
      <w:r>
        <w:t xml:space="preserve"> e outras espécies nativas. </w:t>
      </w:r>
      <w:r>
        <w:rPr>
          <w:rFonts w:ascii="Times New Roman" w:eastAsia="Times New Roman" w:hAnsi="Times New Roman" w:cs="Times New Roman"/>
        </w:rPr>
        <w:t xml:space="preserve"> </w:t>
      </w:r>
    </w:p>
    <w:p w14:paraId="13FF1D1B" w14:textId="77777777" w:rsidR="001C55D3" w:rsidRDefault="001C55D3">
      <w:pPr>
        <w:ind w:left="2" w:right="1599" w:firstLine="14"/>
        <w:rPr>
          <w:color w:val="000099"/>
        </w:rPr>
      </w:pPr>
    </w:p>
    <w:p w14:paraId="3D0C5A58" w14:textId="77777777" w:rsidR="004C74F7" w:rsidRDefault="00AF5C72">
      <w:pPr>
        <w:ind w:left="2" w:right="1599" w:firstLine="14"/>
      </w:pPr>
      <w:r>
        <w:rPr>
          <w:b/>
        </w:rPr>
        <w:t xml:space="preserve">Palavras–chave: </w:t>
      </w:r>
      <w:r w:rsidR="001E305A" w:rsidRPr="009312C0">
        <w:rPr>
          <w:bCs/>
        </w:rPr>
        <w:t>Biotecnologia, manipulação cromossômica, poliploides</w:t>
      </w:r>
      <w:r>
        <w:t xml:space="preserve">. </w:t>
      </w:r>
      <w:r>
        <w:rPr>
          <w:rFonts w:ascii="Times New Roman" w:eastAsia="Times New Roman" w:hAnsi="Times New Roman" w:cs="Times New Roman"/>
        </w:rPr>
        <w:t xml:space="preserve"> </w:t>
      </w:r>
    </w:p>
    <w:p w14:paraId="1DF2AB07" w14:textId="77777777" w:rsidR="001C55D3" w:rsidRDefault="001C55D3">
      <w:pPr>
        <w:spacing w:after="0" w:line="259" w:lineRule="auto"/>
        <w:ind w:left="4268" w:right="0" w:firstLine="0"/>
        <w:jc w:val="left"/>
      </w:pPr>
    </w:p>
    <w:p w14:paraId="0197E2D8" w14:textId="77777777" w:rsidR="004C74F7" w:rsidRDefault="00AF5C72">
      <w:pPr>
        <w:pStyle w:val="Ttulo1"/>
        <w:ind w:left="12"/>
      </w:pPr>
      <w:r>
        <w:t>INTRODUÇÃO</w:t>
      </w:r>
      <w:r>
        <w:rPr>
          <w:rFonts w:ascii="Times New Roman" w:eastAsia="Times New Roman" w:hAnsi="Times New Roman" w:cs="Times New Roman"/>
          <w:b w:val="0"/>
        </w:rPr>
        <w:t xml:space="preserve"> </w:t>
      </w:r>
    </w:p>
    <w:p w14:paraId="3AE62DE5" w14:textId="77777777" w:rsidR="001E305A" w:rsidRDefault="001E305A" w:rsidP="001E305A">
      <w:r>
        <w:rPr>
          <w:color w:val="auto"/>
        </w:rPr>
        <w:t>A piscicultura</w:t>
      </w:r>
      <w:r w:rsidRPr="00BC55F5">
        <w:rPr>
          <w:color w:val="auto"/>
        </w:rPr>
        <w:t xml:space="preserve"> </w:t>
      </w:r>
      <w:r>
        <w:t xml:space="preserve">nacional vem apresentando um crescimento contínuo ao longo das últimas décadas. Em 2021, a produção atingiu 841.005 mil toneladas, o que representa um aumento de 4,7% em relação ao ano anterior (PEIXE BR, </w:t>
      </w:r>
      <w:r>
        <w:lastRenderedPageBreak/>
        <w:t xml:space="preserve">2022). No entanto, o potencial de produção do Brasil ainda é imenso e as instituições de pesquisa tem um importante papel neste processo, pois através delas é possível melhorar a qualidade genética dos animais produzidos, propiciando maior resistência a doenças, crescimento, qualidade da carne, etc. </w:t>
      </w:r>
    </w:p>
    <w:p w14:paraId="2B7B713A" w14:textId="77777777" w:rsidR="001E305A" w:rsidRPr="00CA01BF" w:rsidRDefault="001E305A" w:rsidP="001E305A">
      <w:r>
        <w:t xml:space="preserve">Neste aspecto, o emprego da Biotecnologia aplicada, como a manipulação cromossômica, é um passo imprescindível para alcançar esses objetivos e suprir a crescente demanda. </w:t>
      </w:r>
      <w:r w:rsidRPr="00674B13">
        <w:t xml:space="preserve">Em especial, vale citar a produção </w:t>
      </w:r>
      <w:r w:rsidRPr="00CA01BF">
        <w:t>de peixes triploides</w:t>
      </w:r>
      <w:r>
        <w:t xml:space="preserve">. Como apresentam três conjuntos de cromossomos, tais animais geralmente são estéreis, o que propicia várias vantagens como maior crescimento, qualidade da carne, redução na agressividade e menor risco de impactos ambientais quando escapes ocorrem no ambiente (PIFERRER et al., 2009). Para indução de peixes triploides, são geralmente aplicados choques de temperatura, químico ou de pressão com o objetivo de inibir a liberação do segundo corpúsculo polar. No entanto, os protocolos nem sempre são 100% eficazes e muitas vezes ocorre queda na sobrevivência. </w:t>
      </w:r>
    </w:p>
    <w:p w14:paraId="39B38481" w14:textId="77777777" w:rsidR="001E305A" w:rsidRDefault="001E305A" w:rsidP="001E305A">
      <w:r>
        <w:t>Como alternativa, uma estratégia interessante é utilizar peixes tetraploides, indivíduos que possuem quatro conjuntos de cromossomos (NASCIMENTO et al., 2020). Assim, caso produzam gametas diploides, tetraploides podem ser utilizados para produção em massa de triploides (NASCIMENTO et al., 2020). Tais animais também são induzidos utilizado choques de temperatura, químico ou pressão (PIFERRER et al., 2009). No entanto, o objetivo agora é inibir a primeira divisão celular ou clivagem, gerando zigotos com quatro conjunto de cromossomos (DUNHAM, 2004)</w:t>
      </w:r>
    </w:p>
    <w:p w14:paraId="36EF18D0" w14:textId="77777777" w:rsidR="001E305A" w:rsidRDefault="001E305A" w:rsidP="001E305A">
      <w:r>
        <w:t xml:space="preserve">Após a indução, é necessário a identificação dos peixes poliploides e várias técnicas podem ser empregadas, como esfregaço sanguíneo, citogenética e citometria de fluxo (PIFERRER et al., 2009). Destas, o esfregaço apresenta vantagens como facilidade e baixo custo. Como animais triploides ou tetraploides apresentam núcleos maiores (devido a maior quantidade de DNA) basta medi-los para separar as diferentes ploidias (DUNHAM, 2004). No entanto, uma desvantagem do esfregaço sanguíneo é grande tempo dispensado nas medidas dos eritrócitos, assim, ferramentas que facilitam esse processo são necessárias. </w:t>
      </w:r>
    </w:p>
    <w:p w14:paraId="0D97B623" w14:textId="77777777" w:rsidR="001E305A" w:rsidRDefault="001E305A" w:rsidP="001E305A">
      <w:r>
        <w:t>Dentre os peixes mais utilizados para produção de poliploides está o lambari (</w:t>
      </w:r>
      <w:proofErr w:type="spellStart"/>
      <w:r w:rsidRPr="003E3247">
        <w:rPr>
          <w:i/>
          <w:iCs/>
        </w:rPr>
        <w:t>Astyanax</w:t>
      </w:r>
      <w:proofErr w:type="spellEnd"/>
      <w:r w:rsidRPr="003E3247">
        <w:rPr>
          <w:i/>
          <w:iCs/>
        </w:rPr>
        <w:t xml:space="preserve"> </w:t>
      </w:r>
      <w:proofErr w:type="spellStart"/>
      <w:r>
        <w:rPr>
          <w:i/>
          <w:iCs/>
        </w:rPr>
        <w:t>lacustris</w:t>
      </w:r>
      <w:proofErr w:type="spellEnd"/>
      <w:r>
        <w:t xml:space="preserve">) também conhecido como piaba, uma espécie que vem ganhando destaque em biologia básica e aplicada, além de ter grande potencial para aquicultura, seja seu uso em petisco ou isca-viva (YASUI et al., 2020).  Nesta espécie, choque de temperatura foi utilizado para induzir peixes triploides (ADAMOV et al., 2017), sendo depois observado que as fêmeas são estéreis e apresentam maior rendimento de carcaça (NASCIMENTO et al., 2017).  Tetraploides também foram obtidos, os quais foram capazes de produzir gametas diploides e originar lotes 100% triploides (NASCIMENTO et al., 2020). </w:t>
      </w:r>
    </w:p>
    <w:p w14:paraId="103316A3" w14:textId="2DEC41C1" w:rsidR="004C74F7" w:rsidRDefault="001E305A" w:rsidP="001E305A">
      <w:pPr>
        <w:ind w:left="2" w:right="1599"/>
      </w:pPr>
      <w:r>
        <w:t xml:space="preserve">Portanto, este trabalho </w:t>
      </w:r>
      <w:r w:rsidR="00157F7F">
        <w:t xml:space="preserve">teve </w:t>
      </w:r>
      <w:r>
        <w:t xml:space="preserve">como objetivo utilizar o esfregaço sanguíneo e o software </w:t>
      </w:r>
      <w:proofErr w:type="spellStart"/>
      <w:r>
        <w:t>imageJ</w:t>
      </w:r>
      <w:proofErr w:type="spellEnd"/>
      <w:r>
        <w:t xml:space="preserve"> ® </w:t>
      </w:r>
      <w:r w:rsidR="00157F7F">
        <w:t>como melhor alternativa</w:t>
      </w:r>
      <w:r w:rsidR="00370535">
        <w:t xml:space="preserve"> </w:t>
      </w:r>
      <w:r>
        <w:t>para medição automática dos núcleos e identificação de peixes diploides, triploides e tetraploides de lambari (</w:t>
      </w:r>
      <w:r w:rsidRPr="00413EFD">
        <w:rPr>
          <w:i/>
          <w:iCs/>
        </w:rPr>
        <w:t xml:space="preserve">A. </w:t>
      </w:r>
      <w:proofErr w:type="spellStart"/>
      <w:r>
        <w:rPr>
          <w:i/>
          <w:iCs/>
        </w:rPr>
        <w:t>lacustris</w:t>
      </w:r>
      <w:proofErr w:type="spellEnd"/>
      <w:r>
        <w:t xml:space="preserve">). </w:t>
      </w:r>
      <w:r>
        <w:rPr>
          <w:rFonts w:ascii="Times New Roman" w:eastAsia="Times New Roman" w:hAnsi="Times New Roman" w:cs="Times New Roman"/>
        </w:rPr>
        <w:t xml:space="preserve"> </w:t>
      </w:r>
    </w:p>
    <w:p w14:paraId="561702F1" w14:textId="7E847AF0" w:rsidR="004C74F7" w:rsidRDefault="00AF5C72">
      <w:pPr>
        <w:pStyle w:val="Ttulo1"/>
        <w:ind w:left="12"/>
      </w:pPr>
      <w:r>
        <w:lastRenderedPageBreak/>
        <w:t>MATERIAL E MÉTODOS</w:t>
      </w:r>
      <w:r>
        <w:rPr>
          <w:rFonts w:ascii="Times New Roman" w:eastAsia="Times New Roman" w:hAnsi="Times New Roman" w:cs="Times New Roman"/>
          <w:b w:val="0"/>
        </w:rPr>
        <w:t xml:space="preserve"> </w:t>
      </w:r>
    </w:p>
    <w:p w14:paraId="4BD8C5FF" w14:textId="73757048" w:rsidR="004C74F7" w:rsidRDefault="001E305A" w:rsidP="00AF2FC7">
      <w:pPr>
        <w:ind w:left="2" w:right="1599"/>
      </w:pPr>
      <w:r>
        <w:t>Este trabalho foi realizado em parceria com o Centro Nacional de Pesquisa e Conservação da Biodiversidade Aquática Continental/Instituto Chico Mendes de Conservação da Biodiversidade (CEPTA/</w:t>
      </w:r>
      <w:proofErr w:type="spellStart"/>
      <w:r>
        <w:t>ICMBio</w:t>
      </w:r>
      <w:proofErr w:type="spellEnd"/>
      <w:r>
        <w:t xml:space="preserve">), Pirassununga, São Paulo. Os procedimentos foram executados após aprovação do comitê de ética </w:t>
      </w:r>
      <w:r w:rsidRPr="003501C5">
        <w:t>(CEUA// CEPTA#0231.000070/2018-63).</w:t>
      </w:r>
      <w:r>
        <w:t xml:space="preserve"> Os peixes poliploides foram induzidos de acordo com </w:t>
      </w:r>
      <w:proofErr w:type="spellStart"/>
      <w:r>
        <w:t>Adamov</w:t>
      </w:r>
      <w:proofErr w:type="spellEnd"/>
      <w:r>
        <w:t xml:space="preserve"> et al (2017) e Nascimento et al (2020). Brevemente, triploides e tetraploides foram obtidos utilizando choque </w:t>
      </w:r>
      <w:r w:rsidR="00157F7F">
        <w:t>de</w:t>
      </w:r>
      <w:r w:rsidR="00C477D4">
        <w:rPr>
          <w:rStyle w:val="Refdecomentrio"/>
        </w:rPr>
        <w:t xml:space="preserve"> </w:t>
      </w:r>
      <w:r w:rsidR="00936C1A">
        <w:rPr>
          <w:rStyle w:val="Refdecomentrio"/>
          <w:sz w:val="24"/>
          <w:szCs w:val="24"/>
        </w:rPr>
        <w:t>t</w:t>
      </w:r>
      <w:r>
        <w:t xml:space="preserve">emperatura (40°C; 2 minutos) com dois minutos e 26 minutos pós-fertilização, respectivamente. Foram utilizados 10 </w:t>
      </w:r>
      <w:r w:rsidR="00157F7F">
        <w:t>peixes</w:t>
      </w:r>
      <w:r w:rsidR="006C3B43">
        <w:t xml:space="preserve"> </w:t>
      </w:r>
      <w:r>
        <w:t xml:space="preserve">diploides, 10 </w:t>
      </w:r>
      <w:r w:rsidR="00D67008">
        <w:t>peixes</w:t>
      </w:r>
      <w:r w:rsidR="006C3B43">
        <w:t xml:space="preserve"> </w:t>
      </w:r>
      <w:r>
        <w:t xml:space="preserve">triploides e 3 </w:t>
      </w:r>
      <w:r w:rsidR="00157F7F">
        <w:t>peixes</w:t>
      </w:r>
      <w:r w:rsidR="006C3B43">
        <w:t xml:space="preserve"> </w:t>
      </w:r>
      <w:r>
        <w:t>tetraploides com oito meses de idade. Para coleta de sangue, os animais foram anestesiados em solução de Eugenol (1 g.L</w:t>
      </w:r>
      <w:r w:rsidRPr="004F1087">
        <w:rPr>
          <w:vertAlign w:val="superscript"/>
        </w:rPr>
        <w:t>-1</w:t>
      </w:r>
      <w:r>
        <w:t xml:space="preserve">) e o sangue coletado da região caudal com o auxílio de uma seringa (1 </w:t>
      </w:r>
      <w:proofErr w:type="spellStart"/>
      <w:r>
        <w:t>mL</w:t>
      </w:r>
      <w:proofErr w:type="spellEnd"/>
      <w:r>
        <w:t xml:space="preserve">) contendo uma gota de EDTA (5%). Posteriormente, esfregaços sanguíneos foram confeccionados, corados com o Kit PANÓTIPO (apenas para coloração dos núcleos) e observados em microscópio óptico (Nikon, Japão) em aumento de 400x. Figuras foram então obtidas e analisadas no software </w:t>
      </w:r>
      <w:proofErr w:type="spellStart"/>
      <w:r>
        <w:t>imageJ</w:t>
      </w:r>
      <w:proofErr w:type="spellEnd"/>
      <w:r>
        <w:t xml:space="preserve"> </w:t>
      </w:r>
      <w:r w:rsidRPr="003E7523">
        <w:rPr>
          <w:sz w:val="32"/>
          <w:szCs w:val="32"/>
        </w:rPr>
        <w:t>®</w:t>
      </w:r>
      <w:r>
        <w:rPr>
          <w:sz w:val="32"/>
          <w:szCs w:val="32"/>
        </w:rPr>
        <w:t xml:space="preserve"> </w:t>
      </w:r>
      <w:r w:rsidRPr="003E7523">
        <w:t>(</w:t>
      </w:r>
      <w:proofErr w:type="spellStart"/>
      <w:r w:rsidRPr="003E7523">
        <w:t>National</w:t>
      </w:r>
      <w:proofErr w:type="spellEnd"/>
      <w:r w:rsidRPr="003E7523">
        <w:t xml:space="preserve"> </w:t>
      </w:r>
      <w:proofErr w:type="spellStart"/>
      <w:r w:rsidRPr="003E7523">
        <w:t>Institutes</w:t>
      </w:r>
      <w:proofErr w:type="spellEnd"/>
      <w:r w:rsidRPr="003E7523">
        <w:t xml:space="preserve"> </w:t>
      </w:r>
      <w:proofErr w:type="spellStart"/>
      <w:r w:rsidRPr="003E7523">
        <w:t>of</w:t>
      </w:r>
      <w:proofErr w:type="spellEnd"/>
      <w:r w:rsidRPr="003E7523">
        <w:t xml:space="preserve"> Health, USA, </w:t>
      </w:r>
      <w:r w:rsidRPr="00105956">
        <w:t>http://rsb.info.nih.gov/ij/</w:t>
      </w:r>
      <w:r w:rsidRPr="003E7523">
        <w:t>)</w:t>
      </w:r>
      <w:r>
        <w:t xml:space="preserve">. Após </w:t>
      </w:r>
      <w:r w:rsidR="0065010F">
        <w:t>a</w:t>
      </w:r>
      <w:r>
        <w:t xml:space="preserve"> padronização </w:t>
      </w:r>
      <w:r w:rsidR="00157F7F">
        <w:t>das variáveis</w:t>
      </w:r>
      <w:r w:rsidR="0065010F">
        <w:rPr>
          <w:rStyle w:val="Refdecomentrio"/>
        </w:rPr>
        <w:t xml:space="preserve"> </w:t>
      </w:r>
      <w:r>
        <w:t>medição, praticamente todos os núcleos de cada imagem foram mensurados. Foram medidos a área, perímetro, eixo maior e eixo menor. Para confirmar os resultados de ploidia, uma amostra de nadadeira de cada animal foi analisada em citometria de fluxo utilizado o corante fluorescente DAPI (</w:t>
      </w:r>
      <w:r w:rsidRPr="00F815EC">
        <w:t>4,6-diamidino-2-phenylindole</w:t>
      </w:r>
      <w:r>
        <w:t xml:space="preserve">) e analisado em </w:t>
      </w:r>
      <w:proofErr w:type="spellStart"/>
      <w:r>
        <w:t>citômetro</w:t>
      </w:r>
      <w:proofErr w:type="spellEnd"/>
      <w:r>
        <w:t xml:space="preserve"> de fluxo </w:t>
      </w:r>
      <w:r w:rsidRPr="00F815EC">
        <w:t>(</w:t>
      </w:r>
      <w:proofErr w:type="spellStart"/>
      <w:r w:rsidRPr="00F815EC">
        <w:t>CyFlow</w:t>
      </w:r>
      <w:proofErr w:type="spellEnd"/>
      <w:r w:rsidRPr="00F815EC">
        <w:t xml:space="preserve"> </w:t>
      </w:r>
      <w:proofErr w:type="spellStart"/>
      <w:r w:rsidRPr="00F815EC">
        <w:t>Ploidy</w:t>
      </w:r>
      <w:proofErr w:type="spellEnd"/>
      <w:r w:rsidRPr="00F815EC">
        <w:t xml:space="preserve"> </w:t>
      </w:r>
      <w:proofErr w:type="spellStart"/>
      <w:proofErr w:type="gramStart"/>
      <w:r w:rsidRPr="00F815EC">
        <w:t>Analyzer,Partec</w:t>
      </w:r>
      <w:proofErr w:type="spellEnd"/>
      <w:proofErr w:type="gramEnd"/>
      <w:r w:rsidRPr="00F815EC">
        <w:t xml:space="preserve">, </w:t>
      </w:r>
      <w:proofErr w:type="spellStart"/>
      <w:r w:rsidRPr="00F815EC">
        <w:t>GMBh</w:t>
      </w:r>
      <w:proofErr w:type="spellEnd"/>
      <w:r w:rsidRPr="00F815EC">
        <w:t xml:space="preserve">, </w:t>
      </w:r>
      <w:r>
        <w:t>Alemanha</w:t>
      </w:r>
      <w:r w:rsidRPr="00F815EC">
        <w:t>).</w:t>
      </w:r>
      <w:r>
        <w:t xml:space="preserve"> Portanto, somente peixes confirmados como diploides, triploides e tetraploides foram utilizados.  Ao final</w:t>
      </w:r>
      <w:r w:rsidR="004369A9">
        <w:t>,</w:t>
      </w:r>
      <w:r>
        <w:t xml:space="preserve"> os dados foram submetidos a análise de variância (ANOVA) seguida pelo teste de </w:t>
      </w:r>
      <w:proofErr w:type="spellStart"/>
      <w:r w:rsidR="00B23D80">
        <w:t>T</w:t>
      </w:r>
      <w:r>
        <w:t>ukey</w:t>
      </w:r>
      <w:proofErr w:type="spellEnd"/>
      <w:r>
        <w:t xml:space="preserve"> (5%). O software STATISTICA (v. 10, </w:t>
      </w:r>
      <w:proofErr w:type="spellStart"/>
      <w:r>
        <w:t>StatSoft</w:t>
      </w:r>
      <w:proofErr w:type="spellEnd"/>
      <w:r>
        <w:t xml:space="preserve">) foi utilizado. </w:t>
      </w:r>
      <w:r>
        <w:rPr>
          <w:rFonts w:ascii="Times New Roman" w:eastAsia="Times New Roman" w:hAnsi="Times New Roman" w:cs="Times New Roman"/>
        </w:rPr>
        <w:t xml:space="preserve"> </w:t>
      </w:r>
    </w:p>
    <w:p w14:paraId="5630976F" w14:textId="77777777" w:rsidR="001C55D3" w:rsidRDefault="001C55D3">
      <w:pPr>
        <w:pStyle w:val="Ttulo1"/>
        <w:ind w:left="12"/>
      </w:pPr>
    </w:p>
    <w:p w14:paraId="212E6853" w14:textId="77777777" w:rsidR="004C74F7" w:rsidRDefault="00AF5C72">
      <w:pPr>
        <w:pStyle w:val="Ttulo1"/>
        <w:ind w:left="12"/>
      </w:pPr>
      <w:r>
        <w:t>RESULTADOS E DISCUSSÃO</w:t>
      </w:r>
      <w:r>
        <w:rPr>
          <w:rFonts w:ascii="Times New Roman" w:eastAsia="Times New Roman" w:hAnsi="Times New Roman" w:cs="Times New Roman"/>
          <w:b w:val="0"/>
        </w:rPr>
        <w:t xml:space="preserve"> </w:t>
      </w:r>
    </w:p>
    <w:p w14:paraId="0C64FA51" w14:textId="35A02D46" w:rsidR="001E305A" w:rsidRPr="00AF2FC7" w:rsidRDefault="001E305A" w:rsidP="00C477D4">
      <w:pPr>
        <w:pStyle w:val="Ttulo1"/>
        <w:ind w:right="1574"/>
        <w:jc w:val="both"/>
        <w:rPr>
          <w:b w:val="0"/>
        </w:rPr>
      </w:pPr>
      <w:r>
        <w:t xml:space="preserve">        </w:t>
      </w:r>
      <w:r w:rsidRPr="00AF2FC7">
        <w:rPr>
          <w:b w:val="0"/>
        </w:rPr>
        <w:t xml:space="preserve">O uso do </w:t>
      </w:r>
      <w:proofErr w:type="spellStart"/>
      <w:r w:rsidRPr="00AF2FC7">
        <w:rPr>
          <w:b w:val="0"/>
        </w:rPr>
        <w:t>imageJ</w:t>
      </w:r>
      <w:proofErr w:type="spellEnd"/>
      <w:r w:rsidRPr="00AF2FC7">
        <w:rPr>
          <w:b w:val="0"/>
        </w:rPr>
        <w:t xml:space="preserve"> ® para medição automática dos núcleos dos eritrócitos foi eficiente, garantindo um grande número de dados em pouco tempo. Os resultados mostraram que os eritrócitos de peixes triploides e </w:t>
      </w:r>
      <w:proofErr w:type="spellStart"/>
      <w:r w:rsidRPr="00AF2FC7">
        <w:rPr>
          <w:b w:val="0"/>
        </w:rPr>
        <w:t>tetraplodies</w:t>
      </w:r>
      <w:proofErr w:type="spellEnd"/>
      <w:r w:rsidRPr="00AF2FC7">
        <w:rPr>
          <w:b w:val="0"/>
        </w:rPr>
        <w:t xml:space="preserve"> de </w:t>
      </w:r>
      <w:r w:rsidRPr="00AF2FC7">
        <w:rPr>
          <w:b w:val="0"/>
          <w:i/>
          <w:iCs/>
        </w:rPr>
        <w:t xml:space="preserve">A. </w:t>
      </w:r>
      <w:proofErr w:type="spellStart"/>
      <w:r w:rsidRPr="00AF2FC7">
        <w:rPr>
          <w:b w:val="0"/>
          <w:i/>
          <w:iCs/>
        </w:rPr>
        <w:t>lacustris</w:t>
      </w:r>
      <w:proofErr w:type="spellEnd"/>
      <w:r w:rsidRPr="00AF2FC7">
        <w:rPr>
          <w:b w:val="0"/>
        </w:rPr>
        <w:t xml:space="preserve"> apresentaram núcleo com área perímetro, eixo maior</w:t>
      </w:r>
      <w:r w:rsidR="00AF2FC7">
        <w:rPr>
          <w:rFonts w:ascii="Segoe UI" w:hAnsi="Segoe UI" w:cs="Segoe UI"/>
          <w:color w:val="404040"/>
        </w:rPr>
        <w:t xml:space="preserve"> </w:t>
      </w:r>
      <w:r w:rsidRPr="00AF2FC7">
        <w:rPr>
          <w:b w:val="0"/>
        </w:rPr>
        <w:t>e eixo menor</w:t>
      </w:r>
      <w:r w:rsidR="00AF2FC7">
        <w:rPr>
          <w:rFonts w:ascii="Segoe UI" w:hAnsi="Segoe UI" w:cs="Segoe UI"/>
          <w:color w:val="404040"/>
        </w:rPr>
        <w:t xml:space="preserve">, </w:t>
      </w:r>
      <w:r w:rsidRPr="00AF2FC7">
        <w:rPr>
          <w:b w:val="0"/>
        </w:rPr>
        <w:t>significativamente maior do que os diploides (Tabela 1; P &lt; 0,05). O eixo maior foi o único parâmetro que apresentou diferença entre triploides e tetraploides (</w:t>
      </w:r>
      <w:r w:rsidRPr="00AF2FC7">
        <w:rPr>
          <w:b w:val="0"/>
          <w:i/>
          <w:iCs/>
        </w:rPr>
        <w:t>P</w:t>
      </w:r>
      <w:r w:rsidRPr="00AF2FC7">
        <w:rPr>
          <w:b w:val="0"/>
        </w:rPr>
        <w:t xml:space="preserve"> = 0,0000). Peixes poliploides apresentam células e núcleos maiores e vários autores </w:t>
      </w:r>
      <w:r w:rsidR="00147243">
        <w:rPr>
          <w:b w:val="0"/>
        </w:rPr>
        <w:t>(</w:t>
      </w:r>
      <w:r w:rsidR="00B25EAB">
        <w:rPr>
          <w:b w:val="0"/>
        </w:rPr>
        <w:t>FUKUSHIMA</w:t>
      </w:r>
      <w:r w:rsidR="00147243" w:rsidRPr="00147243">
        <w:rPr>
          <w:b w:val="0"/>
        </w:rPr>
        <w:t xml:space="preserve"> et al., 2012</w:t>
      </w:r>
      <w:r w:rsidR="00147243">
        <w:rPr>
          <w:b w:val="0"/>
        </w:rPr>
        <w:t xml:space="preserve">) </w:t>
      </w:r>
      <w:r w:rsidRPr="00AF2FC7">
        <w:rPr>
          <w:b w:val="0"/>
        </w:rPr>
        <w:t>já utilizaram essa técnica para identificar tais animais (PIFERRER et al., 2009). No entanto, como a maioria dos estudos utiliza</w:t>
      </w:r>
      <w:r w:rsidR="00B23D80">
        <w:rPr>
          <w:b w:val="0"/>
        </w:rPr>
        <w:t>-se</w:t>
      </w:r>
      <w:r w:rsidRPr="00AF2FC7">
        <w:rPr>
          <w:b w:val="0"/>
        </w:rPr>
        <w:t xml:space="preserve"> análise manual, a qual é trabalhosa e demanda muito tempo, o método utilizado neste trabalho foi eficiente, permitindo medir centenas de núcleos em poucos segundos.</w:t>
      </w:r>
    </w:p>
    <w:p w14:paraId="18E3B7D1" w14:textId="77777777" w:rsidR="004C74F7" w:rsidRDefault="004C74F7" w:rsidP="00AF2FC7">
      <w:pPr>
        <w:ind w:left="0" w:right="1599" w:firstLine="0"/>
      </w:pPr>
    </w:p>
    <w:p w14:paraId="730F7DDA" w14:textId="77777777" w:rsidR="001C55D3" w:rsidRDefault="00AF5C72">
      <w:pPr>
        <w:spacing w:after="8" w:line="250" w:lineRule="auto"/>
        <w:ind w:left="29" w:right="1598" w:hanging="27"/>
        <w:rPr>
          <w:szCs w:val="24"/>
        </w:rPr>
      </w:pPr>
      <w:r>
        <w:rPr>
          <w:b/>
          <w:sz w:val="22"/>
        </w:rPr>
        <w:t xml:space="preserve">Tabela 1. </w:t>
      </w:r>
      <w:bookmarkStart w:id="1" w:name="_Hlk111417067"/>
      <w:r w:rsidR="001C55D3" w:rsidRPr="0045538E">
        <w:rPr>
          <w:szCs w:val="24"/>
        </w:rPr>
        <w:t xml:space="preserve">Medidas nucleares dos eritrócitos de peixes diploides, triploides e tetraploides de </w:t>
      </w:r>
      <w:proofErr w:type="spellStart"/>
      <w:r w:rsidR="001C55D3" w:rsidRPr="0045538E">
        <w:rPr>
          <w:i/>
          <w:szCs w:val="24"/>
        </w:rPr>
        <w:t>Astyanax</w:t>
      </w:r>
      <w:proofErr w:type="spellEnd"/>
      <w:r w:rsidR="001C55D3" w:rsidRPr="0045538E">
        <w:rPr>
          <w:i/>
          <w:szCs w:val="24"/>
        </w:rPr>
        <w:t xml:space="preserve"> </w:t>
      </w:r>
      <w:r w:rsidR="001C55D3">
        <w:rPr>
          <w:i/>
          <w:iCs/>
        </w:rPr>
        <w:t>lacustres</w:t>
      </w:r>
      <w:bookmarkEnd w:id="1"/>
      <w:r w:rsidR="001C55D3">
        <w:rPr>
          <w:i/>
          <w:iCs/>
        </w:rPr>
        <w:t>.</w:t>
      </w:r>
    </w:p>
    <w:p w14:paraId="345C057D" w14:textId="77777777" w:rsidR="001C55D3" w:rsidRPr="001C55D3" w:rsidRDefault="001C55D3" w:rsidP="001C55D3">
      <w:pPr>
        <w:spacing w:after="8" w:line="250" w:lineRule="auto"/>
        <w:ind w:left="29" w:right="1598" w:hanging="27"/>
        <w:rPr>
          <w:color w:val="000099"/>
          <w:u w:val="single" w:color="000099"/>
        </w:rPr>
      </w:pPr>
    </w:p>
    <w:tbl>
      <w:tblPr>
        <w:tblStyle w:val="TableGrid"/>
        <w:tblW w:w="8647" w:type="dxa"/>
        <w:tblInd w:w="0" w:type="dxa"/>
        <w:tblCellMar>
          <w:top w:w="10" w:type="dxa"/>
          <w:right w:w="115" w:type="dxa"/>
        </w:tblCellMar>
        <w:tblLook w:val="04A0" w:firstRow="1" w:lastRow="0" w:firstColumn="1" w:lastColumn="0" w:noHBand="0" w:noVBand="1"/>
      </w:tblPr>
      <w:tblGrid>
        <w:gridCol w:w="1709"/>
        <w:gridCol w:w="1144"/>
        <w:gridCol w:w="1143"/>
        <w:gridCol w:w="1253"/>
        <w:gridCol w:w="1668"/>
        <w:gridCol w:w="1730"/>
      </w:tblGrid>
      <w:tr w:rsidR="00100CD1" w14:paraId="4AC3BBA8" w14:textId="77777777" w:rsidTr="00251F6D">
        <w:trPr>
          <w:trHeight w:val="254"/>
        </w:trPr>
        <w:tc>
          <w:tcPr>
            <w:tcW w:w="1704" w:type="dxa"/>
            <w:tcBorders>
              <w:top w:val="single" w:sz="4" w:space="0" w:color="7F7F7F"/>
              <w:left w:val="nil"/>
              <w:bottom w:val="single" w:sz="4" w:space="0" w:color="7F7F7F"/>
              <w:right w:val="nil"/>
            </w:tcBorders>
          </w:tcPr>
          <w:p w14:paraId="494B5876" w14:textId="77777777" w:rsidR="00100CD1" w:rsidRDefault="00100CD1" w:rsidP="0009377F">
            <w:pPr>
              <w:spacing w:after="0" w:line="259" w:lineRule="auto"/>
              <w:ind w:left="386" w:right="0" w:firstLine="0"/>
              <w:jc w:val="left"/>
            </w:pPr>
            <w:r w:rsidRPr="009312C0">
              <w:rPr>
                <w:b/>
              </w:rPr>
              <w:t>Parâmetro</w:t>
            </w:r>
          </w:p>
        </w:tc>
        <w:tc>
          <w:tcPr>
            <w:tcW w:w="1144" w:type="dxa"/>
            <w:tcBorders>
              <w:top w:val="single" w:sz="4" w:space="0" w:color="7F7F7F"/>
              <w:left w:val="nil"/>
              <w:bottom w:val="single" w:sz="4" w:space="0" w:color="7F7F7F"/>
              <w:right w:val="nil"/>
            </w:tcBorders>
          </w:tcPr>
          <w:p w14:paraId="6A8D8EB7" w14:textId="77777777" w:rsidR="00100CD1" w:rsidRDefault="00100CD1" w:rsidP="0009377F">
            <w:pPr>
              <w:spacing w:after="0" w:line="259" w:lineRule="auto"/>
              <w:ind w:left="0" w:right="0" w:firstLine="0"/>
              <w:jc w:val="left"/>
            </w:pPr>
            <w:r>
              <w:rPr>
                <w:b/>
              </w:rPr>
              <w:t xml:space="preserve">       </w:t>
            </w:r>
            <w:r w:rsidRPr="009312C0">
              <w:rPr>
                <w:b/>
              </w:rPr>
              <w:t>2n</w:t>
            </w:r>
          </w:p>
        </w:tc>
        <w:tc>
          <w:tcPr>
            <w:tcW w:w="1143" w:type="dxa"/>
            <w:tcBorders>
              <w:top w:val="single" w:sz="4" w:space="0" w:color="7F7F7F"/>
              <w:left w:val="nil"/>
              <w:bottom w:val="single" w:sz="4" w:space="0" w:color="7F7F7F"/>
              <w:right w:val="nil"/>
            </w:tcBorders>
            <w:vAlign w:val="center"/>
          </w:tcPr>
          <w:p w14:paraId="53A8F93E" w14:textId="7135EF42" w:rsidR="00100CD1" w:rsidRDefault="00100CD1" w:rsidP="0009377F">
            <w:pPr>
              <w:spacing w:after="0" w:line="259" w:lineRule="auto"/>
              <w:ind w:left="0" w:right="0" w:firstLine="0"/>
              <w:jc w:val="left"/>
            </w:pPr>
            <w:r>
              <w:rPr>
                <w:b/>
              </w:rPr>
              <w:t xml:space="preserve">      </w:t>
            </w:r>
            <w:r w:rsidRPr="001B6F7D">
              <w:rPr>
                <w:b/>
                <w:highlight w:val="yellow"/>
              </w:rPr>
              <w:t>3n</w:t>
            </w:r>
          </w:p>
        </w:tc>
        <w:tc>
          <w:tcPr>
            <w:tcW w:w="1254" w:type="dxa"/>
            <w:tcBorders>
              <w:top w:val="single" w:sz="4" w:space="0" w:color="7F7F7F"/>
              <w:left w:val="nil"/>
              <w:bottom w:val="single" w:sz="4" w:space="0" w:color="7F7F7F"/>
              <w:right w:val="nil"/>
            </w:tcBorders>
          </w:tcPr>
          <w:p w14:paraId="146E958B" w14:textId="77777777" w:rsidR="00100CD1" w:rsidRDefault="00100CD1" w:rsidP="0009377F">
            <w:pPr>
              <w:spacing w:after="0" w:line="259" w:lineRule="auto"/>
              <w:ind w:left="0" w:right="0" w:firstLine="0"/>
              <w:jc w:val="left"/>
            </w:pPr>
            <w:r>
              <w:rPr>
                <w:b/>
              </w:rPr>
              <w:t xml:space="preserve">      </w:t>
            </w:r>
            <w:r w:rsidRPr="009312C0">
              <w:rPr>
                <w:b/>
              </w:rPr>
              <w:t>4n</w:t>
            </w:r>
          </w:p>
        </w:tc>
        <w:tc>
          <w:tcPr>
            <w:tcW w:w="1670" w:type="dxa"/>
            <w:tcBorders>
              <w:top w:val="single" w:sz="4" w:space="0" w:color="7F7F7F"/>
              <w:left w:val="nil"/>
              <w:bottom w:val="single" w:sz="4" w:space="0" w:color="7F7F7F"/>
              <w:right w:val="nil"/>
            </w:tcBorders>
          </w:tcPr>
          <w:p w14:paraId="716BBD0D" w14:textId="77777777" w:rsidR="00100CD1" w:rsidRPr="009312C0" w:rsidRDefault="00100CD1" w:rsidP="0009377F">
            <w:pPr>
              <w:spacing w:after="0" w:line="259" w:lineRule="auto"/>
              <w:ind w:left="0" w:right="0" w:firstLine="0"/>
              <w:jc w:val="center"/>
              <w:rPr>
                <w:b/>
              </w:rPr>
            </w:pPr>
            <w:r w:rsidRPr="009312C0">
              <w:rPr>
                <w:b/>
              </w:rPr>
              <w:t>Incremento</w:t>
            </w:r>
          </w:p>
          <w:p w14:paraId="4D408778" w14:textId="77777777" w:rsidR="00100CD1" w:rsidRDefault="00100CD1" w:rsidP="0009377F">
            <w:pPr>
              <w:spacing w:after="0" w:line="259" w:lineRule="auto"/>
              <w:ind w:left="0" w:right="0" w:firstLine="0"/>
              <w:jc w:val="left"/>
            </w:pPr>
            <w:r>
              <w:rPr>
                <w:b/>
              </w:rPr>
              <w:t xml:space="preserve">    </w:t>
            </w:r>
            <w:r w:rsidRPr="009312C0">
              <w:rPr>
                <w:b/>
              </w:rPr>
              <w:t>3n (%)</w:t>
            </w:r>
          </w:p>
        </w:tc>
        <w:tc>
          <w:tcPr>
            <w:tcW w:w="1732" w:type="dxa"/>
            <w:tcBorders>
              <w:top w:val="single" w:sz="4" w:space="0" w:color="7F7F7F"/>
              <w:left w:val="nil"/>
              <w:bottom w:val="single" w:sz="4" w:space="0" w:color="7F7F7F"/>
              <w:right w:val="nil"/>
            </w:tcBorders>
          </w:tcPr>
          <w:p w14:paraId="3F99E83A" w14:textId="77777777" w:rsidR="00100CD1" w:rsidRPr="009312C0" w:rsidRDefault="0074370E" w:rsidP="00251F6D">
            <w:pPr>
              <w:tabs>
                <w:tab w:val="left" w:pos="1449"/>
              </w:tabs>
              <w:spacing w:after="0" w:line="259" w:lineRule="auto"/>
              <w:ind w:left="0" w:right="30" w:firstLine="0"/>
              <w:rPr>
                <w:b/>
              </w:rPr>
            </w:pPr>
            <w:r>
              <w:rPr>
                <w:b/>
              </w:rPr>
              <w:t xml:space="preserve">    </w:t>
            </w:r>
            <w:r w:rsidR="00100CD1" w:rsidRPr="009312C0">
              <w:rPr>
                <w:b/>
              </w:rPr>
              <w:t>Incremento</w:t>
            </w:r>
          </w:p>
          <w:p w14:paraId="0E6EC68D" w14:textId="77777777" w:rsidR="00100CD1" w:rsidRDefault="00100CD1" w:rsidP="00251F6D">
            <w:pPr>
              <w:spacing w:after="0" w:line="259" w:lineRule="auto"/>
              <w:ind w:left="0" w:right="30" w:firstLine="0"/>
              <w:jc w:val="left"/>
              <w:rPr>
                <w:b/>
              </w:rPr>
            </w:pPr>
            <w:r>
              <w:rPr>
                <w:b/>
              </w:rPr>
              <w:t xml:space="preserve">   </w:t>
            </w:r>
            <w:r w:rsidR="0074370E">
              <w:rPr>
                <w:b/>
              </w:rPr>
              <w:t xml:space="preserve">    </w:t>
            </w:r>
            <w:r w:rsidRPr="009312C0">
              <w:rPr>
                <w:b/>
              </w:rPr>
              <w:t>4n (%)</w:t>
            </w:r>
          </w:p>
        </w:tc>
      </w:tr>
      <w:tr w:rsidR="00100CD1" w14:paraId="59D2E451" w14:textId="77777777" w:rsidTr="00251F6D">
        <w:trPr>
          <w:trHeight w:val="272"/>
        </w:trPr>
        <w:tc>
          <w:tcPr>
            <w:tcW w:w="1704" w:type="dxa"/>
            <w:tcBorders>
              <w:top w:val="single" w:sz="4" w:space="0" w:color="7F7F7F"/>
              <w:left w:val="nil"/>
              <w:bottom w:val="single" w:sz="4" w:space="0" w:color="7F7F7F"/>
              <w:right w:val="nil"/>
            </w:tcBorders>
            <w:vAlign w:val="center"/>
          </w:tcPr>
          <w:p w14:paraId="5202EADB" w14:textId="77777777" w:rsidR="00100CD1" w:rsidRPr="00F911A6" w:rsidRDefault="00100CD1" w:rsidP="007F6F61">
            <w:pPr>
              <w:spacing w:after="0" w:line="259" w:lineRule="auto"/>
              <w:ind w:left="478" w:right="0" w:firstLine="0"/>
              <w:jc w:val="left"/>
              <w:rPr>
                <w:b/>
              </w:rPr>
            </w:pPr>
            <w:r w:rsidRPr="00F911A6">
              <w:rPr>
                <w:b/>
              </w:rPr>
              <w:t>Area (</w:t>
            </w:r>
            <w:r w:rsidRPr="00F911A6">
              <w:rPr>
                <w:rFonts w:eastAsia="Times New Roman"/>
                <w:b/>
              </w:rPr>
              <w:t>µm²)</w:t>
            </w:r>
          </w:p>
        </w:tc>
        <w:tc>
          <w:tcPr>
            <w:tcW w:w="1144" w:type="dxa"/>
            <w:tcBorders>
              <w:top w:val="single" w:sz="4" w:space="0" w:color="7F7F7F"/>
              <w:left w:val="nil"/>
              <w:bottom w:val="single" w:sz="4" w:space="0" w:color="7F7F7F"/>
              <w:right w:val="nil"/>
            </w:tcBorders>
            <w:vAlign w:val="center"/>
          </w:tcPr>
          <w:p w14:paraId="54F8B0B2" w14:textId="77777777" w:rsidR="00100CD1" w:rsidRDefault="00100CD1" w:rsidP="007F6F61">
            <w:pPr>
              <w:spacing w:after="0" w:line="259" w:lineRule="auto"/>
              <w:ind w:left="363" w:right="0" w:firstLine="0"/>
              <w:jc w:val="left"/>
            </w:pPr>
            <w:r w:rsidRPr="0045538E">
              <w:rPr>
                <w:rFonts w:eastAsia="Times New Roman"/>
              </w:rPr>
              <w:t>16,15 ± 0</w:t>
            </w:r>
            <w:r>
              <w:rPr>
                <w:rFonts w:eastAsia="Times New Roman"/>
              </w:rPr>
              <w:t>,</w:t>
            </w:r>
            <w:r w:rsidRPr="0045538E">
              <w:rPr>
                <w:rFonts w:eastAsia="Times New Roman"/>
              </w:rPr>
              <w:t>89</w:t>
            </w:r>
            <w:r w:rsidRPr="0045538E">
              <w:rPr>
                <w:rFonts w:eastAsia="Times New Roman"/>
                <w:vertAlign w:val="superscript"/>
              </w:rPr>
              <w:t>a</w:t>
            </w:r>
          </w:p>
        </w:tc>
        <w:tc>
          <w:tcPr>
            <w:tcW w:w="1143" w:type="dxa"/>
            <w:tcBorders>
              <w:top w:val="single" w:sz="4" w:space="0" w:color="7F7F7F"/>
              <w:left w:val="nil"/>
              <w:bottom w:val="single" w:sz="4" w:space="0" w:color="7F7F7F"/>
              <w:right w:val="nil"/>
            </w:tcBorders>
            <w:vAlign w:val="center"/>
          </w:tcPr>
          <w:p w14:paraId="639F6E09" w14:textId="77777777" w:rsidR="00100CD1" w:rsidRDefault="00100CD1" w:rsidP="007F6F61">
            <w:pPr>
              <w:spacing w:after="0" w:line="259" w:lineRule="auto"/>
              <w:ind w:left="362" w:right="0" w:firstLine="0"/>
              <w:jc w:val="left"/>
            </w:pPr>
            <w:r w:rsidRPr="0045538E">
              <w:rPr>
                <w:rFonts w:eastAsia="Times New Roman"/>
              </w:rPr>
              <w:t>20,84 ± 0.83</w:t>
            </w:r>
            <w:r w:rsidRPr="0045538E">
              <w:rPr>
                <w:rFonts w:eastAsia="Times New Roman"/>
                <w:vertAlign w:val="superscript"/>
              </w:rPr>
              <w:t>b</w:t>
            </w:r>
          </w:p>
        </w:tc>
        <w:tc>
          <w:tcPr>
            <w:tcW w:w="1254" w:type="dxa"/>
            <w:tcBorders>
              <w:top w:val="single" w:sz="4" w:space="0" w:color="7F7F7F"/>
              <w:left w:val="nil"/>
              <w:bottom w:val="single" w:sz="4" w:space="0" w:color="7F7F7F"/>
              <w:right w:val="nil"/>
            </w:tcBorders>
            <w:vAlign w:val="center"/>
          </w:tcPr>
          <w:p w14:paraId="764D3325" w14:textId="77777777" w:rsidR="00100CD1" w:rsidRDefault="00100CD1" w:rsidP="007F6F61">
            <w:pPr>
              <w:spacing w:after="0" w:line="259" w:lineRule="auto"/>
              <w:ind w:left="362" w:right="0" w:firstLine="0"/>
              <w:jc w:val="left"/>
            </w:pPr>
            <w:r w:rsidRPr="0045538E">
              <w:rPr>
                <w:rFonts w:eastAsia="Times New Roman"/>
              </w:rPr>
              <w:t>23,82 ± 0.09</w:t>
            </w:r>
            <w:r w:rsidRPr="0045538E">
              <w:rPr>
                <w:rFonts w:eastAsia="Times New Roman"/>
                <w:vertAlign w:val="superscript"/>
              </w:rPr>
              <w:t>b</w:t>
            </w:r>
          </w:p>
        </w:tc>
        <w:tc>
          <w:tcPr>
            <w:tcW w:w="1670" w:type="dxa"/>
            <w:tcBorders>
              <w:top w:val="single" w:sz="4" w:space="0" w:color="7F7F7F"/>
              <w:left w:val="nil"/>
              <w:bottom w:val="single" w:sz="4" w:space="0" w:color="7F7F7F"/>
              <w:right w:val="nil"/>
            </w:tcBorders>
            <w:vAlign w:val="center"/>
          </w:tcPr>
          <w:p w14:paraId="0AB01785" w14:textId="77777777" w:rsidR="00100CD1" w:rsidRDefault="00100CD1" w:rsidP="007F6F61">
            <w:pPr>
              <w:spacing w:after="0" w:line="259" w:lineRule="auto"/>
              <w:ind w:left="362" w:right="0" w:firstLine="0"/>
              <w:jc w:val="left"/>
            </w:pPr>
            <w:r w:rsidRPr="0045538E">
              <w:rPr>
                <w:rFonts w:eastAsia="Times New Roman"/>
              </w:rPr>
              <w:t>29,04</w:t>
            </w:r>
          </w:p>
        </w:tc>
        <w:tc>
          <w:tcPr>
            <w:tcW w:w="1732" w:type="dxa"/>
            <w:tcBorders>
              <w:top w:val="single" w:sz="4" w:space="0" w:color="7F7F7F"/>
              <w:left w:val="nil"/>
              <w:bottom w:val="single" w:sz="4" w:space="0" w:color="7F7F7F"/>
              <w:right w:val="nil"/>
            </w:tcBorders>
            <w:vAlign w:val="center"/>
          </w:tcPr>
          <w:p w14:paraId="2082ED36" w14:textId="77777777" w:rsidR="00100CD1" w:rsidRDefault="00100CD1" w:rsidP="007F6F61">
            <w:pPr>
              <w:spacing w:after="0" w:line="259" w:lineRule="auto"/>
              <w:ind w:left="362" w:right="0" w:firstLine="0"/>
              <w:jc w:val="left"/>
            </w:pPr>
            <w:r w:rsidRPr="0045538E">
              <w:rPr>
                <w:rFonts w:eastAsia="Times New Roman"/>
              </w:rPr>
              <w:t>47,49</w:t>
            </w:r>
          </w:p>
        </w:tc>
      </w:tr>
      <w:tr w:rsidR="00100CD1" w14:paraId="188E1AA5" w14:textId="77777777" w:rsidTr="00251F6D">
        <w:trPr>
          <w:trHeight w:val="264"/>
        </w:trPr>
        <w:tc>
          <w:tcPr>
            <w:tcW w:w="1704" w:type="dxa"/>
            <w:tcBorders>
              <w:top w:val="single" w:sz="4" w:space="0" w:color="7F7F7F"/>
              <w:left w:val="nil"/>
              <w:bottom w:val="single" w:sz="4" w:space="0" w:color="7F7F7F"/>
              <w:right w:val="nil"/>
            </w:tcBorders>
            <w:vAlign w:val="center"/>
          </w:tcPr>
          <w:p w14:paraId="0A8DDE02" w14:textId="77777777" w:rsidR="00100CD1" w:rsidRPr="00F911A6" w:rsidRDefault="00100CD1" w:rsidP="007F6F61">
            <w:pPr>
              <w:spacing w:after="0" w:line="259" w:lineRule="auto"/>
              <w:ind w:left="473" w:right="0" w:firstLine="0"/>
              <w:jc w:val="left"/>
              <w:rPr>
                <w:b/>
              </w:rPr>
            </w:pPr>
            <w:r w:rsidRPr="00F911A6">
              <w:rPr>
                <w:b/>
              </w:rPr>
              <w:t xml:space="preserve">Perímetro </w:t>
            </w:r>
            <w:r w:rsidRPr="00F911A6">
              <w:rPr>
                <w:rFonts w:eastAsia="Times New Roman"/>
                <w:b/>
              </w:rPr>
              <w:t>(µm)</w:t>
            </w:r>
          </w:p>
        </w:tc>
        <w:tc>
          <w:tcPr>
            <w:tcW w:w="1144" w:type="dxa"/>
            <w:tcBorders>
              <w:top w:val="single" w:sz="4" w:space="0" w:color="7F7F7F"/>
              <w:left w:val="nil"/>
              <w:bottom w:val="single" w:sz="4" w:space="0" w:color="7F7F7F"/>
              <w:right w:val="nil"/>
            </w:tcBorders>
            <w:vAlign w:val="center"/>
          </w:tcPr>
          <w:p w14:paraId="7F8A9963" w14:textId="77777777" w:rsidR="00100CD1" w:rsidRDefault="00100CD1" w:rsidP="007F6F61">
            <w:pPr>
              <w:spacing w:after="0" w:line="259" w:lineRule="auto"/>
              <w:ind w:left="363" w:right="0" w:firstLine="0"/>
              <w:jc w:val="left"/>
            </w:pPr>
            <w:r w:rsidRPr="0045538E">
              <w:rPr>
                <w:rFonts w:eastAsia="Times New Roman"/>
              </w:rPr>
              <w:t>15,46 ± 0</w:t>
            </w:r>
            <w:r>
              <w:rPr>
                <w:rFonts w:eastAsia="Times New Roman"/>
              </w:rPr>
              <w:t>,</w:t>
            </w:r>
            <w:r w:rsidRPr="0045538E">
              <w:rPr>
                <w:rFonts w:eastAsia="Times New Roman"/>
              </w:rPr>
              <w:t>39</w:t>
            </w:r>
            <w:r w:rsidRPr="0045538E">
              <w:rPr>
                <w:rFonts w:eastAsia="Times New Roman"/>
                <w:vertAlign w:val="superscript"/>
              </w:rPr>
              <w:t>a</w:t>
            </w:r>
          </w:p>
        </w:tc>
        <w:tc>
          <w:tcPr>
            <w:tcW w:w="1143" w:type="dxa"/>
            <w:tcBorders>
              <w:top w:val="single" w:sz="4" w:space="0" w:color="7F7F7F"/>
              <w:left w:val="nil"/>
              <w:bottom w:val="single" w:sz="4" w:space="0" w:color="7F7F7F"/>
              <w:right w:val="nil"/>
            </w:tcBorders>
            <w:vAlign w:val="center"/>
          </w:tcPr>
          <w:p w14:paraId="032B60AE" w14:textId="77777777" w:rsidR="00100CD1" w:rsidRDefault="00100CD1" w:rsidP="007F6F61">
            <w:pPr>
              <w:spacing w:after="0" w:line="259" w:lineRule="auto"/>
              <w:ind w:left="362" w:right="0" w:firstLine="0"/>
              <w:jc w:val="left"/>
            </w:pPr>
            <w:r w:rsidRPr="0045538E">
              <w:rPr>
                <w:rFonts w:eastAsia="Times New Roman"/>
              </w:rPr>
              <w:t>17,95 ± 0.37</w:t>
            </w:r>
            <w:r w:rsidRPr="0045538E">
              <w:rPr>
                <w:rFonts w:eastAsia="Times New Roman"/>
                <w:vertAlign w:val="superscript"/>
              </w:rPr>
              <w:t>b</w:t>
            </w:r>
          </w:p>
        </w:tc>
        <w:tc>
          <w:tcPr>
            <w:tcW w:w="1254" w:type="dxa"/>
            <w:tcBorders>
              <w:top w:val="single" w:sz="4" w:space="0" w:color="7F7F7F"/>
              <w:left w:val="nil"/>
              <w:bottom w:val="single" w:sz="4" w:space="0" w:color="7F7F7F"/>
              <w:right w:val="nil"/>
            </w:tcBorders>
            <w:vAlign w:val="center"/>
          </w:tcPr>
          <w:p w14:paraId="3228B47A" w14:textId="77777777" w:rsidR="00100CD1" w:rsidRDefault="00100CD1" w:rsidP="007F6F61">
            <w:pPr>
              <w:spacing w:after="0" w:line="259" w:lineRule="auto"/>
              <w:ind w:left="362" w:right="0" w:firstLine="0"/>
              <w:jc w:val="left"/>
            </w:pPr>
            <w:r w:rsidRPr="0045538E">
              <w:rPr>
                <w:rFonts w:eastAsia="Times New Roman"/>
              </w:rPr>
              <w:t>19,41 ± 0.57</w:t>
            </w:r>
            <w:r w:rsidRPr="0045538E">
              <w:rPr>
                <w:rFonts w:eastAsia="Times New Roman"/>
                <w:vertAlign w:val="superscript"/>
              </w:rPr>
              <w:t>b</w:t>
            </w:r>
          </w:p>
        </w:tc>
        <w:tc>
          <w:tcPr>
            <w:tcW w:w="1670" w:type="dxa"/>
            <w:tcBorders>
              <w:top w:val="single" w:sz="4" w:space="0" w:color="7F7F7F"/>
              <w:left w:val="nil"/>
              <w:bottom w:val="single" w:sz="4" w:space="0" w:color="7F7F7F"/>
              <w:right w:val="nil"/>
            </w:tcBorders>
            <w:vAlign w:val="center"/>
          </w:tcPr>
          <w:p w14:paraId="5EA067D0" w14:textId="77777777" w:rsidR="00100CD1" w:rsidRDefault="00100CD1" w:rsidP="007F6F61">
            <w:pPr>
              <w:spacing w:after="0" w:line="259" w:lineRule="auto"/>
              <w:ind w:left="362" w:right="0" w:firstLine="0"/>
              <w:jc w:val="left"/>
            </w:pPr>
            <w:r w:rsidRPr="0045538E">
              <w:rPr>
                <w:rFonts w:eastAsia="Times New Roman"/>
              </w:rPr>
              <w:t>16,10</w:t>
            </w:r>
          </w:p>
        </w:tc>
        <w:tc>
          <w:tcPr>
            <w:tcW w:w="1732" w:type="dxa"/>
            <w:tcBorders>
              <w:top w:val="single" w:sz="4" w:space="0" w:color="7F7F7F"/>
              <w:left w:val="nil"/>
              <w:bottom w:val="single" w:sz="4" w:space="0" w:color="7F7F7F"/>
              <w:right w:val="nil"/>
            </w:tcBorders>
            <w:vAlign w:val="center"/>
          </w:tcPr>
          <w:p w14:paraId="4ABB8FF2" w14:textId="77777777" w:rsidR="00100CD1" w:rsidRDefault="00100CD1" w:rsidP="007F6F61">
            <w:pPr>
              <w:spacing w:after="0" w:line="259" w:lineRule="auto"/>
              <w:ind w:left="362" w:right="0" w:firstLine="0"/>
              <w:jc w:val="left"/>
            </w:pPr>
            <w:r w:rsidRPr="0045538E">
              <w:rPr>
                <w:rFonts w:eastAsia="Times New Roman"/>
              </w:rPr>
              <w:t>25,55</w:t>
            </w:r>
          </w:p>
        </w:tc>
      </w:tr>
      <w:tr w:rsidR="00100CD1" w14:paraId="32584617" w14:textId="77777777" w:rsidTr="00251F6D">
        <w:trPr>
          <w:trHeight w:val="252"/>
        </w:trPr>
        <w:tc>
          <w:tcPr>
            <w:tcW w:w="1704" w:type="dxa"/>
            <w:tcBorders>
              <w:top w:val="single" w:sz="4" w:space="0" w:color="7F7F7F"/>
              <w:left w:val="nil"/>
              <w:bottom w:val="single" w:sz="4" w:space="0" w:color="7F7F7F"/>
              <w:right w:val="nil"/>
            </w:tcBorders>
            <w:vAlign w:val="center"/>
          </w:tcPr>
          <w:p w14:paraId="1EA0FCB7" w14:textId="77777777" w:rsidR="00100CD1" w:rsidRPr="00F911A6" w:rsidRDefault="00100CD1" w:rsidP="00475C5C">
            <w:pPr>
              <w:spacing w:after="0" w:line="259" w:lineRule="auto"/>
              <w:ind w:left="478" w:right="0" w:firstLine="0"/>
              <w:jc w:val="left"/>
              <w:rPr>
                <w:b/>
              </w:rPr>
            </w:pPr>
            <w:r w:rsidRPr="00F911A6">
              <w:rPr>
                <w:b/>
              </w:rPr>
              <w:t>Eixo maior (</w:t>
            </w:r>
            <w:r w:rsidRPr="00F911A6">
              <w:rPr>
                <w:rFonts w:eastAsia="Times New Roman"/>
                <w:b/>
              </w:rPr>
              <w:t>µm)</w:t>
            </w:r>
          </w:p>
        </w:tc>
        <w:tc>
          <w:tcPr>
            <w:tcW w:w="1144" w:type="dxa"/>
            <w:tcBorders>
              <w:top w:val="single" w:sz="4" w:space="0" w:color="7F7F7F"/>
              <w:left w:val="nil"/>
              <w:bottom w:val="single" w:sz="4" w:space="0" w:color="7F7F7F"/>
              <w:right w:val="nil"/>
            </w:tcBorders>
            <w:vAlign w:val="center"/>
          </w:tcPr>
          <w:p w14:paraId="210BCAFB" w14:textId="77777777" w:rsidR="00100CD1" w:rsidRDefault="00100CD1" w:rsidP="00475C5C">
            <w:pPr>
              <w:spacing w:after="0" w:line="259" w:lineRule="auto"/>
              <w:ind w:left="363" w:right="0" w:firstLine="0"/>
              <w:jc w:val="left"/>
            </w:pPr>
            <w:r w:rsidRPr="0045538E">
              <w:rPr>
                <w:rFonts w:eastAsia="Times New Roman"/>
              </w:rPr>
              <w:t>5,42 ± 0</w:t>
            </w:r>
            <w:r>
              <w:rPr>
                <w:rFonts w:eastAsia="Times New Roman"/>
              </w:rPr>
              <w:t>,</w:t>
            </w:r>
            <w:r w:rsidRPr="0045538E">
              <w:rPr>
                <w:rFonts w:eastAsia="Times New Roman"/>
              </w:rPr>
              <w:t>13</w:t>
            </w:r>
            <w:r w:rsidRPr="0045538E">
              <w:rPr>
                <w:rFonts w:eastAsia="Times New Roman"/>
                <w:vertAlign w:val="superscript"/>
              </w:rPr>
              <w:t>a</w:t>
            </w:r>
          </w:p>
        </w:tc>
        <w:tc>
          <w:tcPr>
            <w:tcW w:w="1143" w:type="dxa"/>
            <w:tcBorders>
              <w:top w:val="single" w:sz="4" w:space="0" w:color="7F7F7F"/>
              <w:left w:val="nil"/>
              <w:bottom w:val="single" w:sz="4" w:space="0" w:color="7F7F7F"/>
              <w:right w:val="nil"/>
            </w:tcBorders>
            <w:vAlign w:val="center"/>
          </w:tcPr>
          <w:p w14:paraId="5C76B222" w14:textId="77777777" w:rsidR="00100CD1" w:rsidRDefault="00100CD1" w:rsidP="00475C5C">
            <w:pPr>
              <w:spacing w:after="0" w:line="259" w:lineRule="auto"/>
              <w:ind w:left="362" w:right="0" w:firstLine="0"/>
              <w:jc w:val="left"/>
            </w:pPr>
            <w:r w:rsidRPr="0045538E">
              <w:rPr>
                <w:rFonts w:eastAsia="Times New Roman"/>
              </w:rPr>
              <w:t>6,29 ± 0</w:t>
            </w:r>
            <w:r>
              <w:rPr>
                <w:rFonts w:eastAsia="Times New Roman"/>
              </w:rPr>
              <w:t>,</w:t>
            </w:r>
            <w:r w:rsidRPr="0045538E">
              <w:rPr>
                <w:rFonts w:eastAsia="Times New Roman"/>
              </w:rPr>
              <w:t>10</w:t>
            </w:r>
            <w:r w:rsidRPr="0045538E">
              <w:rPr>
                <w:rFonts w:eastAsia="Times New Roman"/>
                <w:vertAlign w:val="superscript"/>
              </w:rPr>
              <w:t>b</w:t>
            </w:r>
          </w:p>
        </w:tc>
        <w:tc>
          <w:tcPr>
            <w:tcW w:w="1254" w:type="dxa"/>
            <w:tcBorders>
              <w:top w:val="single" w:sz="4" w:space="0" w:color="7F7F7F"/>
              <w:left w:val="nil"/>
              <w:bottom w:val="single" w:sz="4" w:space="0" w:color="7F7F7F"/>
              <w:right w:val="nil"/>
            </w:tcBorders>
            <w:vAlign w:val="center"/>
          </w:tcPr>
          <w:p w14:paraId="509CAFF9" w14:textId="77777777" w:rsidR="00100CD1" w:rsidRDefault="00100CD1" w:rsidP="00475C5C">
            <w:pPr>
              <w:spacing w:after="0" w:line="259" w:lineRule="auto"/>
              <w:ind w:left="362" w:right="0" w:firstLine="0"/>
              <w:jc w:val="left"/>
            </w:pPr>
            <w:r w:rsidRPr="0045538E">
              <w:rPr>
                <w:rFonts w:eastAsia="Times New Roman"/>
              </w:rPr>
              <w:t>7,71 ± 0.03</w:t>
            </w:r>
            <w:r w:rsidRPr="0045538E">
              <w:rPr>
                <w:rFonts w:eastAsia="Times New Roman"/>
                <w:vertAlign w:val="superscript"/>
              </w:rPr>
              <w:t>c</w:t>
            </w:r>
          </w:p>
        </w:tc>
        <w:tc>
          <w:tcPr>
            <w:tcW w:w="1670" w:type="dxa"/>
            <w:tcBorders>
              <w:top w:val="single" w:sz="4" w:space="0" w:color="7F7F7F"/>
              <w:left w:val="nil"/>
              <w:bottom w:val="single" w:sz="4" w:space="0" w:color="7F7F7F"/>
              <w:right w:val="nil"/>
            </w:tcBorders>
            <w:vAlign w:val="center"/>
          </w:tcPr>
          <w:p w14:paraId="2617B355" w14:textId="77777777" w:rsidR="00100CD1" w:rsidRDefault="00100CD1" w:rsidP="00475C5C">
            <w:pPr>
              <w:spacing w:after="0" w:line="259" w:lineRule="auto"/>
              <w:ind w:left="362" w:right="0" w:firstLine="0"/>
              <w:jc w:val="left"/>
            </w:pPr>
            <w:r w:rsidRPr="0045538E">
              <w:rPr>
                <w:rFonts w:eastAsia="Times New Roman"/>
              </w:rPr>
              <w:t>16,05</w:t>
            </w:r>
          </w:p>
        </w:tc>
        <w:tc>
          <w:tcPr>
            <w:tcW w:w="1732" w:type="dxa"/>
            <w:tcBorders>
              <w:top w:val="single" w:sz="4" w:space="0" w:color="7F7F7F"/>
              <w:left w:val="nil"/>
              <w:bottom w:val="single" w:sz="4" w:space="0" w:color="7F7F7F"/>
              <w:right w:val="nil"/>
            </w:tcBorders>
            <w:vAlign w:val="center"/>
          </w:tcPr>
          <w:p w14:paraId="76478F7B" w14:textId="77777777" w:rsidR="00100CD1" w:rsidRDefault="00100CD1" w:rsidP="00590E82">
            <w:pPr>
              <w:spacing w:after="0" w:line="259" w:lineRule="auto"/>
              <w:ind w:left="362" w:right="-35" w:firstLine="0"/>
              <w:jc w:val="left"/>
            </w:pPr>
            <w:r w:rsidRPr="0045538E">
              <w:rPr>
                <w:rFonts w:eastAsia="Times New Roman"/>
              </w:rPr>
              <w:t>42,25</w:t>
            </w:r>
          </w:p>
        </w:tc>
      </w:tr>
      <w:tr w:rsidR="00100CD1" w14:paraId="536F564B" w14:textId="77777777" w:rsidTr="00251F6D">
        <w:trPr>
          <w:trHeight w:val="264"/>
        </w:trPr>
        <w:tc>
          <w:tcPr>
            <w:tcW w:w="1704" w:type="dxa"/>
            <w:tcBorders>
              <w:top w:val="single" w:sz="4" w:space="0" w:color="7F7F7F"/>
              <w:left w:val="nil"/>
              <w:bottom w:val="single" w:sz="4" w:space="0" w:color="7F7F7F"/>
              <w:right w:val="nil"/>
            </w:tcBorders>
            <w:vAlign w:val="center"/>
          </w:tcPr>
          <w:p w14:paraId="7F85A31D" w14:textId="77777777" w:rsidR="00100CD1" w:rsidRPr="00F911A6" w:rsidRDefault="00100CD1" w:rsidP="00475C5C">
            <w:pPr>
              <w:spacing w:after="0" w:line="259" w:lineRule="auto"/>
              <w:ind w:left="473" w:right="0" w:firstLine="0"/>
              <w:jc w:val="left"/>
              <w:rPr>
                <w:b/>
              </w:rPr>
            </w:pPr>
            <w:r w:rsidRPr="00F911A6">
              <w:rPr>
                <w:b/>
              </w:rPr>
              <w:t xml:space="preserve">Eixo menor </w:t>
            </w:r>
            <w:r w:rsidRPr="00F911A6">
              <w:rPr>
                <w:rFonts w:eastAsia="Times New Roman"/>
                <w:b/>
              </w:rPr>
              <w:t>(µm)</w:t>
            </w:r>
          </w:p>
        </w:tc>
        <w:tc>
          <w:tcPr>
            <w:tcW w:w="1144" w:type="dxa"/>
            <w:tcBorders>
              <w:top w:val="single" w:sz="4" w:space="0" w:color="7F7F7F"/>
              <w:left w:val="nil"/>
              <w:bottom w:val="single" w:sz="4" w:space="0" w:color="7F7F7F"/>
              <w:right w:val="nil"/>
            </w:tcBorders>
            <w:vAlign w:val="center"/>
          </w:tcPr>
          <w:p w14:paraId="44CF89AB" w14:textId="77777777" w:rsidR="00100CD1" w:rsidRDefault="00100CD1" w:rsidP="00475C5C">
            <w:pPr>
              <w:spacing w:after="0" w:line="259" w:lineRule="auto"/>
              <w:ind w:left="363" w:right="0" w:firstLine="0"/>
              <w:jc w:val="left"/>
            </w:pPr>
            <w:r w:rsidRPr="0045538E">
              <w:rPr>
                <w:rFonts w:eastAsia="Times New Roman"/>
              </w:rPr>
              <w:t>3,78 ± 0</w:t>
            </w:r>
            <w:r>
              <w:rPr>
                <w:rFonts w:eastAsia="Times New Roman"/>
              </w:rPr>
              <w:t>,</w:t>
            </w:r>
            <w:r w:rsidRPr="0045538E">
              <w:rPr>
                <w:rFonts w:eastAsia="Times New Roman"/>
              </w:rPr>
              <w:t>12</w:t>
            </w:r>
            <w:r w:rsidRPr="0045538E">
              <w:rPr>
                <w:rFonts w:eastAsia="Times New Roman"/>
                <w:vertAlign w:val="superscript"/>
              </w:rPr>
              <w:t>a</w:t>
            </w:r>
          </w:p>
        </w:tc>
        <w:tc>
          <w:tcPr>
            <w:tcW w:w="1143" w:type="dxa"/>
            <w:tcBorders>
              <w:top w:val="single" w:sz="4" w:space="0" w:color="7F7F7F"/>
              <w:left w:val="nil"/>
              <w:bottom w:val="single" w:sz="4" w:space="0" w:color="7F7F7F"/>
              <w:right w:val="nil"/>
            </w:tcBorders>
            <w:vAlign w:val="center"/>
          </w:tcPr>
          <w:p w14:paraId="68E141F4" w14:textId="77777777" w:rsidR="00100CD1" w:rsidRDefault="00100CD1" w:rsidP="00475C5C">
            <w:pPr>
              <w:spacing w:after="0" w:line="259" w:lineRule="auto"/>
              <w:ind w:left="362" w:right="0" w:firstLine="0"/>
              <w:jc w:val="left"/>
            </w:pPr>
            <w:r w:rsidRPr="0045538E">
              <w:rPr>
                <w:rFonts w:eastAsia="Times New Roman"/>
              </w:rPr>
              <w:t>4,2 ± 0</w:t>
            </w:r>
            <w:r>
              <w:rPr>
                <w:rFonts w:eastAsia="Times New Roman"/>
              </w:rPr>
              <w:t>,</w:t>
            </w:r>
            <w:r w:rsidRPr="0045538E">
              <w:rPr>
                <w:rFonts w:eastAsia="Times New Roman"/>
              </w:rPr>
              <w:t>11</w:t>
            </w:r>
            <w:r w:rsidRPr="0045538E">
              <w:rPr>
                <w:rFonts w:eastAsia="Times New Roman"/>
                <w:vertAlign w:val="superscript"/>
              </w:rPr>
              <w:t>b</w:t>
            </w:r>
          </w:p>
        </w:tc>
        <w:tc>
          <w:tcPr>
            <w:tcW w:w="1254" w:type="dxa"/>
            <w:tcBorders>
              <w:top w:val="single" w:sz="4" w:space="0" w:color="7F7F7F"/>
              <w:left w:val="nil"/>
              <w:bottom w:val="single" w:sz="4" w:space="0" w:color="7F7F7F"/>
              <w:right w:val="nil"/>
            </w:tcBorders>
            <w:vAlign w:val="center"/>
          </w:tcPr>
          <w:p w14:paraId="24AC2FDE" w14:textId="77777777" w:rsidR="00100CD1" w:rsidRDefault="00100CD1" w:rsidP="00475C5C">
            <w:pPr>
              <w:spacing w:after="0" w:line="259" w:lineRule="auto"/>
              <w:ind w:left="362" w:right="0" w:firstLine="0"/>
              <w:jc w:val="left"/>
            </w:pPr>
            <w:r w:rsidRPr="0045538E">
              <w:rPr>
                <w:rFonts w:eastAsia="Times New Roman"/>
              </w:rPr>
              <w:t>3.95 ± 0.01</w:t>
            </w:r>
            <w:r w:rsidRPr="0045538E">
              <w:rPr>
                <w:rFonts w:eastAsia="Times New Roman"/>
                <w:vertAlign w:val="superscript"/>
              </w:rPr>
              <w:t>b</w:t>
            </w:r>
          </w:p>
        </w:tc>
        <w:tc>
          <w:tcPr>
            <w:tcW w:w="1670" w:type="dxa"/>
            <w:tcBorders>
              <w:top w:val="single" w:sz="4" w:space="0" w:color="7F7F7F"/>
              <w:left w:val="nil"/>
              <w:bottom w:val="single" w:sz="4" w:space="0" w:color="7F7F7F"/>
              <w:right w:val="nil"/>
            </w:tcBorders>
            <w:vAlign w:val="center"/>
          </w:tcPr>
          <w:p w14:paraId="7CB525A5" w14:textId="77777777" w:rsidR="00100CD1" w:rsidRDefault="00100CD1" w:rsidP="00475C5C">
            <w:pPr>
              <w:spacing w:after="0" w:line="259" w:lineRule="auto"/>
              <w:ind w:left="362" w:right="0" w:firstLine="0"/>
              <w:jc w:val="left"/>
            </w:pPr>
            <w:r w:rsidRPr="0045538E">
              <w:rPr>
                <w:rFonts w:eastAsia="Times New Roman"/>
              </w:rPr>
              <w:t>9,89</w:t>
            </w:r>
          </w:p>
        </w:tc>
        <w:tc>
          <w:tcPr>
            <w:tcW w:w="1732" w:type="dxa"/>
            <w:tcBorders>
              <w:top w:val="single" w:sz="4" w:space="0" w:color="7F7F7F"/>
              <w:left w:val="nil"/>
              <w:bottom w:val="single" w:sz="4" w:space="0" w:color="7F7F7F"/>
              <w:right w:val="nil"/>
            </w:tcBorders>
            <w:vAlign w:val="center"/>
          </w:tcPr>
          <w:p w14:paraId="4C722E84" w14:textId="77777777" w:rsidR="00100CD1" w:rsidRDefault="00100CD1" w:rsidP="00475C5C">
            <w:pPr>
              <w:spacing w:after="0" w:line="259" w:lineRule="auto"/>
              <w:ind w:left="362" w:right="0" w:firstLine="0"/>
              <w:jc w:val="left"/>
            </w:pPr>
            <w:r w:rsidRPr="0045538E">
              <w:rPr>
                <w:rFonts w:eastAsia="Times New Roman"/>
              </w:rPr>
              <w:t>4,49</w:t>
            </w:r>
          </w:p>
        </w:tc>
      </w:tr>
    </w:tbl>
    <w:p w14:paraId="714E5B00" w14:textId="77777777" w:rsidR="001C55D3" w:rsidRDefault="00AF5C72" w:rsidP="00590E82">
      <w:pPr>
        <w:spacing w:after="56" w:line="265" w:lineRule="auto"/>
        <w:ind w:right="1432" w:firstLine="0"/>
        <w:jc w:val="left"/>
        <w:rPr>
          <w:sz w:val="16"/>
        </w:rPr>
      </w:pPr>
      <w:r>
        <w:rPr>
          <w:rFonts w:ascii="Times New Roman" w:eastAsia="Times New Roman" w:hAnsi="Times New Roman" w:cs="Times New Roman"/>
        </w:rPr>
        <w:t xml:space="preserve"> </w:t>
      </w:r>
      <w:bookmarkStart w:id="2" w:name="_Hlk111417095"/>
      <w:r w:rsidR="001C55D3" w:rsidRPr="00ED1B3D">
        <w:rPr>
          <w:sz w:val="16"/>
          <w:szCs w:val="16"/>
        </w:rPr>
        <w:t>Dados são mostrados como média ± erro padrão. Letras distintas indicam diferença</w:t>
      </w:r>
      <w:r w:rsidR="00F911A6">
        <w:rPr>
          <w:sz w:val="16"/>
          <w:szCs w:val="16"/>
        </w:rPr>
        <w:t xml:space="preserve"> </w:t>
      </w:r>
      <w:r w:rsidR="001C55D3" w:rsidRPr="00ED1B3D">
        <w:rPr>
          <w:sz w:val="16"/>
          <w:szCs w:val="16"/>
        </w:rPr>
        <w:t xml:space="preserve">significativa nas colunas (ANOVA; </w:t>
      </w:r>
      <w:r w:rsidR="001C55D3" w:rsidRPr="00ED1B3D">
        <w:rPr>
          <w:i/>
          <w:iCs/>
          <w:sz w:val="16"/>
          <w:szCs w:val="16"/>
        </w:rPr>
        <w:t>P</w:t>
      </w:r>
      <w:r w:rsidR="001C55D3" w:rsidRPr="00ED1B3D">
        <w:rPr>
          <w:sz w:val="16"/>
          <w:szCs w:val="16"/>
        </w:rPr>
        <w:t xml:space="preserve"> &lt; 0.05</w:t>
      </w:r>
      <w:r w:rsidR="001C55D3">
        <w:rPr>
          <w:sz w:val="16"/>
          <w:szCs w:val="16"/>
        </w:rPr>
        <w:t>)</w:t>
      </w:r>
      <w:r>
        <w:rPr>
          <w:sz w:val="16"/>
        </w:rPr>
        <w:t xml:space="preserve">.  </w:t>
      </w:r>
      <w:bookmarkEnd w:id="2"/>
    </w:p>
    <w:p w14:paraId="66061472" w14:textId="77777777" w:rsidR="0009377F" w:rsidRPr="0009377F" w:rsidRDefault="0009377F" w:rsidP="0009377F">
      <w:pPr>
        <w:spacing w:after="56" w:line="265" w:lineRule="auto"/>
        <w:ind w:right="4002" w:firstLine="0"/>
        <w:jc w:val="left"/>
        <w:rPr>
          <w:sz w:val="16"/>
        </w:rPr>
      </w:pPr>
    </w:p>
    <w:p w14:paraId="124B4696" w14:textId="11F045FD" w:rsidR="004C74F7" w:rsidRDefault="00AF5C72" w:rsidP="00763613">
      <w:pPr>
        <w:pStyle w:val="Ttulo1"/>
        <w:ind w:left="12"/>
      </w:pPr>
      <w:r>
        <w:t>CONCLUSÕES</w:t>
      </w:r>
      <w:r>
        <w:rPr>
          <w:rFonts w:ascii="Times New Roman" w:eastAsia="Times New Roman" w:hAnsi="Times New Roman" w:cs="Times New Roman"/>
          <w:b w:val="0"/>
        </w:rPr>
        <w:t xml:space="preserve"> </w:t>
      </w:r>
    </w:p>
    <w:p w14:paraId="6CDFB4EB" w14:textId="00A43F6E" w:rsidR="001C55D3" w:rsidRDefault="001C55D3" w:rsidP="0009377F">
      <w:pPr>
        <w:ind w:left="2" w:right="1599"/>
        <w:rPr>
          <w:rFonts w:ascii="Times New Roman" w:eastAsia="Times New Roman" w:hAnsi="Times New Roman" w:cs="Times New Roman"/>
        </w:rPr>
      </w:pPr>
      <w:bookmarkStart w:id="3" w:name="_Hlk111417164"/>
      <w:r>
        <w:t xml:space="preserve">O uso do esfregaço sanguíneo juntamente com a medição automática no </w:t>
      </w:r>
      <w:proofErr w:type="spellStart"/>
      <w:r>
        <w:t>imageJ</w:t>
      </w:r>
      <w:proofErr w:type="spellEnd"/>
      <w:r>
        <w:t xml:space="preserve"> ® </w:t>
      </w:r>
      <w:r w:rsidR="00D80BD3">
        <w:t>foram as melhores técnicas</w:t>
      </w:r>
      <w:r>
        <w:t xml:space="preserve"> para </w:t>
      </w:r>
      <w:r w:rsidR="00D80BD3">
        <w:t>melhor</w:t>
      </w:r>
      <w:r w:rsidR="001B6F7D">
        <w:t xml:space="preserve"> </w:t>
      </w:r>
      <w:r>
        <w:t>identificar peixes diploides, triploides e tetraploides de lambari (</w:t>
      </w:r>
      <w:proofErr w:type="spellStart"/>
      <w:r w:rsidRPr="00F81CD5">
        <w:rPr>
          <w:i/>
          <w:iCs/>
        </w:rPr>
        <w:t>Astyanax</w:t>
      </w:r>
      <w:proofErr w:type="spellEnd"/>
      <w:r w:rsidRPr="00F81CD5">
        <w:rPr>
          <w:i/>
          <w:iCs/>
        </w:rPr>
        <w:t xml:space="preserve"> </w:t>
      </w:r>
      <w:r>
        <w:rPr>
          <w:i/>
          <w:iCs/>
        </w:rPr>
        <w:t>lacustres)</w:t>
      </w:r>
      <w:bookmarkEnd w:id="3"/>
      <w:r>
        <w:t xml:space="preserve">. </w:t>
      </w:r>
      <w:r>
        <w:rPr>
          <w:rFonts w:ascii="Times New Roman" w:eastAsia="Times New Roman" w:hAnsi="Times New Roman" w:cs="Times New Roman"/>
        </w:rPr>
        <w:t xml:space="preserve"> </w:t>
      </w:r>
    </w:p>
    <w:p w14:paraId="5D2C7FB3" w14:textId="77777777" w:rsidR="0009377F" w:rsidRPr="0009377F" w:rsidRDefault="0009377F" w:rsidP="0009377F">
      <w:pPr>
        <w:ind w:left="2" w:right="1599"/>
        <w:rPr>
          <w:rFonts w:ascii="Times New Roman" w:eastAsia="Times New Roman" w:hAnsi="Times New Roman" w:cs="Times New Roman"/>
        </w:rPr>
      </w:pPr>
    </w:p>
    <w:p w14:paraId="0F2BD843" w14:textId="0193436D" w:rsidR="004C74F7" w:rsidRDefault="00AF5C72">
      <w:pPr>
        <w:pStyle w:val="Ttulo1"/>
        <w:ind w:left="12"/>
      </w:pPr>
      <w:r>
        <w:t>REFERÊNCIAS</w:t>
      </w:r>
    </w:p>
    <w:p w14:paraId="49C9581F" w14:textId="4C46882F" w:rsidR="00936C1A" w:rsidRPr="00601C54" w:rsidRDefault="001C55D3" w:rsidP="00936C1A">
      <w:pPr>
        <w:ind w:left="2" w:right="1596" w:firstLine="0"/>
        <w:rPr>
          <w:lang w:val="en-US"/>
        </w:rPr>
      </w:pPr>
      <w:bookmarkStart w:id="4" w:name="_Hlk111417194"/>
      <w:r>
        <w:t xml:space="preserve">ADAMOV, N. S. et al.  </w:t>
      </w:r>
      <w:r w:rsidRPr="00601C54">
        <w:rPr>
          <w:lang w:val="en-US"/>
        </w:rPr>
        <w:t xml:space="preserve">Triploid induction in the Yellowtail tetra, </w:t>
      </w:r>
      <w:r w:rsidRPr="00601C54">
        <w:rPr>
          <w:i/>
          <w:iCs/>
          <w:lang w:val="en-US"/>
        </w:rPr>
        <w:t xml:space="preserve">Astyanax </w:t>
      </w:r>
      <w:proofErr w:type="spellStart"/>
      <w:r w:rsidRPr="00601C54">
        <w:rPr>
          <w:i/>
          <w:iCs/>
          <w:lang w:val="en-US"/>
        </w:rPr>
        <w:t>altiparanae</w:t>
      </w:r>
      <w:proofErr w:type="spellEnd"/>
      <w:r w:rsidRPr="00601C54">
        <w:rPr>
          <w:lang w:val="en-US"/>
        </w:rPr>
        <w:t>, using temperature shock: tools for conservation and aquaculture. Journal of the World Aquaculture Society, v. 48, n. 5, p. 741-750, 2017. ISSN 0893-8849.</w:t>
      </w:r>
    </w:p>
    <w:p w14:paraId="1468C8AC" w14:textId="48E354A1" w:rsidR="00936C1A" w:rsidRDefault="001C55D3" w:rsidP="00936C1A">
      <w:pPr>
        <w:ind w:left="2" w:right="1596" w:firstLine="0"/>
        <w:rPr>
          <w:lang w:val="en-US"/>
        </w:rPr>
      </w:pPr>
      <w:r w:rsidRPr="00601C54">
        <w:rPr>
          <w:lang w:val="en-US"/>
        </w:rPr>
        <w:t>DUNHAM, R. A. Aquaculture and Fisheries Biotechnology: Genetic Approaches. Oxford: GABI Publishing, 2004.</w:t>
      </w:r>
    </w:p>
    <w:p w14:paraId="0AF726AB" w14:textId="5432915C" w:rsidR="00936C1A" w:rsidRPr="00601C54" w:rsidRDefault="000F2D5B" w:rsidP="00936C1A">
      <w:pPr>
        <w:ind w:left="2" w:right="1596" w:firstLine="0"/>
        <w:rPr>
          <w:lang w:val="en-US"/>
        </w:rPr>
      </w:pPr>
      <w:r w:rsidRPr="008D3F72">
        <w:rPr>
          <w:lang w:val="en-US"/>
        </w:rPr>
        <w:t>F</w:t>
      </w:r>
      <w:r>
        <w:rPr>
          <w:lang w:val="en-US"/>
        </w:rPr>
        <w:t>UKUSHIMA,</w:t>
      </w:r>
      <w:r w:rsidRPr="008D3F72">
        <w:rPr>
          <w:lang w:val="en-US"/>
        </w:rPr>
        <w:t xml:space="preserve"> et al.</w:t>
      </w:r>
      <w:r w:rsidRPr="005A7054">
        <w:t xml:space="preserve"> </w:t>
      </w:r>
      <w:proofErr w:type="spellStart"/>
      <w:r w:rsidRPr="005A7054">
        <w:rPr>
          <w:lang w:val="en-US"/>
        </w:rPr>
        <w:t>Triploidy</w:t>
      </w:r>
      <w:proofErr w:type="spellEnd"/>
      <w:r w:rsidRPr="005A7054">
        <w:rPr>
          <w:lang w:val="en-US"/>
        </w:rPr>
        <w:t xml:space="preserve"> in the hematology of </w:t>
      </w:r>
      <w:proofErr w:type="spellStart"/>
      <w:r w:rsidRPr="005A7054">
        <w:rPr>
          <w:lang w:val="en-US"/>
        </w:rPr>
        <w:t>jundia</w:t>
      </w:r>
      <w:proofErr w:type="spellEnd"/>
      <w:r w:rsidRPr="005A7054">
        <w:rPr>
          <w:lang w:val="en-US"/>
        </w:rPr>
        <w:t xml:space="preserve"> juveniles (</w:t>
      </w:r>
      <w:proofErr w:type="spellStart"/>
      <w:r w:rsidRPr="005A7054">
        <w:rPr>
          <w:lang w:val="en-US"/>
        </w:rPr>
        <w:t>Siluriformes</w:t>
      </w:r>
      <w:proofErr w:type="spellEnd"/>
      <w:r w:rsidRPr="005A7054">
        <w:rPr>
          <w:lang w:val="en-US"/>
        </w:rPr>
        <w:t xml:space="preserve">: </w:t>
      </w:r>
      <w:proofErr w:type="spellStart"/>
      <w:r w:rsidRPr="005A7054">
        <w:rPr>
          <w:lang w:val="en-US"/>
        </w:rPr>
        <w:t>Heptapteridae</w:t>
      </w:r>
      <w:proofErr w:type="spellEnd"/>
      <w:r w:rsidRPr="005A7054">
        <w:rPr>
          <w:lang w:val="en-US"/>
        </w:rPr>
        <w:t>). Brazilian Journal of Biology 72, 147-151</w:t>
      </w:r>
      <w:r w:rsidRPr="008D3F72">
        <w:rPr>
          <w:lang w:val="en-US"/>
        </w:rPr>
        <w:t>, 2012</w:t>
      </w:r>
      <w:r>
        <w:rPr>
          <w:lang w:val="en-US"/>
        </w:rPr>
        <w:t>.</w:t>
      </w:r>
    </w:p>
    <w:p w14:paraId="2E32F544" w14:textId="32FF4D57" w:rsidR="00936C1A" w:rsidRPr="00601C54" w:rsidRDefault="001C55D3" w:rsidP="00936C1A">
      <w:pPr>
        <w:ind w:left="2" w:right="1596" w:firstLine="0"/>
        <w:rPr>
          <w:lang w:val="en-US"/>
        </w:rPr>
      </w:pPr>
      <w:r w:rsidRPr="00601C54">
        <w:rPr>
          <w:lang w:val="en-US"/>
        </w:rPr>
        <w:t xml:space="preserve">NASCIMENTO, N. F. et al.; Growth, fatty acid composition, and reproductive parameters of diploid and triploid yellowtail tetra </w:t>
      </w:r>
      <w:r w:rsidRPr="00601C54">
        <w:rPr>
          <w:i/>
          <w:iCs/>
          <w:lang w:val="en-US"/>
        </w:rPr>
        <w:t xml:space="preserve">Astyanax </w:t>
      </w:r>
      <w:proofErr w:type="spellStart"/>
      <w:r w:rsidRPr="00601C54">
        <w:rPr>
          <w:i/>
          <w:iCs/>
          <w:lang w:val="en-US"/>
        </w:rPr>
        <w:t>altiparanae</w:t>
      </w:r>
      <w:proofErr w:type="spellEnd"/>
      <w:r w:rsidRPr="00601C54">
        <w:rPr>
          <w:lang w:val="en-US"/>
        </w:rPr>
        <w:t>. Aquaculture, v. 471, p. 163-171, 2017. ISSN 0044-8486.</w:t>
      </w:r>
    </w:p>
    <w:p w14:paraId="3ECE5866" w14:textId="0746D10F" w:rsidR="001C55D3" w:rsidRPr="00601C54" w:rsidRDefault="001C55D3" w:rsidP="00936C1A">
      <w:pPr>
        <w:widowControl w:val="0"/>
        <w:autoSpaceDE w:val="0"/>
        <w:autoSpaceDN w:val="0"/>
        <w:adjustRightInd w:val="0"/>
        <w:spacing w:line="240" w:lineRule="auto"/>
        <w:ind w:right="1610" w:firstLine="0"/>
        <w:rPr>
          <w:lang w:val="en-US"/>
        </w:rPr>
      </w:pPr>
      <w:r w:rsidRPr="00601C54">
        <w:rPr>
          <w:lang w:val="en-US"/>
        </w:rPr>
        <w:t xml:space="preserve">NASCIMENTO, N. F. et al. High percentages of larval tetraploids in the yellowtail tetra </w:t>
      </w:r>
      <w:r w:rsidRPr="00601C54">
        <w:rPr>
          <w:i/>
          <w:iCs/>
          <w:lang w:val="en-US"/>
        </w:rPr>
        <w:t xml:space="preserve">Astyanax </w:t>
      </w:r>
      <w:proofErr w:type="spellStart"/>
      <w:r w:rsidRPr="00601C54">
        <w:rPr>
          <w:i/>
          <w:iCs/>
          <w:lang w:val="en-US"/>
        </w:rPr>
        <w:t>altiparanae</w:t>
      </w:r>
      <w:proofErr w:type="spellEnd"/>
      <w:r w:rsidRPr="00601C54">
        <w:rPr>
          <w:lang w:val="en-US"/>
        </w:rPr>
        <w:t xml:space="preserve"> induced by heat-shock: The first case in Neotropical characins. Aquaculture, v. 520, 2020. </w:t>
      </w:r>
    </w:p>
    <w:p w14:paraId="2675EBF2" w14:textId="62A2EC01" w:rsidR="00C477D4" w:rsidRPr="00C477D4" w:rsidRDefault="001C55D3" w:rsidP="00105956">
      <w:pPr>
        <w:ind w:left="2" w:right="1596" w:firstLine="0"/>
      </w:pPr>
      <w:r w:rsidRPr="00601C54">
        <w:rPr>
          <w:lang w:val="en-US"/>
        </w:rPr>
        <w:t xml:space="preserve">PIFERRER, F. et al. Polyploid fish and shellfish: Production, biology and applications to aquaculture for performance improvement and genetic containment. </w:t>
      </w:r>
      <w:proofErr w:type="spellStart"/>
      <w:r>
        <w:t>Aquaculture</w:t>
      </w:r>
      <w:proofErr w:type="spellEnd"/>
      <w:r>
        <w:t xml:space="preserve">, v. 293, n. 3-4, p. 125-156, </w:t>
      </w:r>
      <w:proofErr w:type="spellStart"/>
      <w:r>
        <w:t>Aug</w:t>
      </w:r>
      <w:proofErr w:type="spellEnd"/>
      <w:r>
        <w:t xml:space="preserve"> 16 2009. </w:t>
      </w:r>
    </w:p>
    <w:p w14:paraId="6CF03564" w14:textId="1BC3758D" w:rsidR="004C74F7" w:rsidRDefault="001C55D3" w:rsidP="003E0087">
      <w:pPr>
        <w:ind w:left="2" w:right="1599" w:firstLine="0"/>
      </w:pPr>
      <w:r w:rsidRPr="00601C54">
        <w:rPr>
          <w:lang w:val="en-US"/>
        </w:rPr>
        <w:t xml:space="preserve">YASUI, G. S. et al. </w:t>
      </w:r>
      <w:r w:rsidRPr="00213C87">
        <w:t>Biologia e criação do lambari-do-rabo-amarelo (</w:t>
      </w:r>
      <w:proofErr w:type="spellStart"/>
      <w:r w:rsidRPr="00213C87">
        <w:rPr>
          <w:i/>
          <w:iCs/>
        </w:rPr>
        <w:t>Astyanax</w:t>
      </w:r>
      <w:proofErr w:type="spellEnd"/>
      <w:r w:rsidRPr="00213C87">
        <w:rPr>
          <w:i/>
          <w:iCs/>
        </w:rPr>
        <w:t xml:space="preserve"> </w:t>
      </w:r>
      <w:proofErr w:type="spellStart"/>
      <w:r w:rsidRPr="00213C87">
        <w:rPr>
          <w:i/>
          <w:iCs/>
        </w:rPr>
        <w:t>altiparanae</w:t>
      </w:r>
      <w:proofErr w:type="spellEnd"/>
      <w:r w:rsidRPr="00213C87">
        <w:t>). Espécies nativas para piscicultura no Brasil, v. 3, p. 101–116, 2020</w:t>
      </w:r>
      <w:r>
        <w:t>.</w:t>
      </w:r>
      <w:bookmarkEnd w:id="4"/>
    </w:p>
    <w:sectPr w:rsidR="004C74F7" w:rsidSect="00936C1A">
      <w:headerReference w:type="even" r:id="rId6"/>
      <w:headerReference w:type="default" r:id="rId7"/>
      <w:headerReference w:type="first" r:id="rId8"/>
      <w:pgSz w:w="11906" w:h="16838"/>
      <w:pgMar w:top="1951" w:right="0" w:bottom="1673" w:left="16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1029" w14:textId="77777777" w:rsidR="005E26B8" w:rsidRDefault="005E26B8">
      <w:pPr>
        <w:spacing w:after="0" w:line="240" w:lineRule="auto"/>
      </w:pPr>
      <w:r>
        <w:separator/>
      </w:r>
    </w:p>
  </w:endnote>
  <w:endnote w:type="continuationSeparator" w:id="0">
    <w:p w14:paraId="7DBDA128" w14:textId="77777777" w:rsidR="005E26B8" w:rsidRDefault="005E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E597" w14:textId="77777777" w:rsidR="005E26B8" w:rsidRDefault="005E26B8">
      <w:pPr>
        <w:spacing w:after="0" w:line="240" w:lineRule="auto"/>
      </w:pPr>
      <w:r>
        <w:separator/>
      </w:r>
    </w:p>
  </w:footnote>
  <w:footnote w:type="continuationSeparator" w:id="0">
    <w:p w14:paraId="140E1586" w14:textId="77777777" w:rsidR="005E26B8" w:rsidRDefault="005E2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92CA" w14:textId="4B105D7B" w:rsidR="004C74F7" w:rsidRDefault="00AF5C72" w:rsidP="00936C1A">
    <w:pPr>
      <w:spacing w:after="0" w:line="259" w:lineRule="auto"/>
      <w:ind w:left="0" w:right="52" w:firstLine="0"/>
      <w:jc w:val="left"/>
    </w:pPr>
    <w:r>
      <w:rPr>
        <w:noProof/>
      </w:rPr>
      <w:drawing>
        <wp:anchor distT="0" distB="0" distL="114300" distR="114300" simplePos="0" relativeHeight="251658240" behindDoc="0" locked="0" layoutInCell="1" allowOverlap="0" wp14:anchorId="3399DA97" wp14:editId="3063B098">
          <wp:simplePos x="0" y="0"/>
          <wp:positionH relativeFrom="page">
            <wp:posOffset>89536</wp:posOffset>
          </wp:positionH>
          <wp:positionV relativeFrom="page">
            <wp:posOffset>90170</wp:posOffset>
          </wp:positionV>
          <wp:extent cx="7381240" cy="1419225"/>
          <wp:effectExtent l="0" t="0" r="0" b="0"/>
          <wp:wrapSquare wrapText="bothSides"/>
          <wp:docPr id="6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81240" cy="14192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EDDD" w14:textId="11EAD0AB" w:rsidR="00936C1A" w:rsidRDefault="00936C1A" w:rsidP="00936C1A">
    <w:pPr>
      <w:pStyle w:val="Cabealho"/>
      <w:tabs>
        <w:tab w:val="clear" w:pos="8504"/>
        <w:tab w:val="right" w:pos="8613"/>
      </w:tabs>
      <w:ind w:left="0" w:firstLine="0"/>
    </w:pPr>
    <w:r>
      <w:rPr>
        <w:noProof/>
      </w:rPr>
      <w:drawing>
        <wp:anchor distT="0" distB="0" distL="114300" distR="114300" simplePos="0" relativeHeight="251663360" behindDoc="0" locked="0" layoutInCell="1" allowOverlap="0" wp14:anchorId="7853F1C1" wp14:editId="74D58E64">
          <wp:simplePos x="0" y="0"/>
          <wp:positionH relativeFrom="page">
            <wp:posOffset>93345</wp:posOffset>
          </wp:positionH>
          <wp:positionV relativeFrom="topMargin">
            <wp:posOffset>112395</wp:posOffset>
          </wp:positionV>
          <wp:extent cx="7381240" cy="1419225"/>
          <wp:effectExtent l="0" t="0" r="0" b="9525"/>
          <wp:wrapSquare wrapText="bothSides"/>
          <wp:docPr id="66"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81240" cy="14192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D8D9" w14:textId="0B23BED4" w:rsidR="004C74F7" w:rsidRDefault="00AF5C72" w:rsidP="00936C1A">
    <w:pPr>
      <w:spacing w:after="0" w:line="259" w:lineRule="auto"/>
      <w:ind w:left="0" w:right="52" w:firstLine="0"/>
      <w:jc w:val="left"/>
    </w:pPr>
    <w:r>
      <w:rPr>
        <w:noProof/>
      </w:rPr>
      <w:drawing>
        <wp:anchor distT="0" distB="0" distL="114300" distR="114300" simplePos="0" relativeHeight="251661312" behindDoc="0" locked="0" layoutInCell="1" allowOverlap="0" wp14:anchorId="23B210F3" wp14:editId="0140F5B3">
          <wp:simplePos x="0" y="0"/>
          <wp:positionH relativeFrom="page">
            <wp:posOffset>89536</wp:posOffset>
          </wp:positionH>
          <wp:positionV relativeFrom="page">
            <wp:posOffset>90170</wp:posOffset>
          </wp:positionV>
          <wp:extent cx="7381240" cy="1419225"/>
          <wp:effectExtent l="0" t="0" r="0" b="0"/>
          <wp:wrapSquare wrapText="bothSides"/>
          <wp:docPr id="67"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81240" cy="1419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F7"/>
    <w:rsid w:val="00011795"/>
    <w:rsid w:val="00014205"/>
    <w:rsid w:val="000426EE"/>
    <w:rsid w:val="0009377F"/>
    <w:rsid w:val="000F2D5B"/>
    <w:rsid w:val="00100CD1"/>
    <w:rsid w:val="00105956"/>
    <w:rsid w:val="00110403"/>
    <w:rsid w:val="00147243"/>
    <w:rsid w:val="00157F7F"/>
    <w:rsid w:val="001B6F7D"/>
    <w:rsid w:val="001C55D3"/>
    <w:rsid w:val="001E305A"/>
    <w:rsid w:val="001F7AB6"/>
    <w:rsid w:val="00251F6D"/>
    <w:rsid w:val="0028717E"/>
    <w:rsid w:val="002A61C2"/>
    <w:rsid w:val="00333ECC"/>
    <w:rsid w:val="00370535"/>
    <w:rsid w:val="00391B11"/>
    <w:rsid w:val="003E0087"/>
    <w:rsid w:val="00412E3A"/>
    <w:rsid w:val="004369A9"/>
    <w:rsid w:val="00440ED8"/>
    <w:rsid w:val="00475C5C"/>
    <w:rsid w:val="004C74F7"/>
    <w:rsid w:val="0051092B"/>
    <w:rsid w:val="00590E81"/>
    <w:rsid w:val="00590E82"/>
    <w:rsid w:val="005A7054"/>
    <w:rsid w:val="005E26B8"/>
    <w:rsid w:val="00601C54"/>
    <w:rsid w:val="0065010F"/>
    <w:rsid w:val="006C3B43"/>
    <w:rsid w:val="0074370E"/>
    <w:rsid w:val="00763613"/>
    <w:rsid w:val="007F6F61"/>
    <w:rsid w:val="00826660"/>
    <w:rsid w:val="008D3F72"/>
    <w:rsid w:val="00914354"/>
    <w:rsid w:val="00936C1A"/>
    <w:rsid w:val="00960B25"/>
    <w:rsid w:val="00A27015"/>
    <w:rsid w:val="00AF2FC7"/>
    <w:rsid w:val="00AF5C72"/>
    <w:rsid w:val="00B23D80"/>
    <w:rsid w:val="00B25EAB"/>
    <w:rsid w:val="00C477D4"/>
    <w:rsid w:val="00C57AF0"/>
    <w:rsid w:val="00D37C6D"/>
    <w:rsid w:val="00D67008"/>
    <w:rsid w:val="00D80BD3"/>
    <w:rsid w:val="00DB0523"/>
    <w:rsid w:val="00EC2D9F"/>
    <w:rsid w:val="00ED575A"/>
    <w:rsid w:val="00F62C79"/>
    <w:rsid w:val="00F87126"/>
    <w:rsid w:val="00F911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D8ED3"/>
  <w15:docId w15:val="{E09CD1B3-30FC-4805-8DAE-BF86FB5F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54"/>
    <w:pPr>
      <w:spacing w:after="1" w:line="242" w:lineRule="auto"/>
      <w:ind w:left="17" w:right="1608" w:firstLine="571"/>
      <w:jc w:val="both"/>
    </w:pPr>
    <w:rPr>
      <w:rFonts w:ascii="Arial" w:eastAsia="Arial" w:hAnsi="Arial" w:cs="Arial"/>
      <w:color w:val="000000"/>
      <w:sz w:val="24"/>
    </w:rPr>
  </w:style>
  <w:style w:type="paragraph" w:styleId="Ttulo1">
    <w:name w:val="heading 1"/>
    <w:next w:val="Normal"/>
    <w:link w:val="Ttulo1Char"/>
    <w:uiPriority w:val="9"/>
    <w:qFormat/>
    <w:rsid w:val="00914354"/>
    <w:pPr>
      <w:keepNext/>
      <w:keepLines/>
      <w:spacing w:after="3"/>
      <w:ind w:left="27" w:hanging="10"/>
      <w:outlineLvl w:val="0"/>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14354"/>
    <w:rPr>
      <w:rFonts w:ascii="Arial" w:eastAsia="Arial" w:hAnsi="Arial" w:cs="Arial"/>
      <w:b/>
      <w:color w:val="000000"/>
      <w:sz w:val="24"/>
    </w:rPr>
  </w:style>
  <w:style w:type="table" w:customStyle="1" w:styleId="TableGrid">
    <w:name w:val="TableGrid"/>
    <w:rsid w:val="00914354"/>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unhideWhenUsed/>
    <w:rsid w:val="001E305A"/>
    <w:rPr>
      <w:color w:val="0563C1" w:themeColor="hyperlink"/>
      <w:u w:val="single"/>
    </w:rPr>
  </w:style>
  <w:style w:type="character" w:styleId="Refdecomentrio">
    <w:name w:val="annotation reference"/>
    <w:basedOn w:val="Fontepargpadro"/>
    <w:uiPriority w:val="99"/>
    <w:semiHidden/>
    <w:unhideWhenUsed/>
    <w:rsid w:val="00601C54"/>
    <w:rPr>
      <w:sz w:val="16"/>
      <w:szCs w:val="16"/>
    </w:rPr>
  </w:style>
  <w:style w:type="paragraph" w:styleId="Textodecomentrio">
    <w:name w:val="annotation text"/>
    <w:basedOn w:val="Normal"/>
    <w:link w:val="TextodecomentrioChar"/>
    <w:uiPriority w:val="99"/>
    <w:semiHidden/>
    <w:unhideWhenUsed/>
    <w:rsid w:val="00601C5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01C54"/>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601C54"/>
    <w:rPr>
      <w:b/>
      <w:bCs/>
    </w:rPr>
  </w:style>
  <w:style w:type="character" w:customStyle="1" w:styleId="AssuntodocomentrioChar">
    <w:name w:val="Assunto do comentário Char"/>
    <w:basedOn w:val="TextodecomentrioChar"/>
    <w:link w:val="Assuntodocomentrio"/>
    <w:uiPriority w:val="99"/>
    <w:semiHidden/>
    <w:rsid w:val="00601C54"/>
    <w:rPr>
      <w:rFonts w:ascii="Arial" w:eastAsia="Arial" w:hAnsi="Arial" w:cs="Arial"/>
      <w:b/>
      <w:bCs/>
      <w:color w:val="000000"/>
      <w:sz w:val="20"/>
      <w:szCs w:val="20"/>
    </w:rPr>
  </w:style>
  <w:style w:type="paragraph" w:styleId="Textodebalo">
    <w:name w:val="Balloon Text"/>
    <w:basedOn w:val="Normal"/>
    <w:link w:val="TextodebaloChar"/>
    <w:uiPriority w:val="99"/>
    <w:semiHidden/>
    <w:unhideWhenUsed/>
    <w:rsid w:val="00601C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1C54"/>
    <w:rPr>
      <w:rFonts w:ascii="Tahoma" w:eastAsia="Arial" w:hAnsi="Tahoma" w:cs="Tahoma"/>
      <w:color w:val="000000"/>
      <w:sz w:val="16"/>
      <w:szCs w:val="16"/>
    </w:rPr>
  </w:style>
  <w:style w:type="paragraph" w:styleId="Rodap">
    <w:name w:val="footer"/>
    <w:basedOn w:val="Normal"/>
    <w:link w:val="RodapChar"/>
    <w:uiPriority w:val="99"/>
    <w:unhideWhenUsed/>
    <w:rsid w:val="00936C1A"/>
    <w:pPr>
      <w:tabs>
        <w:tab w:val="center" w:pos="4252"/>
        <w:tab w:val="right" w:pos="8504"/>
      </w:tabs>
      <w:spacing w:after="0" w:line="240" w:lineRule="auto"/>
    </w:pPr>
  </w:style>
  <w:style w:type="character" w:customStyle="1" w:styleId="RodapChar">
    <w:name w:val="Rodapé Char"/>
    <w:basedOn w:val="Fontepargpadro"/>
    <w:link w:val="Rodap"/>
    <w:uiPriority w:val="99"/>
    <w:rsid w:val="00936C1A"/>
    <w:rPr>
      <w:rFonts w:ascii="Arial" w:eastAsia="Arial" w:hAnsi="Arial" w:cs="Arial"/>
      <w:color w:val="000000"/>
      <w:sz w:val="24"/>
    </w:rPr>
  </w:style>
  <w:style w:type="paragraph" w:styleId="Cabealho">
    <w:name w:val="header"/>
    <w:basedOn w:val="Normal"/>
    <w:link w:val="CabealhoChar"/>
    <w:uiPriority w:val="99"/>
    <w:unhideWhenUsed/>
    <w:rsid w:val="00936C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6C1A"/>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3822">
      <w:bodyDiv w:val="1"/>
      <w:marLeft w:val="0"/>
      <w:marRight w:val="0"/>
      <w:marTop w:val="0"/>
      <w:marBottom w:val="0"/>
      <w:divBdr>
        <w:top w:val="none" w:sz="0" w:space="0" w:color="auto"/>
        <w:left w:val="none" w:sz="0" w:space="0" w:color="auto"/>
        <w:bottom w:val="none" w:sz="0" w:space="0" w:color="auto"/>
        <w:right w:val="none" w:sz="0" w:space="0" w:color="auto"/>
      </w:divBdr>
    </w:div>
    <w:div w:id="901066457">
      <w:bodyDiv w:val="1"/>
      <w:marLeft w:val="0"/>
      <w:marRight w:val="0"/>
      <w:marTop w:val="0"/>
      <w:marBottom w:val="0"/>
      <w:divBdr>
        <w:top w:val="none" w:sz="0" w:space="0" w:color="auto"/>
        <w:left w:val="none" w:sz="0" w:space="0" w:color="auto"/>
        <w:bottom w:val="none" w:sz="0" w:space="0" w:color="auto"/>
        <w:right w:val="none" w:sz="0" w:space="0" w:color="auto"/>
      </w:divBdr>
    </w:div>
    <w:div w:id="1099762821">
      <w:bodyDiv w:val="1"/>
      <w:marLeft w:val="0"/>
      <w:marRight w:val="0"/>
      <w:marTop w:val="0"/>
      <w:marBottom w:val="0"/>
      <w:divBdr>
        <w:top w:val="none" w:sz="0" w:space="0" w:color="auto"/>
        <w:left w:val="none" w:sz="0" w:space="0" w:color="auto"/>
        <w:bottom w:val="none" w:sz="0" w:space="0" w:color="auto"/>
        <w:right w:val="none" w:sz="0" w:space="0" w:color="auto"/>
      </w:divBdr>
    </w:div>
    <w:div w:id="1555309333">
      <w:bodyDiv w:val="1"/>
      <w:marLeft w:val="0"/>
      <w:marRight w:val="0"/>
      <w:marTop w:val="0"/>
      <w:marBottom w:val="0"/>
      <w:divBdr>
        <w:top w:val="none" w:sz="0" w:space="0" w:color="auto"/>
        <w:left w:val="none" w:sz="0" w:space="0" w:color="auto"/>
        <w:bottom w:val="none" w:sz="0" w:space="0" w:color="auto"/>
        <w:right w:val="none" w:sz="0" w:space="0" w:color="auto"/>
      </w:divBdr>
    </w:div>
    <w:div w:id="2046059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1691</Words>
  <Characters>9135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 Almeida</dc:creator>
  <cp:lastModifiedBy>Patrick Gomes Avelino</cp:lastModifiedBy>
  <cp:revision>3</cp:revision>
  <cp:lastPrinted>2022-08-15T03:26:00Z</cp:lastPrinted>
  <dcterms:created xsi:type="dcterms:W3CDTF">2022-09-06T20:21:00Z</dcterms:created>
  <dcterms:modified xsi:type="dcterms:W3CDTF">2022-09-08T13:13:00Z</dcterms:modified>
</cp:coreProperties>
</file>