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E7972" w14:textId="77777777" w:rsidR="00800E59" w:rsidRDefault="00800E59">
      <w:pPr>
        <w:spacing w:line="276" w:lineRule="auto"/>
        <w:ind w:left="0" w:hanging="2"/>
        <w:rPr>
          <w:rFonts w:ascii="Open Sans" w:eastAsia="Open Sans" w:hAnsi="Open Sans" w:cs="Open Sans"/>
          <w:b/>
          <w:lang w:val="pt-BR"/>
        </w:rPr>
      </w:pPr>
    </w:p>
    <w:p w14:paraId="1155F078" w14:textId="77777777" w:rsidR="00800E59" w:rsidRDefault="00000000">
      <w:pPr>
        <w:tabs>
          <w:tab w:val="right" w:pos="8307"/>
        </w:tabs>
        <w:spacing w:line="276" w:lineRule="auto"/>
        <w:ind w:left="2" w:hanging="4"/>
        <w:jc w:val="center"/>
        <w:rPr>
          <w:rFonts w:ascii="Open Sans" w:eastAsia="Open Sans" w:hAnsi="Open Sans" w:cs="Open Sans"/>
          <w:b/>
          <w:sz w:val="40"/>
          <w:szCs w:val="40"/>
          <w:lang w:val="pt-BR"/>
        </w:rPr>
      </w:pPr>
      <w:r>
        <w:rPr>
          <w:rFonts w:ascii="Open Sans" w:eastAsia="Open Sans" w:hAnsi="Open Sans" w:cs="Open Sans"/>
          <w:b/>
          <w:sz w:val="40"/>
          <w:szCs w:val="40"/>
          <w:lang w:val="pt-BR"/>
        </w:rPr>
        <w:t>ELETRICIDADE E LUDICIDADE: um encontro possível</w:t>
      </w:r>
    </w:p>
    <w:p w14:paraId="28F6EE35" w14:textId="77777777" w:rsidR="00800E59" w:rsidRDefault="00800E59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241D2D17" w14:textId="77777777" w:rsidR="00800E59" w:rsidRDefault="00000000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Érica Cupertino Gomes, UFNT, </w:t>
      </w:r>
      <w:hyperlink r:id="rId8">
        <w:r w:rsidR="00800E59">
          <w:rPr>
            <w:rFonts w:ascii="Open Sans" w:eastAsia="Open Sans" w:hAnsi="Open Sans" w:cs="Open Sans"/>
            <w:b/>
            <w:sz w:val="28"/>
            <w:szCs w:val="28"/>
            <w:lang w:val="pt-BR"/>
          </w:rPr>
          <w:t>erica.gomes@uft.edu.br</w:t>
        </w:r>
      </w:hyperlink>
    </w:p>
    <w:p w14:paraId="5E9F9EBC" w14:textId="77777777" w:rsidR="008A5869" w:rsidRDefault="00000000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Gislaine Alves da Silva, UFNT, </w:t>
      </w:r>
      <w:hyperlink r:id="rId9">
        <w:r w:rsidR="00800E59">
          <w:rPr>
            <w:rFonts w:ascii="Open Sans" w:eastAsia="Open Sans" w:hAnsi="Open Sans" w:cs="Open Sans"/>
            <w:b/>
            <w:sz w:val="28"/>
            <w:szCs w:val="28"/>
            <w:lang w:val="pt-BR"/>
          </w:rPr>
          <w:t>gislaine.silva@ufnt.edu.br</w:t>
        </w:r>
      </w:hyperlink>
    </w:p>
    <w:p w14:paraId="2C99761A" w14:textId="77777777" w:rsidR="008A5869" w:rsidRDefault="008A5869" w:rsidP="008A5869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Danilo da Silva Olivier, UFNT, </w:t>
      </w:r>
      <w:hyperlink r:id="rId10">
        <w:r>
          <w:rPr>
            <w:rFonts w:ascii="Open Sans" w:eastAsia="Open Sans" w:hAnsi="Open Sans" w:cs="Open Sans"/>
            <w:b/>
            <w:sz w:val="28"/>
            <w:szCs w:val="28"/>
            <w:lang w:val="pt-BR"/>
          </w:rPr>
          <w:t>danilo.olivier@ufnt.edu.br</w:t>
        </w:r>
      </w:hyperlink>
    </w:p>
    <w:p w14:paraId="4F52EFE9" w14:textId="16549B30" w:rsidR="00800E59" w:rsidRDefault="00800E59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3BCA9AEE" w14:textId="77777777" w:rsidR="00800E59" w:rsidRDefault="00800E59">
      <w:pPr>
        <w:spacing w:after="0" w:line="276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66A67BC5" w14:textId="77777777" w:rsidR="00800E59" w:rsidRDefault="00000000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  <w:proofErr w:type="spellEnd"/>
    </w:p>
    <w:p w14:paraId="1BE71035" w14:textId="77777777" w:rsidR="00800E59" w:rsidRDefault="00800E59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</w:rPr>
      </w:pPr>
    </w:p>
    <w:p w14:paraId="0A657A5A" w14:textId="54862640" w:rsidR="00800E59" w:rsidRDefault="00000000">
      <w:pPr>
        <w:spacing w:before="0" w:after="0" w:line="24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Esse trabalho visa apresentar o relato de experiência de uma das ações do projeto Desvendando o mundo da Física, uma oficina voltada à alunos do ensino fundamental e médio, com professores e futuros professores da rede básica. A oficina foi realizada na VI </w:t>
      </w:r>
      <w:proofErr w:type="spellStart"/>
      <w:r>
        <w:rPr>
          <w:rFonts w:ascii="Open Sans" w:eastAsia="Open Sans" w:hAnsi="Open Sans" w:cs="Open Sans"/>
          <w:lang w:val="pt-BR"/>
        </w:rPr>
        <w:t>Expomatec</w:t>
      </w:r>
      <w:proofErr w:type="spellEnd"/>
      <w:r>
        <w:rPr>
          <w:rFonts w:ascii="Open Sans" w:eastAsia="Open Sans" w:hAnsi="Open Sans" w:cs="Open Sans"/>
          <w:lang w:val="pt-BR"/>
        </w:rPr>
        <w:t xml:space="preserve">, no campus Babaçu, da Universidade Federal do Norte do Tocantins, em Tocantinópolis. O objetivo foi a apresentação de conceitos básicos da Eletricidade de forma lúdica, utilizando elementos das artes e brincadeiras, pois foi observado a necessidade de divulgar a ciência em nível fundamental. Como procedimento metodológico foi utilizado a abordagem </w:t>
      </w:r>
      <w:proofErr w:type="spellStart"/>
      <w:r w:rsidR="00641E67" w:rsidRPr="00641E67">
        <w:rPr>
          <w:rFonts w:ascii="Open Sans" w:eastAsia="Open Sans" w:hAnsi="Open Sans" w:cs="Open Sans"/>
          <w:i/>
          <w:lang w:val="pt-BR"/>
        </w:rPr>
        <w:t>maker</w:t>
      </w:r>
      <w:proofErr w:type="spellEnd"/>
      <w:r>
        <w:rPr>
          <w:rFonts w:ascii="Open Sans" w:eastAsia="Open Sans" w:hAnsi="Open Sans" w:cs="Open Sans"/>
          <w:lang w:val="pt-BR"/>
        </w:rPr>
        <w:t xml:space="preserve">, ou “mão na massa”, pois facilita a aprendizagem através da prática, permitindo a experimentação colaborativa. Como resultado pode-se explorar, de modo divertido e educativo, o fascinante mundo da eletricidade e da energia, de forma consciente e segura. Foi possível proporcionar uma experiência prática e envolvente, e inspirar o interesse pela ciência e pela tecnologia. </w:t>
      </w:r>
    </w:p>
    <w:p w14:paraId="721391E7" w14:textId="77777777" w:rsidR="00800E59" w:rsidRDefault="00800E59">
      <w:pPr>
        <w:spacing w:before="0" w:after="0" w:line="24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3D1487F" w14:textId="7E27F01D" w:rsidR="00800E59" w:rsidRDefault="00000000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  <w:sectPr w:rsidR="00800E5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800" w:bottom="1440" w:left="1800" w:header="720" w:footer="720" w:gutter="0"/>
          <w:pgNumType w:start="1"/>
          <w:cols w:space="720"/>
          <w:formProt w:val="0"/>
          <w:docGrid w:linePitch="272" w:charSpace="8192"/>
        </w:sectPr>
      </w:pPr>
      <w:r>
        <w:rPr>
          <w:rFonts w:ascii="Open Sans" w:eastAsia="Open Sans" w:hAnsi="Open Sans" w:cs="Open Sans"/>
          <w:b/>
          <w:bCs/>
          <w:lang w:val="pt-BR"/>
        </w:rPr>
        <w:t>Palavras-chave:</w:t>
      </w:r>
      <w:r>
        <w:rPr>
          <w:rFonts w:ascii="Open Sans" w:eastAsia="Open Sans" w:hAnsi="Open Sans" w:cs="Open Sans"/>
          <w:lang w:val="pt-BR"/>
        </w:rPr>
        <w:t xml:space="preserve"> Física, </w:t>
      </w:r>
      <w:r w:rsidR="007B141B">
        <w:rPr>
          <w:rFonts w:ascii="Open Sans" w:eastAsia="Open Sans" w:hAnsi="Open Sans" w:cs="Open Sans"/>
          <w:lang w:val="pt-BR"/>
        </w:rPr>
        <w:t xml:space="preserve">Abordagem </w:t>
      </w:r>
      <w:proofErr w:type="spellStart"/>
      <w:r w:rsidR="00641E67" w:rsidRPr="00641E67">
        <w:rPr>
          <w:rFonts w:ascii="Open Sans" w:eastAsia="Open Sans" w:hAnsi="Open Sans" w:cs="Open Sans"/>
          <w:i/>
          <w:lang w:val="pt-BR"/>
        </w:rPr>
        <w:t>Maker</w:t>
      </w:r>
      <w:proofErr w:type="spellEnd"/>
      <w:r>
        <w:rPr>
          <w:rFonts w:ascii="Open Sans" w:eastAsia="Open Sans" w:hAnsi="Open Sans" w:cs="Open Sans"/>
          <w:lang w:val="pt-BR"/>
        </w:rPr>
        <w:t>, Divulgação Científica.</w:t>
      </w:r>
    </w:p>
    <w:p w14:paraId="3ED71A76" w14:textId="77777777" w:rsidR="00800E59" w:rsidRDefault="00000000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  <w:proofErr w:type="spellEnd"/>
    </w:p>
    <w:p w14:paraId="5D1EF11D" w14:textId="77777777" w:rsidR="00800E59" w:rsidRDefault="00800E59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</w:p>
    <w:p w14:paraId="0714D3FC" w14:textId="77777777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O projeto Desvendando o mundo da Física foi idealizado em função da necessidade de ampliar a divulgação acerca da Física e do curso de Física da UFNT, para jovens e adultos que buscam um curso superior, além de contribuir para a popularização de uma ciência de base. Esse projeto conta com diferentes abordagens e ações, uma delas é a exposição de experimentos de Física. Tal atividade, no âmbito do projeto, se deparou com limitações inesperadas, dentre as principais se destaca a dificuldade de trazer alunos para os laboratórios de Física da UFNT. Para ultrapassar tal dificuldade, uma solução seria levar aos alunos alguns experimentos, mas outras limitações apareceram, como o uso de equipamentos fora do espaço da instituição. A solução encontrada foi o desenvolvimento de oficina temática, que é uma metodologia capaz de atrelar diferentes elementos do saber.</w:t>
      </w:r>
    </w:p>
    <w:p w14:paraId="451513FB" w14:textId="6948D176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Sob tal perspectiva, foi </w:t>
      </w:r>
      <w:r w:rsidR="00641E67">
        <w:rPr>
          <w:rFonts w:ascii="Open Sans" w:eastAsia="Open Sans" w:hAnsi="Open Sans" w:cs="Open Sans"/>
          <w:lang w:val="pt-BR"/>
        </w:rPr>
        <w:t xml:space="preserve">planejada </w:t>
      </w:r>
      <w:r>
        <w:rPr>
          <w:rFonts w:ascii="Open Sans" w:eastAsia="Open Sans" w:hAnsi="Open Sans" w:cs="Open Sans"/>
          <w:lang w:val="pt-BR"/>
        </w:rPr>
        <w:t>uma oficina interdisciplinar, com a articulação entre a Física e as Artes: “Eletricidade e Ludicidade, uma combinação possível”. O pensamento primordial foi agregar elementos de ludicidade para uma área que a princípio é bastante rígida. A oficina foi pensada para alunos do ensino médio e fundamental.</w:t>
      </w:r>
    </w:p>
    <w:p w14:paraId="54AC6F2E" w14:textId="77777777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 oficina que se destacou e é objeto desse relato ocorreu em um importante evento da UFNT, a VI Exposição de Metodologias, Alternativas e Tecnologias para o Ensino das Ciências (EXPOMATEC), no campus Babaçu, em Tocantinópolis. Embora o público-alvo idealizado tenha sido alunos da rede básica de educação, para a VI EXPOMATEC focamos nos professores e futuros professores da rede básica. Assim, participaram discentes do curso de Pedagogia, professores da rede básica de educação, um coordenador de área da rede estadual (SEDUC) e alunos da educação básica. </w:t>
      </w:r>
    </w:p>
    <w:p w14:paraId="7632203C" w14:textId="77777777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 oficina proposta visou apresentar uma visão diferenciada para o ensino de conceitos Físicos na área de Ciências da Natureza, despertando o interesse pela área, especialmente a Física, enquanto se trabalha alguns princípios fundamentais da eletricidade (materiais isolantes e condutores e circuitos elétricos simples), de forma prática e segura. </w:t>
      </w:r>
    </w:p>
    <w:p w14:paraId="7C0B868B" w14:textId="77777777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Apresentar conceitos básicos da Eletricidade de forma lúdica, com elementos das artes e brincadeiras facilita o aprendizado de tópicos de Física que frequentemente são considerados difíceis, e serve como uma base valiosa para futuros professores da educação infantil e pedagogos. </w:t>
      </w:r>
    </w:p>
    <w:p w14:paraId="6135804D" w14:textId="0B75A377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lastRenderedPageBreak/>
        <w:t xml:space="preserve">Como procedimento metodológico foi utilizada a abordagem </w:t>
      </w:r>
      <w:proofErr w:type="spellStart"/>
      <w:r w:rsidR="00641E67" w:rsidRPr="00641E67">
        <w:rPr>
          <w:rFonts w:ascii="Open Sans" w:eastAsia="Open Sans" w:hAnsi="Open Sans" w:cs="Open Sans"/>
          <w:i/>
          <w:iCs/>
          <w:lang w:val="pt-BR"/>
        </w:rPr>
        <w:t>maker</w:t>
      </w:r>
      <w:proofErr w:type="spellEnd"/>
      <w:r>
        <w:rPr>
          <w:rFonts w:ascii="Open Sans" w:eastAsia="Open Sans" w:hAnsi="Open Sans" w:cs="Open Sans"/>
          <w:lang w:val="pt-BR"/>
        </w:rPr>
        <w:t xml:space="preserve">, ou “mão na massa”, pois facilita a aprendizagem através da prática, permitindo a experimentação colaborativa. A metodologia </w:t>
      </w:r>
      <w:proofErr w:type="spellStart"/>
      <w:r w:rsidR="00641E67" w:rsidRPr="00641E67">
        <w:rPr>
          <w:rFonts w:ascii="Open Sans" w:eastAsia="Open Sans" w:hAnsi="Open Sans" w:cs="Open Sans"/>
          <w:i/>
          <w:iCs/>
          <w:lang w:val="pt-BR"/>
        </w:rPr>
        <w:t>maker</w:t>
      </w:r>
      <w:proofErr w:type="spellEnd"/>
      <w:r>
        <w:rPr>
          <w:rFonts w:ascii="Open Sans" w:eastAsia="Open Sans" w:hAnsi="Open Sans" w:cs="Open Sans"/>
          <w:lang w:val="pt-BR"/>
        </w:rPr>
        <w:t xml:space="preserve"> oferece uma abordagem empolgante e envolvente para o ensino e a aprendizagem, promovendo a criatividade, a inovação e a colaboração, além de ser adequada para o trabalho interdisciplinar. O ambiente </w:t>
      </w:r>
      <w:proofErr w:type="spellStart"/>
      <w:r w:rsidR="00641E67" w:rsidRPr="00641E67">
        <w:rPr>
          <w:rFonts w:ascii="Open Sans" w:eastAsia="Open Sans" w:hAnsi="Open Sans" w:cs="Open Sans"/>
          <w:i/>
          <w:iCs/>
          <w:lang w:val="pt-BR"/>
        </w:rPr>
        <w:t>maker</w:t>
      </w:r>
      <w:proofErr w:type="spellEnd"/>
      <w:r>
        <w:rPr>
          <w:rFonts w:ascii="Open Sans" w:eastAsia="Open Sans" w:hAnsi="Open Sans" w:cs="Open Sans"/>
          <w:lang w:val="pt-BR"/>
        </w:rPr>
        <w:t xml:space="preserve"> incentiva a experimentação como oportunidade de aprendizado, valorizando o erro como parte do processo de aprendizagem. </w:t>
      </w:r>
    </w:p>
    <w:p w14:paraId="5C87E2E9" w14:textId="2AEC2062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O movimento </w:t>
      </w:r>
      <w:proofErr w:type="spellStart"/>
      <w:r w:rsidR="00641E67" w:rsidRPr="00641E67">
        <w:rPr>
          <w:rFonts w:ascii="Open Sans" w:eastAsia="Open Sans" w:hAnsi="Open Sans" w:cs="Open Sans"/>
          <w:i/>
          <w:iCs/>
          <w:lang w:val="pt-BR"/>
        </w:rPr>
        <w:t>maker</w:t>
      </w:r>
      <w:proofErr w:type="spellEnd"/>
      <w:r>
        <w:rPr>
          <w:rFonts w:ascii="Open Sans" w:eastAsia="Open Sans" w:hAnsi="Open Sans" w:cs="Open Sans"/>
          <w:lang w:val="pt-BR"/>
        </w:rPr>
        <w:t xml:space="preserve"> contempla uma ampla variedade de atividades, ações, contextos e participantes (</w:t>
      </w:r>
      <w:proofErr w:type="spellStart"/>
      <w:r>
        <w:rPr>
          <w:rFonts w:ascii="Open Sans" w:eastAsia="Open Sans" w:hAnsi="Open Sans" w:cs="Open Sans"/>
          <w:lang w:val="pt-BR"/>
        </w:rPr>
        <w:t>Halverson</w:t>
      </w:r>
      <w:proofErr w:type="spellEnd"/>
      <w:r>
        <w:rPr>
          <w:rFonts w:ascii="Open Sans" w:eastAsia="Open Sans" w:hAnsi="Open Sans" w:cs="Open Sans"/>
          <w:lang w:val="pt-BR"/>
        </w:rPr>
        <w:t xml:space="preserve"> e Sheridan, 2014). Essa metodologia tem a seguinte premissa: qualquer indivíduo tem a capacidade de criar, restaurar, e transformar objetos e projetos, utilizando materiais acessíveis e suas próprias habilidades manuais. (Meira e Ribeiro, 2016). </w:t>
      </w:r>
      <w:bookmarkStart w:id="0" w:name="_Hlk149754947"/>
      <w:proofErr w:type="spellStart"/>
      <w:r>
        <w:rPr>
          <w:rFonts w:ascii="Open Sans" w:eastAsia="Open Sans" w:hAnsi="Open Sans" w:cs="Open Sans"/>
          <w:lang w:val="pt-BR"/>
        </w:rPr>
        <w:t>Samagaia</w:t>
      </w:r>
      <w:proofErr w:type="spellEnd"/>
      <w:r>
        <w:rPr>
          <w:rFonts w:ascii="Open Sans" w:eastAsia="Open Sans" w:hAnsi="Open Sans" w:cs="Open Sans"/>
          <w:lang w:val="pt-BR"/>
        </w:rPr>
        <w:t xml:space="preserve"> e </w:t>
      </w:r>
      <w:proofErr w:type="spellStart"/>
      <w:r>
        <w:rPr>
          <w:rFonts w:ascii="Open Sans" w:eastAsia="Open Sans" w:hAnsi="Open Sans" w:cs="Open Sans"/>
          <w:lang w:val="pt-BR"/>
        </w:rPr>
        <w:t>Delizoicov</w:t>
      </w:r>
      <w:proofErr w:type="spellEnd"/>
      <w:r>
        <w:rPr>
          <w:rFonts w:ascii="Open Sans" w:eastAsia="Open Sans" w:hAnsi="Open Sans" w:cs="Open Sans"/>
          <w:lang w:val="pt-BR"/>
        </w:rPr>
        <w:t xml:space="preserve"> (2015) </w:t>
      </w:r>
      <w:bookmarkEnd w:id="0"/>
      <w:r>
        <w:rPr>
          <w:rFonts w:ascii="Open Sans" w:eastAsia="Open Sans" w:hAnsi="Open Sans" w:cs="Open Sans"/>
          <w:lang w:val="pt-BR"/>
        </w:rPr>
        <w:t xml:space="preserve">destacam que as características informais da abordagem </w:t>
      </w:r>
      <w:proofErr w:type="spellStart"/>
      <w:r w:rsidR="00E77FF8" w:rsidRPr="00641E67">
        <w:rPr>
          <w:rFonts w:ascii="Open Sans" w:eastAsia="Open Sans" w:hAnsi="Open Sans" w:cs="Open Sans"/>
          <w:i/>
          <w:lang w:val="pt-BR"/>
        </w:rPr>
        <w:t>maker</w:t>
      </w:r>
      <w:proofErr w:type="spellEnd"/>
      <w:r w:rsidR="00E77FF8">
        <w:rPr>
          <w:rFonts w:ascii="Open Sans" w:eastAsia="Open Sans" w:hAnsi="Open Sans" w:cs="Open Sans"/>
          <w:lang w:val="pt-BR"/>
        </w:rPr>
        <w:t xml:space="preserve"> </w:t>
      </w:r>
      <w:r>
        <w:rPr>
          <w:rFonts w:ascii="Open Sans" w:eastAsia="Open Sans" w:hAnsi="Open Sans" w:cs="Open Sans"/>
          <w:lang w:val="pt-BR"/>
        </w:rPr>
        <w:t xml:space="preserve">contribuem com a educação científica, pois estimula a troca de conhecimentos científicos e tecnológicos. Portanto, essa abordagem metodológica faz-se pertinente à uma oficina temática. </w:t>
      </w:r>
    </w:p>
    <w:p w14:paraId="6418F5C9" w14:textId="77777777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Dentre as atividades práticas que foram trabalhadas temos a montagem de circuitos elétricos simples, envolvendo o uso de baterias, fios condutores, leds e similares, a fim de demonstrar fenômenos elétricos que permeiam nosso cotidiano. Outra atividade proposta foi um experimento interativo com materiais condutores e isolantes, com o objetivo de identificar diferentes tipos de materiais de uso corriqueiro e conscientizar os participantes para o uso correto de certos dispositivos, com foco na segurança. Além das atividades práticas, a oficina incluiu discussões teóricas sobre os princípios básicos da eletricidade, como carga elétrica, corrente elétrica, voltagem e resistência, de forma associada ao cotidiano e compreensível a todos. </w:t>
      </w:r>
    </w:p>
    <w:p w14:paraId="2C9A0480" w14:textId="77777777" w:rsidR="00800E59" w:rsidRDefault="00800E59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2BAB6C3B" w14:textId="77777777" w:rsidR="00800E59" w:rsidRDefault="00800E59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bookmarkStart w:id="1" w:name="_heading=h.3znysh7"/>
      <w:bookmarkEnd w:id="1"/>
    </w:p>
    <w:p w14:paraId="6A63E315" w14:textId="77777777" w:rsidR="00800E59" w:rsidRDefault="00000000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  <w:proofErr w:type="spellEnd"/>
    </w:p>
    <w:p w14:paraId="150B79B1" w14:textId="77777777" w:rsidR="00800E59" w:rsidRDefault="00800E59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  <w:bookmarkStart w:id="2" w:name="bookmark=id.2et92p0"/>
      <w:bookmarkEnd w:id="2"/>
    </w:p>
    <w:p w14:paraId="744845B4" w14:textId="77777777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O objetivo geral da oficina “Eletricidade e Ludicidade, uma combinação possível” foi popularizar a Física.</w:t>
      </w:r>
    </w:p>
    <w:p w14:paraId="13A6F265" w14:textId="77777777" w:rsidR="00800E59" w:rsidRDefault="00000000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Como objetivos específicos podemos destacar:</w:t>
      </w:r>
    </w:p>
    <w:p w14:paraId="06ADC4AB" w14:textId="77777777" w:rsidR="00800E59" w:rsidRDefault="00000000">
      <w:pPr>
        <w:pStyle w:val="PargrafodaLista"/>
        <w:numPr>
          <w:ilvl w:val="0"/>
          <w:numId w:val="3"/>
        </w:numPr>
        <w:spacing w:line="360" w:lineRule="auto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Fomentar o aumento do interesse pela Física;</w:t>
      </w:r>
    </w:p>
    <w:p w14:paraId="535E7B88" w14:textId="77777777" w:rsidR="00800E59" w:rsidRDefault="00000000">
      <w:pPr>
        <w:pStyle w:val="PargrafodaLista"/>
        <w:numPr>
          <w:ilvl w:val="0"/>
          <w:numId w:val="3"/>
        </w:numPr>
        <w:spacing w:line="360" w:lineRule="auto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lastRenderedPageBreak/>
        <w:t>Demonstrar que a Física pode ser estudada de forma lúdica, a depender do nível de profundidade do estudo;</w:t>
      </w:r>
    </w:p>
    <w:p w14:paraId="6AB5FF13" w14:textId="77777777" w:rsidR="00800E59" w:rsidRDefault="00000000">
      <w:pPr>
        <w:pStyle w:val="PargrafodaLista"/>
        <w:numPr>
          <w:ilvl w:val="0"/>
          <w:numId w:val="3"/>
        </w:numPr>
        <w:spacing w:line="360" w:lineRule="auto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Divulgar a Física;</w:t>
      </w:r>
    </w:p>
    <w:p w14:paraId="6307609B" w14:textId="77777777" w:rsidR="00800E59" w:rsidRDefault="00000000">
      <w:pPr>
        <w:pStyle w:val="PargrafodaLista"/>
        <w:numPr>
          <w:ilvl w:val="0"/>
          <w:numId w:val="3"/>
        </w:numPr>
        <w:spacing w:line="360" w:lineRule="auto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Divulgar o curso de licenciatura em Física da UFNT;</w:t>
      </w:r>
    </w:p>
    <w:p w14:paraId="2D11F8F2" w14:textId="77777777" w:rsidR="00800E59" w:rsidRDefault="00800E59">
      <w:pPr>
        <w:spacing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25881F34" w14:textId="77777777" w:rsidR="00800E59" w:rsidRDefault="00000000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Narrativa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de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Vivência</w:t>
      </w:r>
      <w:proofErr w:type="spellEnd"/>
    </w:p>
    <w:p w14:paraId="7221C5B6" w14:textId="77777777" w:rsidR="00800E59" w:rsidRDefault="0000000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A oficina “Eletricidade e Ludicidade, uma combinação possível” foi realizada por dois professores do curso de Física da UFNT com o auxílio de uma discente do curso. Participaram professores da rede básica, discentes do curso de Pedagogia e de outros cursos.</w:t>
      </w:r>
    </w:p>
    <w:p w14:paraId="14AABD53" w14:textId="77777777" w:rsidR="00800E59" w:rsidRDefault="0000000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Inicialmente foi realizada uma breve apresentação dialogada, acerca de alguns fundamentos de eletricidade, algumas aplicações e cuidados (Imagem 1). </w:t>
      </w:r>
    </w:p>
    <w:p w14:paraId="752DC356" w14:textId="77777777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Imagem 1 – Apresentação inicial da oficina</w:t>
      </w:r>
    </w:p>
    <w:p w14:paraId="77AB9E32" w14:textId="77777777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noProof/>
        </w:rPr>
        <w:drawing>
          <wp:inline distT="0" distB="0" distL="0" distR="0" wp14:anchorId="06CB23FC" wp14:editId="34FAD2D9">
            <wp:extent cx="2973705" cy="1672853"/>
            <wp:effectExtent l="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08" cy="16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C9FF" w14:textId="77777777" w:rsidR="00800E59" w:rsidRDefault="00800E59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</w:p>
    <w:p w14:paraId="03B1E96C" w14:textId="77777777" w:rsidR="00800E59" w:rsidRDefault="0000000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Após essa conversa inicial os participantes foram divididos em grupos e receberam um kit para o desenvolvimento das atividades (Imagem 2). </w:t>
      </w:r>
    </w:p>
    <w:p w14:paraId="5B548709" w14:textId="1B0FCD0C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Imagem 2 – Foto dos grupos no momento </w:t>
      </w:r>
      <w:proofErr w:type="spellStart"/>
      <w:r w:rsidR="00641E67" w:rsidRPr="00641E67">
        <w:rPr>
          <w:rFonts w:ascii="Open Sans" w:eastAsia="Open Sans" w:hAnsi="Open Sans" w:cs="Open Sans"/>
          <w:i/>
          <w:lang w:val="pt-BR"/>
        </w:rPr>
        <w:t>Maker</w:t>
      </w:r>
      <w:proofErr w:type="spellEnd"/>
    </w:p>
    <w:p w14:paraId="54CD43F4" w14:textId="77777777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noProof/>
        </w:rPr>
        <w:drawing>
          <wp:inline distT="0" distB="0" distL="0" distR="0" wp14:anchorId="66960003" wp14:editId="4640E18A">
            <wp:extent cx="3232259" cy="1850571"/>
            <wp:effectExtent l="0" t="0" r="0" b="0"/>
            <wp:docPr id="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b="23690"/>
                    <a:stretch/>
                  </pic:blipFill>
                  <pic:spPr bwMode="auto">
                    <a:xfrm>
                      <a:off x="0" y="0"/>
                      <a:ext cx="3245162" cy="185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4BFC1" w14:textId="77777777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Fonte: Acervo pessoal</w:t>
      </w:r>
    </w:p>
    <w:p w14:paraId="6E2D4054" w14:textId="77777777" w:rsidR="00800E59" w:rsidRDefault="00800E59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</w:p>
    <w:p w14:paraId="5909C1F6" w14:textId="77777777" w:rsidR="00800E59" w:rsidRDefault="0000000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O kit para a confecção dos materiais incluiu: leds coloridos, baterias de 3V, fita de cobre adesiva, desenhos para colorir, lápis de cor, materiais isolantes e condutores. O uso de bateria de baixíssima voltagem permite a máxima segurança, pois não oferece risco de choque elétrico. As imagens 3 e 4 apresentam alguns trabalhos desenvolvidos.</w:t>
      </w:r>
    </w:p>
    <w:p w14:paraId="6662E67D" w14:textId="77777777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Imagem 3 – Alguns trabalhos da oficina</w:t>
      </w:r>
    </w:p>
    <w:tbl>
      <w:tblPr>
        <w:tblStyle w:val="Tabelacomgrade"/>
        <w:tblW w:w="8297" w:type="dxa"/>
        <w:tblLayout w:type="fixed"/>
        <w:tblLook w:val="04A0" w:firstRow="1" w:lastRow="0" w:firstColumn="1" w:lastColumn="0" w:noHBand="0" w:noVBand="1"/>
      </w:tblPr>
      <w:tblGrid>
        <w:gridCol w:w="4148"/>
        <w:gridCol w:w="4149"/>
      </w:tblGrid>
      <w:tr w:rsidR="00800E59" w14:paraId="14503A30" w14:textId="77777777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7B31275E" w14:textId="77777777" w:rsidR="00800E59" w:rsidRDefault="00000000">
            <w:pPr>
              <w:spacing w:after="0" w:line="360" w:lineRule="auto"/>
              <w:ind w:left="0" w:firstLine="0"/>
              <w:jc w:val="center"/>
              <w:rPr>
                <w:rFonts w:ascii="Open Sans" w:eastAsia="Open Sans" w:hAnsi="Open Sans" w:cs="Open Sans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4EA576A" wp14:editId="1D285015">
                  <wp:extent cx="1663700" cy="2415540"/>
                  <wp:effectExtent l="635" t="20955" r="3810" b="0"/>
                  <wp:docPr id="5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3"/>
                          <pic:cNvPicPr/>
                        </pic:nvPicPr>
                        <pic:blipFill>
                          <a:blip r:embed="rId19"/>
                          <a:srcRect l="6179" t="2209" r="10607" b="7082"/>
                          <a:stretch/>
                        </pic:blipFill>
                        <pic:spPr>
                          <a:xfrm rot="16200000">
                            <a:off x="0" y="0"/>
                            <a:ext cx="1663560" cy="241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27C038D0" w14:textId="77777777" w:rsidR="00800E59" w:rsidRDefault="00000000">
            <w:pPr>
              <w:spacing w:after="0" w:line="360" w:lineRule="auto"/>
              <w:ind w:left="0" w:firstLine="0"/>
              <w:jc w:val="center"/>
              <w:rPr>
                <w:rFonts w:ascii="Open Sans" w:eastAsia="Open Sans" w:hAnsi="Open Sans" w:cs="Open Sans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2E94EF8D" wp14:editId="22B6B75C">
                  <wp:extent cx="1574800" cy="2439670"/>
                  <wp:effectExtent l="0" t="0" r="6350" b="0"/>
                  <wp:docPr id="7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5"/>
                          <pic:cNvPicPr/>
                        </pic:nvPicPr>
                        <pic:blipFill>
                          <a:blip r:embed="rId20"/>
                          <a:srcRect l="21757" t="21176" r="24123" b="15917"/>
                          <a:stretch/>
                        </pic:blipFill>
                        <pic:spPr>
                          <a:xfrm rot="10800000" flipH="1">
                            <a:off x="0" y="0"/>
                            <a:ext cx="1574640" cy="243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E59" w:rsidRPr="007B141B" w14:paraId="46814750" w14:textId="77777777"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64D506DF" w14:textId="77777777" w:rsidR="00800E59" w:rsidRDefault="00000000">
            <w:pPr>
              <w:pStyle w:val="PargrafodaLista"/>
              <w:numPr>
                <w:ilvl w:val="0"/>
                <w:numId w:val="4"/>
              </w:numPr>
              <w:spacing w:before="0" w:after="0" w:line="240" w:lineRule="auto"/>
              <w:jc w:val="center"/>
              <w:rPr>
                <w:rFonts w:ascii="Open Sans" w:eastAsia="Open Sans" w:hAnsi="Open Sans" w:cs="Open Sans"/>
                <w:lang w:val="pt-BR"/>
              </w:rPr>
            </w:pPr>
            <w:r>
              <w:rPr>
                <w:rFonts w:ascii="Open Sans" w:eastAsia="Open Sans" w:hAnsi="Open Sans" w:cs="Open Sans"/>
                <w:lang w:val="pt-BR"/>
              </w:rPr>
              <w:t>Circuito elétrico da lamparina feito por um dos participantes da oficina</w:t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</w:tcPr>
          <w:p w14:paraId="5B758522" w14:textId="77777777" w:rsidR="00800E59" w:rsidRDefault="00000000">
            <w:pPr>
              <w:pStyle w:val="PargrafodaLista"/>
              <w:numPr>
                <w:ilvl w:val="0"/>
                <w:numId w:val="4"/>
              </w:numPr>
              <w:spacing w:before="0" w:after="0" w:line="240" w:lineRule="auto"/>
              <w:jc w:val="center"/>
              <w:rPr>
                <w:rFonts w:ascii="Open Sans" w:eastAsia="Open Sans" w:hAnsi="Open Sans" w:cs="Open Sans"/>
                <w:lang w:val="pt-BR"/>
              </w:rPr>
            </w:pPr>
            <w:r>
              <w:rPr>
                <w:rFonts w:ascii="Open Sans" w:eastAsia="Open Sans" w:hAnsi="Open Sans" w:cs="Open Sans"/>
                <w:lang w:val="pt-BR"/>
              </w:rPr>
              <w:t>Desenho da lamparina colorido por participantes da oficina</w:t>
            </w:r>
          </w:p>
        </w:tc>
      </w:tr>
      <w:tr w:rsidR="00800E59" w14:paraId="679D3B55" w14:textId="77777777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99995C" w14:textId="77777777" w:rsidR="00800E59" w:rsidRDefault="00000000">
            <w:pPr>
              <w:spacing w:after="0" w:line="360" w:lineRule="auto"/>
              <w:ind w:left="0" w:firstLine="0"/>
              <w:jc w:val="center"/>
              <w:rPr>
                <w:rFonts w:ascii="Open Sans" w:eastAsia="Open Sans" w:hAnsi="Open Sans" w:cs="Open Sans"/>
                <w:lang w:val="pt-BR"/>
              </w:rPr>
            </w:pPr>
            <w:r>
              <w:rPr>
                <w:rFonts w:ascii="Open Sans" w:eastAsia="Open Sans" w:hAnsi="Open Sans" w:cs="Open Sans"/>
                <w:lang w:val="pt-BR"/>
              </w:rPr>
              <w:t>Fonte: Acervo pessoal</w:t>
            </w:r>
          </w:p>
        </w:tc>
      </w:tr>
    </w:tbl>
    <w:p w14:paraId="15FA0EB6" w14:textId="77777777" w:rsidR="00800E59" w:rsidRDefault="0000000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A imagem 4 ilustra um dos trabalhos sobre materiais isolantes e condutores. O objetivo foi apresentar os diferentes tipos de materiais de forma divertida. No corpo do robô (indicado pela seta) colocamos materiais como cortiça (rolha); grafite de lapiseira, borracha, clipes e outros, todos de fácil acesso à alunos e professores. Quando o material colocado era isolante o led não acendia. Quando o material era condutor, o circuito seria fechado e, portanto, o led indicativo de material condutor acendia. </w:t>
      </w:r>
    </w:p>
    <w:p w14:paraId="351325FF" w14:textId="77777777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Imagem 4 – Um dos trabalhos da oficina</w:t>
      </w:r>
    </w:p>
    <w:p w14:paraId="3AA58539" w14:textId="269BA395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noProof/>
        </w:rPr>
        <w:lastRenderedPageBreak/>
        <w:pict w14:anchorId="7117157C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eta: Curva para a Direita 7" o:spid="_x0000_s1026" type="#_x0000_t13" style="position:absolute;left:0;text-align:left;margin-left:214.3pt;margin-top:107.05pt;width:54.15pt;height:21.15pt;rotation:9038725fd;z-index:251657216;visibility:visible;mso-wrap-style:square;mso-width-percent:0;mso-height-percent:0;mso-wrap-distance-left:0;mso-wrap-distance-top:16.5pt;mso-wrap-distance-right:0;mso-wrap-distance-bottom:17.7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" adj="15992,7334" fillcolor="red" strokecolor="#be4b48">
            <v:stroke joinstyle="round"/>
            <v:shadow on="t" color="black" opacity="22937f" origin=",.5" offset="0,.64mm"/>
          </v:shape>
        </w:pict>
      </w:r>
      <w:r w:rsidR="00641E67">
        <w:rPr>
          <w:noProof/>
        </w:rPr>
        <w:drawing>
          <wp:inline distT="0" distB="0" distL="0" distR="0" wp14:anchorId="0498D47A" wp14:editId="7134C3E9">
            <wp:extent cx="1965960" cy="2743727"/>
            <wp:effectExtent l="0" t="0" r="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110" t="16990" r="10016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25" cy="27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4B086" w14:textId="77777777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Fonte: Acervo pessoal</w:t>
      </w:r>
    </w:p>
    <w:p w14:paraId="1824F633" w14:textId="77777777" w:rsidR="00800E59" w:rsidRDefault="0000000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Essa atividade com o robozinho foi a mais divertida, pois trabalhamos com vários materiais que os participantes não conheciam como condutores. Uma das participantes postou o trabalho feito no Instagram pessoal e marcou o curso de Física, como pode ser visto na imagem 5.</w:t>
      </w:r>
    </w:p>
    <w:p w14:paraId="5D05BD32" w14:textId="77777777" w:rsidR="00800E59" w:rsidRDefault="00800E59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4038099F" w14:textId="77777777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Imagem 5 – Uma publicação no Instagram com um dos trabalhos da oficina</w:t>
      </w:r>
    </w:p>
    <w:p w14:paraId="40D5E62A" w14:textId="35E2AFCC" w:rsidR="00800E59" w:rsidRDefault="00641E67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noProof/>
        </w:rPr>
        <w:drawing>
          <wp:inline distT="0" distB="0" distL="0" distR="0" wp14:anchorId="36D82CDD" wp14:editId="3BDF4FEA">
            <wp:extent cx="1721838" cy="3062710"/>
            <wp:effectExtent l="0" t="0" r="0" b="0"/>
            <wp:docPr id="97418859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" b="14274"/>
                    <a:stretch/>
                  </pic:blipFill>
                  <pic:spPr bwMode="auto">
                    <a:xfrm>
                      <a:off x="0" y="0"/>
                      <a:ext cx="1728647" cy="307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BA515" w14:textId="77777777" w:rsidR="00800E59" w:rsidRDefault="00000000">
      <w:pPr>
        <w:spacing w:after="0" w:line="360" w:lineRule="auto"/>
        <w:ind w:left="0" w:hanging="2"/>
        <w:jc w:val="center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Fonte: Acervo pessoal</w:t>
      </w:r>
    </w:p>
    <w:p w14:paraId="33290FF0" w14:textId="77777777" w:rsidR="00800E59" w:rsidRDefault="00800E59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495546F3" w14:textId="77777777" w:rsidR="00800E59" w:rsidRDefault="00800E59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bookmarkStart w:id="3" w:name="_heading=h.tyjcwt"/>
      <w:bookmarkEnd w:id="3"/>
    </w:p>
    <w:p w14:paraId="678FAD2B" w14:textId="77777777" w:rsidR="00800E59" w:rsidRDefault="00000000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Considerações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Finais</w:t>
      </w:r>
      <w:proofErr w:type="spellEnd"/>
    </w:p>
    <w:p w14:paraId="0DF3431C" w14:textId="77777777" w:rsidR="00800E59" w:rsidRDefault="0000000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Esperávamos que a oficina oferecesse uma oportunidade lúdica, divertida e educativa para explorar o fascinante mundo da eletricidade e da energia, de forma consciente e segura. Esse objetivo foi alcançado, dado os bons comentários dos participantes, incluindo a publicação no Instagram.</w:t>
      </w:r>
    </w:p>
    <w:p w14:paraId="48623FA5" w14:textId="77777777" w:rsidR="00800E59" w:rsidRDefault="00000000">
      <w:pPr>
        <w:spacing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As alunas de pedagogia perceberam que é possível trabalhar com o conteúdo de eletricidade em turmas de crianças, de uma forma segura e confiável. O professor que participou, que é coordenador de área em uma escola da rede pública de educação, levou materiais e se propôs a divulgar o tipo de trabalho na escola em que trabalha. Portanto, a oficina alcançou um bom resultado inesperado.</w:t>
      </w:r>
    </w:p>
    <w:p w14:paraId="7C3078CD" w14:textId="77777777" w:rsidR="00800E59" w:rsidRDefault="00000000">
      <w:pPr>
        <w:spacing w:after="0" w:line="360" w:lineRule="auto"/>
        <w:ind w:left="0" w:hanging="2"/>
        <w:rPr>
          <w:rFonts w:ascii="Open Sans" w:eastAsia="Open Sans" w:hAnsi="Open Sans" w:cs="Open Sans"/>
          <w:color w:val="FF0000"/>
          <w:lang w:val="pt-BR"/>
        </w:rPr>
      </w:pPr>
      <w:r>
        <w:rPr>
          <w:rFonts w:ascii="Open Sans" w:eastAsia="Open Sans" w:hAnsi="Open Sans" w:cs="Open Sans"/>
          <w:lang w:val="pt-BR"/>
        </w:rPr>
        <w:t>Ao proporcionar uma experiência prática e envolvente, essa oficina inspirou o interesse pela ciência e pela tecnologia, e motivou os autores a continuarem com esse tipo de proposta e abordagem de divulgação da ciência, da tecnologia e do curso de Física da UFNT.</w:t>
      </w:r>
    </w:p>
    <w:p w14:paraId="6A9744D6" w14:textId="77777777" w:rsidR="00800E59" w:rsidRDefault="00000000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Referências</w:t>
      </w:r>
      <w:proofErr w:type="spellEnd"/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000000"/>
          <w:sz w:val="28"/>
          <w:szCs w:val="28"/>
        </w:rPr>
        <w:t>Bibliográficas</w:t>
      </w:r>
      <w:proofErr w:type="spellEnd"/>
    </w:p>
    <w:p w14:paraId="4838A307" w14:textId="77777777" w:rsidR="00800E59" w:rsidRDefault="00800E59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</w:rPr>
      </w:pPr>
    </w:p>
    <w:p w14:paraId="3FD322DA" w14:textId="483A0F77" w:rsidR="00800E59" w:rsidRPr="00641E67" w:rsidRDefault="00000000">
      <w:pPr>
        <w:spacing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HALVERSON, E.; SHERIDAN, K. </w:t>
      </w:r>
      <w:r>
        <w:rPr>
          <w:rFonts w:ascii="Open Sans" w:eastAsia="Open Sans" w:hAnsi="Open Sans" w:cs="Open Sans"/>
          <w:b/>
          <w:bCs/>
        </w:rPr>
        <w:t xml:space="preserve">The </w:t>
      </w:r>
      <w:r w:rsidR="00641E67" w:rsidRPr="00641E67">
        <w:rPr>
          <w:rFonts w:ascii="Open Sans" w:eastAsia="Open Sans" w:hAnsi="Open Sans" w:cs="Open Sans"/>
          <w:b/>
          <w:bCs/>
          <w:i/>
        </w:rPr>
        <w:t>maker</w:t>
      </w:r>
      <w:r>
        <w:rPr>
          <w:rFonts w:ascii="Open Sans" w:eastAsia="Open Sans" w:hAnsi="Open Sans" w:cs="Open Sans"/>
          <w:b/>
          <w:bCs/>
        </w:rPr>
        <w:t xml:space="preserve"> movement in education</w:t>
      </w:r>
      <w:r>
        <w:rPr>
          <w:rFonts w:ascii="Open Sans" w:eastAsia="Open Sans" w:hAnsi="Open Sans" w:cs="Open Sans"/>
        </w:rPr>
        <w:t xml:space="preserve">. </w:t>
      </w:r>
      <w:r w:rsidRPr="00641E67">
        <w:rPr>
          <w:rFonts w:ascii="Open Sans" w:eastAsia="Open Sans" w:hAnsi="Open Sans" w:cs="Open Sans"/>
        </w:rPr>
        <w:t>Harvard Educational Review, v. 84, n. 4, p. 495-504, 2014.</w:t>
      </w:r>
    </w:p>
    <w:p w14:paraId="21ECE0D6" w14:textId="7670145B" w:rsidR="00800E59" w:rsidRDefault="00000000">
      <w:pPr>
        <w:spacing w:after="0" w:line="24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MEIRA, Samara L. Brito. RIBEIRO, Jair Lúcio Prados. </w:t>
      </w:r>
      <w:r>
        <w:rPr>
          <w:rFonts w:ascii="Open Sans" w:eastAsia="Open Sans" w:hAnsi="Open Sans" w:cs="Open Sans"/>
          <w:b/>
          <w:bCs/>
          <w:lang w:val="pt-BR"/>
        </w:rPr>
        <w:t xml:space="preserve">A Cultura </w:t>
      </w:r>
      <w:proofErr w:type="spellStart"/>
      <w:r w:rsidR="00641E67" w:rsidRPr="00641E67">
        <w:rPr>
          <w:rFonts w:ascii="Open Sans" w:eastAsia="Open Sans" w:hAnsi="Open Sans" w:cs="Open Sans"/>
          <w:b/>
          <w:bCs/>
          <w:i/>
          <w:lang w:val="pt-BR"/>
        </w:rPr>
        <w:t>Maker</w:t>
      </w:r>
      <w:proofErr w:type="spellEnd"/>
      <w:r>
        <w:rPr>
          <w:rFonts w:ascii="Open Sans" w:eastAsia="Open Sans" w:hAnsi="Open Sans" w:cs="Open Sans"/>
          <w:b/>
          <w:bCs/>
          <w:lang w:val="pt-BR"/>
        </w:rPr>
        <w:t xml:space="preserve"> no ensino de física: construção e funcionamento de máquinas térmicas</w:t>
      </w:r>
      <w:r>
        <w:rPr>
          <w:rFonts w:ascii="Open Sans" w:eastAsia="Open Sans" w:hAnsi="Open Sans" w:cs="Open Sans"/>
          <w:lang w:val="pt-BR"/>
        </w:rPr>
        <w:t xml:space="preserve">. </w:t>
      </w:r>
      <w:proofErr w:type="spellStart"/>
      <w:r>
        <w:rPr>
          <w:rFonts w:ascii="Open Sans" w:eastAsia="Open Sans" w:hAnsi="Open Sans" w:cs="Open Sans"/>
          <w:lang w:val="pt-BR"/>
        </w:rPr>
        <w:t>Fab</w:t>
      </w:r>
      <w:proofErr w:type="spellEnd"/>
      <w:r>
        <w:rPr>
          <w:rFonts w:ascii="Open Sans" w:eastAsia="Open Sans" w:hAnsi="Open Sans" w:cs="Open Sans"/>
          <w:lang w:val="pt-BR"/>
        </w:rPr>
        <w:t xml:space="preserve"> </w:t>
      </w:r>
      <w:proofErr w:type="spellStart"/>
      <w:r>
        <w:rPr>
          <w:rFonts w:ascii="Open Sans" w:eastAsia="Open Sans" w:hAnsi="Open Sans" w:cs="Open Sans"/>
          <w:lang w:val="pt-BR"/>
        </w:rPr>
        <w:t>Learn</w:t>
      </w:r>
      <w:proofErr w:type="spellEnd"/>
      <w:r>
        <w:rPr>
          <w:rFonts w:ascii="Open Sans" w:eastAsia="Open Sans" w:hAnsi="Open Sans" w:cs="Open Sans"/>
          <w:lang w:val="pt-BR"/>
        </w:rPr>
        <w:t xml:space="preserve"> Brasil, Brasília, 2016.</w:t>
      </w:r>
    </w:p>
    <w:p w14:paraId="177A2AD7" w14:textId="44C9D5E1" w:rsidR="00800E59" w:rsidRDefault="00000000">
      <w:pPr>
        <w:spacing w:after="0" w:line="240" w:lineRule="auto"/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 xml:space="preserve">SAMAGAIA, Rafaela; NETO, Demétrio </w:t>
      </w:r>
      <w:proofErr w:type="spellStart"/>
      <w:r>
        <w:rPr>
          <w:rFonts w:ascii="Open Sans" w:eastAsia="Open Sans" w:hAnsi="Open Sans" w:cs="Open Sans"/>
          <w:lang w:val="pt-BR"/>
        </w:rPr>
        <w:t>Delizoicov</w:t>
      </w:r>
      <w:proofErr w:type="spellEnd"/>
      <w:r>
        <w:rPr>
          <w:rFonts w:ascii="Open Sans" w:eastAsia="Open Sans" w:hAnsi="Open Sans" w:cs="Open Sans"/>
          <w:lang w:val="pt-BR"/>
        </w:rPr>
        <w:t>. Educação científica informal no movimento “</w:t>
      </w:r>
      <w:proofErr w:type="spellStart"/>
      <w:r w:rsidR="00641E67" w:rsidRPr="00641E67">
        <w:rPr>
          <w:rFonts w:ascii="Open Sans" w:eastAsia="Open Sans" w:hAnsi="Open Sans" w:cs="Open Sans"/>
          <w:i/>
          <w:lang w:val="pt-BR"/>
        </w:rPr>
        <w:t>Maker</w:t>
      </w:r>
      <w:proofErr w:type="spellEnd"/>
      <w:r>
        <w:rPr>
          <w:rFonts w:ascii="Open Sans" w:eastAsia="Open Sans" w:hAnsi="Open Sans" w:cs="Open Sans"/>
          <w:lang w:val="pt-BR"/>
        </w:rPr>
        <w:t xml:space="preserve">”. </w:t>
      </w:r>
      <w:r>
        <w:rPr>
          <w:rFonts w:ascii="Open Sans" w:eastAsia="Open Sans" w:hAnsi="Open Sans" w:cs="Open Sans"/>
          <w:b/>
          <w:bCs/>
          <w:lang w:val="pt-BR"/>
        </w:rPr>
        <w:t>X Encontro nacional de pesquisa em educação em ciências</w:t>
      </w:r>
      <w:r>
        <w:rPr>
          <w:rFonts w:ascii="Open Sans" w:eastAsia="Open Sans" w:hAnsi="Open Sans" w:cs="Open Sans"/>
          <w:lang w:val="pt-BR"/>
        </w:rPr>
        <w:t>–São Paulo, 2015.</w:t>
      </w:r>
    </w:p>
    <w:p w14:paraId="44CA3D51" w14:textId="77777777" w:rsidR="00800E59" w:rsidRDefault="00800E59">
      <w:pPr>
        <w:ind w:left="0" w:hanging="2"/>
        <w:rPr>
          <w:rFonts w:ascii="Open Sans" w:eastAsia="Open Sans" w:hAnsi="Open Sans" w:cs="Open Sans"/>
          <w:lang w:val="pt-BR"/>
        </w:rPr>
      </w:pPr>
    </w:p>
    <w:p w14:paraId="1D9F23A5" w14:textId="77777777" w:rsidR="00800E59" w:rsidRDefault="00800E59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14:paraId="7D2734E6" w14:textId="77777777" w:rsidR="00800E59" w:rsidRDefault="00000000">
      <w:pPr>
        <w:spacing w:line="276" w:lineRule="auto"/>
        <w:ind w:left="1" w:hanging="3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VI. Agradecimentos</w:t>
      </w:r>
    </w:p>
    <w:p w14:paraId="64255217" w14:textId="77777777" w:rsidR="00800E59" w:rsidRDefault="00000000">
      <w:pPr>
        <w:ind w:left="0" w:hanging="2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O presente trabalho foi realizado com apoio do Programa Institucional de Bolsas de Extensão, Cultura e Assuntos Comunitários (</w:t>
      </w:r>
      <w:proofErr w:type="spellStart"/>
      <w:r>
        <w:rPr>
          <w:rFonts w:ascii="Open Sans" w:eastAsia="Open Sans" w:hAnsi="Open Sans" w:cs="Open Sans"/>
          <w:lang w:val="pt-BR"/>
        </w:rPr>
        <w:t>PIBEXNorte</w:t>
      </w:r>
      <w:proofErr w:type="spellEnd"/>
      <w:r>
        <w:rPr>
          <w:rFonts w:ascii="Open Sans" w:eastAsia="Open Sans" w:hAnsi="Open Sans" w:cs="Open Sans"/>
          <w:lang w:val="pt-BR"/>
        </w:rPr>
        <w:t>), da Universidade Federal do Norte do Tocantins Proex/UFNT por meio do EDITAL PROEX/UFNT Nº 003/2023.</w:t>
      </w:r>
    </w:p>
    <w:sectPr w:rsidR="00800E59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720" w:footer="720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6E1E57" w14:textId="77777777" w:rsidR="009B22C4" w:rsidRDefault="009B22C4">
      <w:pPr>
        <w:spacing w:before="0" w:after="0" w:line="240" w:lineRule="auto"/>
      </w:pPr>
      <w:r>
        <w:separator/>
      </w:r>
    </w:p>
  </w:endnote>
  <w:endnote w:type="continuationSeparator" w:id="0">
    <w:p w14:paraId="6A7D327E" w14:textId="77777777" w:rsidR="009B22C4" w:rsidRDefault="009B22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embedRegular r:id="rId1" w:fontKey="{E8FFB7DC-0690-44E9-B050-A8FBD1F24B8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87F5E789-6334-45DA-A783-E6D98FEC98C0}"/>
    <w:embedBold r:id="rId3" w:fontKey="{5C8AF11F-46A3-49E2-95B9-8A3425B769D5}"/>
    <w:embedItalic r:id="rId4" w:fontKey="{C8B78455-F30D-44D0-B536-A4563F4408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4B16E5-48C6-4C65-8614-0C16C63E9837}"/>
    <w:embedBold r:id="rId6" w:fontKey="{29CF7E9B-7D2E-4BA4-9C8F-265C72BB11FE}"/>
  </w:font>
  <w:font w:name="DejaVu Sans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Italic r:id="rId7" w:fontKey="{72B4843B-038B-4432-922D-2642A649AF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A1194D1-A3FE-4A09-A8C2-95A690B600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63AFA74-6182-48E3-A980-941057AAEC32}"/>
    <w:embedItalic r:id="rId10" w:fontKey="{3089D1DA-D167-4861-A235-829BA59E9F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133EBC5-708E-44CD-A94B-36565C205C6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2" w:fontKey="{48BEF003-6A48-4AE5-8F03-05A936CDAA21}"/>
    <w:embedBold r:id="rId13" w:fontKey="{E19C26E5-4A05-4394-BBDA-2AFAD81AC26E}"/>
    <w:embedItalic r:id="rId14" w:fontKey="{7C0D42E8-6A59-4C37-9D89-9215BA4C80F7}"/>
    <w:embedBoldItalic r:id="rId15" w:fontKey="{4420AF9C-FE6D-4A32-981C-ECF7200344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157C8" w14:textId="77777777" w:rsidR="00800E59" w:rsidRDefault="00800E5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8EF3F" w14:textId="77777777" w:rsidR="00800E59" w:rsidRDefault="00000000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F1BAD" w14:textId="77777777" w:rsidR="00800E59" w:rsidRDefault="00000000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611BD" w14:textId="77777777" w:rsidR="00800E59" w:rsidRDefault="00000000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8</w:t>
    </w:r>
    <w:r>
      <w:rPr>
        <w:color w:val="00000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675A6" w14:textId="77777777" w:rsidR="00800E59" w:rsidRDefault="00800E5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AA6DB" w14:textId="77777777" w:rsidR="009B22C4" w:rsidRDefault="009B22C4">
      <w:pPr>
        <w:spacing w:before="0" w:after="0" w:line="240" w:lineRule="auto"/>
      </w:pPr>
      <w:r>
        <w:separator/>
      </w:r>
    </w:p>
  </w:footnote>
  <w:footnote w:type="continuationSeparator" w:id="0">
    <w:p w14:paraId="6C391BCB" w14:textId="77777777" w:rsidR="009B22C4" w:rsidRDefault="009B22C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96DD6" w14:textId="77777777" w:rsidR="00800E59" w:rsidRDefault="00800E5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12128" w14:textId="77777777" w:rsidR="00800E59" w:rsidRDefault="00000000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513E3FFE" wp14:editId="5C29DD38">
          <wp:extent cx="5274945" cy="175831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21D2F8" w14:textId="77777777" w:rsidR="00800E59" w:rsidRDefault="00000000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proofErr w:type="spellStart"/>
    <w:r>
      <w:rPr>
        <w:rFonts w:ascii="Open Sans" w:hAnsi="Open Sans" w:cs="Open Sans"/>
        <w:color w:val="BFBFBF" w:themeColor="background1" w:themeShade="BF"/>
        <w:sz w:val="72"/>
        <w:szCs w:val="72"/>
      </w:rPr>
      <w:t>Relato</w:t>
    </w:r>
    <w:proofErr w:type="spellEnd"/>
    <w:r>
      <w:rPr>
        <w:rFonts w:ascii="Open Sans" w:hAnsi="Open Sans" w:cs="Open Sans"/>
        <w:color w:val="BFBFBF" w:themeColor="background1" w:themeShade="BF"/>
        <w:sz w:val="72"/>
        <w:szCs w:val="72"/>
      </w:rPr>
      <w:t xml:space="preserve"> de </w:t>
    </w:r>
    <w:proofErr w:type="spellStart"/>
    <w:r>
      <w:rPr>
        <w:rFonts w:ascii="Open Sans" w:hAnsi="Open Sans" w:cs="Open Sans"/>
        <w:color w:val="BFBFBF" w:themeColor="background1" w:themeShade="BF"/>
        <w:sz w:val="72"/>
        <w:szCs w:val="72"/>
      </w:rPr>
      <w:t>Experiência</w:t>
    </w:r>
    <w:proofErr w:type="spellEnd"/>
  </w:p>
  <w:p w14:paraId="7FA77352" w14:textId="77777777" w:rsidR="00800E59" w:rsidRDefault="00800E59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86BED8" w14:textId="77777777" w:rsidR="00800E59" w:rsidRDefault="00000000">
    <w:pPr>
      <w:pStyle w:val="Cabealho"/>
      <w:ind w:left="0" w:hanging="2"/>
      <w:jc w:val="center"/>
    </w:pPr>
    <w:r>
      <w:rPr>
        <w:noProof/>
      </w:rPr>
      <w:drawing>
        <wp:inline distT="0" distB="0" distL="0" distR="0" wp14:anchorId="4D18A767" wp14:editId="45DAF023">
          <wp:extent cx="5274945" cy="1758315"/>
          <wp:effectExtent l="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5426DB" w14:textId="77777777" w:rsidR="00800E59" w:rsidRDefault="00000000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proofErr w:type="spellStart"/>
    <w:r>
      <w:rPr>
        <w:rFonts w:ascii="Open Sans" w:hAnsi="Open Sans" w:cs="Open Sans"/>
        <w:color w:val="BFBFBF" w:themeColor="background1" w:themeShade="BF"/>
        <w:sz w:val="72"/>
        <w:szCs w:val="72"/>
      </w:rPr>
      <w:t>Relato</w:t>
    </w:r>
    <w:proofErr w:type="spellEnd"/>
    <w:r>
      <w:rPr>
        <w:rFonts w:ascii="Open Sans" w:hAnsi="Open Sans" w:cs="Open Sans"/>
        <w:color w:val="BFBFBF" w:themeColor="background1" w:themeShade="BF"/>
        <w:sz w:val="72"/>
        <w:szCs w:val="72"/>
      </w:rPr>
      <w:t xml:space="preserve"> de </w:t>
    </w:r>
    <w:proofErr w:type="spellStart"/>
    <w:r>
      <w:rPr>
        <w:rFonts w:ascii="Open Sans" w:hAnsi="Open Sans" w:cs="Open Sans"/>
        <w:color w:val="BFBFBF" w:themeColor="background1" w:themeShade="BF"/>
        <w:sz w:val="72"/>
        <w:szCs w:val="72"/>
      </w:rPr>
      <w:t>Experiência</w:t>
    </w:r>
    <w:proofErr w:type="spellEnd"/>
  </w:p>
  <w:p w14:paraId="776376D9" w14:textId="77777777" w:rsidR="00800E59" w:rsidRDefault="00800E59">
    <w:pPr>
      <w:pStyle w:val="Cabealho"/>
      <w:jc w:val="center"/>
      <w:rPr>
        <w:sz w:val="6"/>
        <w:szCs w:val="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C5DA94" w14:textId="77777777" w:rsidR="00800E59" w:rsidRDefault="00800E59">
    <w:pPr>
      <w:pStyle w:val="Cabealho"/>
      <w:ind w:left="0" w:hanging="2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9572F" w14:textId="77777777" w:rsidR="00800E59" w:rsidRDefault="00800E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13483"/>
    <w:multiLevelType w:val="multilevel"/>
    <w:tmpl w:val="AC7CA7FE"/>
    <w:lvl w:ilvl="0">
      <w:start w:val="1"/>
      <w:numFmt w:val="bullet"/>
      <w:lvlText w:val=""/>
      <w:lvlJc w:val="left"/>
      <w:pPr>
        <w:tabs>
          <w:tab w:val="num" w:pos="0"/>
        </w:tabs>
        <w:ind w:left="71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5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7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1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3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7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C1070B4"/>
    <w:multiLevelType w:val="multilevel"/>
    <w:tmpl w:val="EFC864CC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BE85AEE"/>
    <w:multiLevelType w:val="multilevel"/>
    <w:tmpl w:val="60D2AFF4"/>
    <w:lvl w:ilvl="0">
      <w:start w:val="1"/>
      <w:numFmt w:val="upperRoman"/>
      <w:pStyle w:val="Ttulo1"/>
      <w:lvlText w:val="%1.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abstractNum w:abstractNumId="3" w15:restartNumberingAfterBreak="0">
    <w:nsid w:val="56501343"/>
    <w:multiLevelType w:val="multilevel"/>
    <w:tmpl w:val="49209D5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927690100">
    <w:abstractNumId w:val="2"/>
  </w:num>
  <w:num w:numId="2" w16cid:durableId="384261519">
    <w:abstractNumId w:val="1"/>
  </w:num>
  <w:num w:numId="3" w16cid:durableId="1501969338">
    <w:abstractNumId w:val="0"/>
  </w:num>
  <w:num w:numId="4" w16cid:durableId="7396396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0E59"/>
    <w:rsid w:val="00641E67"/>
    <w:rsid w:val="007B141B"/>
    <w:rsid w:val="00800E59"/>
    <w:rsid w:val="008A5869"/>
    <w:rsid w:val="009B22C4"/>
    <w:rsid w:val="00C0345A"/>
    <w:rsid w:val="00DD09A8"/>
    <w:rsid w:val="00DE3291"/>
    <w:rsid w:val="00E7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4855E2"/>
  <w15:docId w15:val="{15F93B75-6053-4DC4-B8E3-D5B85C13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spacing w:before="60" w:after="80" w:line="1" w:lineRule="atLeast"/>
      <w:ind w:left="-1" w:hanging="1"/>
      <w:jc w:val="both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9z1">
    <w:name w:val="WW8Num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3z0">
    <w:name w:val="WW8Num1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3z1">
    <w:name w:val="WW8Num1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4z0">
    <w:name w:val="WW8Num1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4z1">
    <w:name w:val="WW8Num1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Absatz-Standardschriftart">
    <w:name w:val="Absatz-Standardschriftart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">
    <w:name w:val="WW-Absatz-Standardschriftart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">
    <w:name w:val="WW-Absatz-Standardschriftart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1">
    <w:name w:val="WW-Absatz-Standardschriftart1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11">
    <w:name w:val="WW-Absatz-Standardschriftart11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2z1">
    <w:name w:val="WW8Num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z2">
    <w:name w:val="WW8Num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9z2">
    <w:name w:val="WW8Num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3z2">
    <w:name w:val="WW8Num1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4z2">
    <w:name w:val="WW8Num1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7z0">
    <w:name w:val="WW8Num1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7z1">
    <w:name w:val="WW8Num1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7z2">
    <w:name w:val="WW8Num1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8z0">
    <w:name w:val="WW8Num1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8z1">
    <w:name w:val="WW8Num1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8z2">
    <w:name w:val="WW8Num1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9z0">
    <w:name w:val="WW8Num1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9z1">
    <w:name w:val="WW8Num1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9z2">
    <w:name w:val="WW8Num1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0z0">
    <w:name w:val="WW8Num2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0z1">
    <w:name w:val="WW8Num2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0z2">
    <w:name w:val="WW8Num2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1z0">
    <w:name w:val="WW8Num2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1z1">
    <w:name w:val="WW8Num2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1z2">
    <w:name w:val="WW8Num2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2z0">
    <w:name w:val="WW8Num2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2z1">
    <w:name w:val="WW8Num2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2z2">
    <w:name w:val="WW8Num2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3z0">
    <w:name w:val="WW8Num2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3z1">
    <w:name w:val="WW8Num2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3z2">
    <w:name w:val="WW8Num2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4z0">
    <w:name w:val="WW8Num2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4z1">
    <w:name w:val="WW8Num2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4z2">
    <w:name w:val="WW8Num2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5z0">
    <w:name w:val="WW8Num2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5z1">
    <w:name w:val="WW8Num2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5z2">
    <w:name w:val="WW8Num2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0">
    <w:name w:val="WW8Num26z0"/>
    <w:qFormat/>
    <w:rPr>
      <w:rFonts w:ascii="Symbol" w:hAnsi="Symbol"/>
      <w:color w:val="auto"/>
      <w:w w:val="100"/>
      <w:position w:val="0"/>
      <w:sz w:val="20"/>
      <w:effect w:val="none"/>
      <w:vertAlign w:val="baseline"/>
      <w:em w:val="none"/>
    </w:rPr>
  </w:style>
  <w:style w:type="character" w:customStyle="1" w:styleId="WW8Num26z1">
    <w:name w:val="WW8Num26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6z2">
    <w:name w:val="WW8Num26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3">
    <w:name w:val="WW8Num26z3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0">
    <w:name w:val="WW8Num2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1">
    <w:name w:val="WW8Num2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7z2">
    <w:name w:val="WW8Num2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8z0">
    <w:name w:val="WW8Num2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8z1">
    <w:name w:val="WW8Num2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8z2">
    <w:name w:val="WW8Num2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9z0">
    <w:name w:val="WW8Num2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9z1">
    <w:name w:val="WW8Num2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9z2">
    <w:name w:val="WW8Num2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0z0">
    <w:name w:val="WW8Num3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0z1">
    <w:name w:val="WW8Num3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0z2">
    <w:name w:val="WW8Num3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1z0">
    <w:name w:val="WW8Num3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1z1">
    <w:name w:val="WW8Num3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1z2">
    <w:name w:val="WW8Num3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2z0">
    <w:name w:val="WW8Num3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2z1">
    <w:name w:val="WW8Num3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2z2">
    <w:name w:val="WW8Num3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3z0">
    <w:name w:val="WW8Num3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3z1">
    <w:name w:val="WW8Num3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3z2">
    <w:name w:val="WW8Num3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4z0">
    <w:name w:val="WW8Num3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4z1">
    <w:name w:val="WW8Num3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4z2">
    <w:name w:val="WW8Num3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5z0">
    <w:name w:val="WW8Num3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5z1">
    <w:name w:val="WW8Num3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5z2">
    <w:name w:val="WW8Num3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6z1">
    <w:name w:val="WW8Num36z1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7z0">
    <w:name w:val="WW8Num3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7z1">
    <w:name w:val="WW8Num3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7z2">
    <w:name w:val="WW8Num3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8z0">
    <w:name w:val="WW8Num3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8z1">
    <w:name w:val="WW8Num3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8z2">
    <w:name w:val="WW8Num3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9z0">
    <w:name w:val="WW8Num3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9z1">
    <w:name w:val="WW8Num3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9z2">
    <w:name w:val="WW8Num3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0">
    <w:name w:val="WW8Num40z0"/>
    <w:qFormat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40z1">
    <w:name w:val="WW8Num4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0z2">
    <w:name w:val="WW8Num4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3">
    <w:name w:val="WW8Num40z3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2z0">
    <w:name w:val="WW8Num4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2z1">
    <w:name w:val="WW8Num4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2z2">
    <w:name w:val="WW8Num4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3z0">
    <w:name w:val="WW8Num4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3z1">
    <w:name w:val="WW8Num4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3z2">
    <w:name w:val="WW8Num4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4z0">
    <w:name w:val="WW8Num4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4z1">
    <w:name w:val="WW8Num4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4z2">
    <w:name w:val="WW8Num4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entury Gothic" w:hAnsi="Century Gothic" w:cs="Arial"/>
      <w:w w:val="100"/>
      <w:position w:val="0"/>
      <w:sz w:val="44"/>
      <w:szCs w:val="44"/>
      <w:effect w:val="none"/>
      <w:vertAlign w:val="baseline"/>
      <w:em w:val="none"/>
      <w:lang w:val="en-US" w:eastAsia="ar-SA" w:bidi="ar-SA"/>
    </w:rPr>
  </w:style>
  <w:style w:type="character" w:customStyle="1" w:styleId="ProposalChar">
    <w:name w:val="Proposal Char"/>
    <w:qFormat/>
    <w:rPr>
      <w:rFonts w:ascii="Century Gothic" w:hAnsi="Century Gothic" w:cs="Arial"/>
      <w:color w:val="C0C0C0"/>
      <w:w w:val="100"/>
      <w:position w:val="0"/>
      <w:sz w:val="88"/>
      <w:szCs w:val="44"/>
      <w:effect w:val="none"/>
      <w:vertAlign w:val="baseline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styleId="Nmerodepgina">
    <w:name w:val="page number"/>
    <w:rPr>
      <w:rFonts w:ascii="Century Gothic" w:hAnsi="Century Gothic"/>
      <w:w w:val="100"/>
      <w:position w:val="0"/>
      <w:sz w:val="18"/>
      <w:effect w:val="none"/>
      <w:vertAlign w:val="baseline"/>
      <w:em w:val="none"/>
    </w:rPr>
  </w:style>
  <w:style w:type="character" w:customStyle="1" w:styleId="FootnoteCharacters">
    <w:name w:val="Footnote Characters"/>
    <w:qFormat/>
    <w:rPr>
      <w:w w:val="100"/>
      <w:effect w:val="none"/>
      <w:vertAlign w:val="superscript"/>
      <w:em w:val="none"/>
    </w:rPr>
  </w:style>
  <w:style w:type="character" w:styleId="Forte">
    <w:name w:val="Strong"/>
    <w:qFormat/>
    <w:rPr>
      <w:b/>
      <w:bCs/>
      <w:w w:val="100"/>
      <w:position w:val="0"/>
      <w:sz w:val="20"/>
      <w:effect w:val="none"/>
      <w:vertAlign w:val="baseline"/>
      <w:em w:val="none"/>
    </w:rPr>
  </w:style>
  <w:style w:type="character" w:customStyle="1" w:styleId="Pr-formataoHTMLChar">
    <w:name w:val="Pré-formatação HTML Char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  <w:lang w:val="pt-BR" w:eastAsia="ar-SA" w:bidi="ar-SA"/>
    </w:rPr>
  </w:style>
  <w:style w:type="character" w:customStyle="1" w:styleId="RodapChar">
    <w:name w:val="Rodapé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 w:bidi="ar-SA"/>
    </w:rPr>
  </w:style>
  <w:style w:type="character" w:customStyle="1" w:styleId="Ttulo2Char">
    <w:name w:val="Título 2 Char"/>
    <w:qFormat/>
    <w:rPr>
      <w:rFonts w:ascii="Century Gothic" w:hAnsi="Century Gothic" w:cs="Arial"/>
      <w:w w:val="100"/>
      <w:position w:val="0"/>
      <w:sz w:val="32"/>
      <w:szCs w:val="32"/>
      <w:effect w:val="none"/>
      <w:vertAlign w:val="baseline"/>
      <w:em w:val="none"/>
      <w:lang w:val="en-US"/>
    </w:rPr>
  </w:style>
  <w:style w:type="character" w:customStyle="1" w:styleId="Pr-formataoHTMLChar1">
    <w:name w:val="Pré-formatação HTML Char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entury Gothic" w:hAnsi="Century Gothic" w:cs="Arial"/>
      <w:b/>
      <w:bCs/>
      <w:w w:val="100"/>
      <w:position w:val="0"/>
      <w:sz w:val="26"/>
      <w:szCs w:val="26"/>
      <w:effect w:val="none"/>
      <w:vertAlign w:val="baseline"/>
      <w:em w:val="none"/>
    </w:rPr>
  </w:style>
  <w:style w:type="character" w:customStyle="1" w:styleId="TextodenotaderodapChar">
    <w:name w:val="Texto de nota de rodapé Char"/>
    <w:qFormat/>
    <w:rPr>
      <w:rFonts w:ascii="Arial" w:hAnsi="Arial"/>
      <w:color w:val="000000"/>
      <w:w w:val="100"/>
      <w:position w:val="0"/>
      <w:sz w:val="18"/>
      <w:effect w:val="none"/>
      <w:vertAlign w:val="baseline"/>
      <w:em w:val="none"/>
    </w:rPr>
  </w:style>
  <w:style w:type="character" w:customStyle="1" w:styleId="WW-FootnoteCharacters">
    <w:name w:val="WW-Footnote Characters"/>
    <w:qFormat/>
    <w:rPr>
      <w:w w:val="100"/>
      <w:effect w:val="none"/>
      <w:vertAlign w:val="superscript"/>
      <w:em w:val="none"/>
    </w:rPr>
  </w:style>
  <w:style w:type="character" w:customStyle="1" w:styleId="MTDisplayEquationChar">
    <w:name w:val="MTDisplayEquation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</w:rPr>
  </w:style>
  <w:style w:type="character" w:customStyle="1" w:styleId="nfakpe">
    <w:name w:val="nfakpe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Char">
    <w:name w:val="Título Char"/>
    <w:qFormat/>
    <w:rPr>
      <w:rFonts w:ascii="Cambria" w:eastAsia="Times New Roman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en-US"/>
    </w:rPr>
  </w:style>
  <w:style w:type="character" w:customStyle="1" w:styleId="SubttuloChar">
    <w:name w:val="Subtítulo Char"/>
    <w:qFormat/>
    <w:rPr>
      <w:rFonts w:ascii="Cambria" w:eastAsia="Times New Roman" w:hAnsi="Cambria" w:cs="Times New Roman"/>
      <w:w w:val="100"/>
      <w:position w:val="0"/>
      <w:sz w:val="24"/>
      <w:szCs w:val="24"/>
      <w:effect w:val="none"/>
      <w:vertAlign w:val="baseline"/>
      <w:em w:val="none"/>
      <w:lang w:val="en-US"/>
    </w:rPr>
  </w:style>
  <w:style w:type="character" w:styleId="nfase">
    <w:name w:val="Emphasis"/>
    <w:qFormat/>
    <w:rPr>
      <w:iCs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FootnoteChar">
    <w:name w:val="Footnote Char"/>
    <w:qFormat/>
    <w:rPr>
      <w:rFonts w:ascii="Arial" w:hAnsi="Arial"/>
      <w:color w:val="000000"/>
      <w:w w:val="100"/>
      <w:position w:val="0"/>
      <w:sz w:val="18"/>
      <w:effect w:val="none"/>
      <w:vertAlign w:val="baseline"/>
      <w:em w:val="none"/>
      <w:lang w:val="en-US"/>
    </w:rPr>
  </w:style>
  <w:style w:type="character" w:customStyle="1" w:styleId="texto">
    <w:name w:val="texto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ext1">
    <w:name w:val="text1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style41">
    <w:name w:val="style41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abeladeGrade1Clara1">
    <w:name w:val="Tabela de Grade 1 Clara1"/>
    <w:qFormat/>
    <w:rPr>
      <w:b/>
      <w:bCs/>
      <w:smallCaps/>
      <w:spacing w:val="5"/>
      <w:w w:val="100"/>
      <w:position w:val="0"/>
      <w:sz w:val="20"/>
      <w:effect w:val="none"/>
      <w:vertAlign w:val="baseline"/>
      <w:em w:val="none"/>
    </w:rPr>
  </w:style>
  <w:style w:type="character" w:customStyle="1" w:styleId="longtext">
    <w:name w:val="long_text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mediumtext">
    <w:name w:val="medium_text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0"/>
      <w:sz w:val="20"/>
      <w:effect w:val="none"/>
      <w:vertAlign w:val="baseline"/>
      <w:em w:val="none"/>
    </w:rPr>
  </w:style>
  <w:style w:type="character" w:customStyle="1" w:styleId="NumberingSymbols">
    <w:name w:val="Numbering Symbols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extodenotadefimChar">
    <w:name w:val="Texto de nota de fim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customStyle="1" w:styleId="EndnoteCharacters">
    <w:name w:val="Endnote Characters"/>
    <w:qFormat/>
    <w:rPr>
      <w:w w:val="100"/>
      <w:effect w:val="none"/>
      <w:vertAlign w:val="superscript"/>
      <w:em w:val="none"/>
    </w:rPr>
  </w:style>
  <w:style w:type="character" w:styleId="Refdenotadefim">
    <w:name w:val="endnote reference"/>
    <w:rPr>
      <w:w w:val="100"/>
      <w:effect w:val="none"/>
      <w:vertAlign w:val="superscript"/>
      <w:em w:val="none"/>
    </w:rPr>
  </w:style>
  <w:style w:type="character" w:customStyle="1" w:styleId="FootnoteCharacters1">
    <w:name w:val="Footnote Characters1"/>
    <w:qFormat/>
    <w:rPr>
      <w:w w:val="100"/>
      <w:effect w:val="none"/>
      <w:vertAlign w:val="superscript"/>
      <w:em w:val="none"/>
    </w:rPr>
  </w:style>
  <w:style w:type="character" w:styleId="Refdenotaderodap">
    <w:name w:val="footnote reference"/>
    <w:rPr>
      <w:w w:val="100"/>
      <w:effect w:val="none"/>
      <w:vertAlign w:val="superscript"/>
      <w:em w:val="none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customStyle="1" w:styleId="AssuntodocomentrioChar">
    <w:name w:val="Assunto do comentário Char"/>
    <w:qFormat/>
    <w:rPr>
      <w:rFonts w:ascii="Century Gothic" w:hAnsi="Century Gothic"/>
      <w:b/>
      <w:bCs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customStyle="1" w:styleId="CabealhoChar">
    <w:name w:val="Cabeçalho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B61D6B"/>
    <w:rPr>
      <w:color w:val="605E5C"/>
      <w:shd w:val="clear" w:color="auto" w:fill="E1DFDD"/>
    </w:rPr>
  </w:style>
  <w:style w:type="character" w:styleId="Nmerodelinha">
    <w:name w:val="line number"/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2"/>
      <w:sz w:val="32"/>
      <w:szCs w:val="32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Proposal">
    <w:name w:val="Proposal"/>
    <w:qFormat/>
    <w:pPr>
      <w:pBdr>
        <w:top w:val="single" w:sz="8" w:space="0" w:color="C0C0C0"/>
      </w:pBdr>
      <w:spacing w:before="1100" w:after="60" w:line="1" w:lineRule="atLeast"/>
      <w:ind w:left="-1" w:hanging="1"/>
      <w:jc w:val="both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qFormat/>
    <w:pPr>
      <w:spacing w:before="100" w:after="60" w:line="1" w:lineRule="atLeast"/>
      <w:ind w:left="-1" w:hanging="1"/>
      <w:jc w:val="both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customStyle="1" w:styleId="HeaderandFooter">
    <w:name w:val="Header and Footer"/>
    <w:basedOn w:val="Normal"/>
    <w:qFormat/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after="60" w:line="1" w:lineRule="atLeast"/>
      <w:ind w:left="-1" w:hanging="1"/>
      <w:jc w:val="both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qFormat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qFormat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qFormat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qFormat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  <w:qFormat/>
  </w:style>
  <w:style w:type="paragraph" w:styleId="Pr-formataoHTML">
    <w:name w:val="HTML Preformatted"/>
    <w:basedOn w:val="Normal"/>
    <w:qFormat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qFormat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qFormat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  <w:qFormat/>
  </w:style>
  <w:style w:type="paragraph" w:styleId="NormalWeb">
    <w:name w:val="Normal (Web)"/>
    <w:basedOn w:val="Normal"/>
    <w:qFormat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qFormat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qFormat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qFormat/>
    <w:pPr>
      <w:tabs>
        <w:tab w:val="left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qFormat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qFormat/>
    <w:pPr>
      <w:ind w:left="2547" w:firstLine="0"/>
    </w:pPr>
  </w:style>
  <w:style w:type="paragraph" w:customStyle="1" w:styleId="FrameContents">
    <w:name w:val="Frame Contents"/>
    <w:basedOn w:val="Corpodetexto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Table">
    <w:name w:val="Table"/>
    <w:basedOn w:val="Caption1"/>
    <w:qFormat/>
  </w:style>
  <w:style w:type="paragraph" w:customStyle="1" w:styleId="Illustration">
    <w:name w:val="Illustration"/>
    <w:basedOn w:val="Caption1"/>
    <w:qFormat/>
  </w:style>
  <w:style w:type="paragraph" w:customStyle="1" w:styleId="Figure">
    <w:name w:val="Figure"/>
    <w:basedOn w:val="Caption1"/>
    <w:qFormat/>
  </w:style>
  <w:style w:type="paragraph" w:styleId="Textodenotadefim">
    <w:name w:val="endnote text"/>
    <w:basedOn w:val="Normal"/>
    <w:qFormat/>
  </w:style>
  <w:style w:type="paragraph" w:styleId="Textodecomentrio">
    <w:name w:val="annotation text"/>
    <w:basedOn w:val="Normal"/>
    <w:qFormat/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PargrafodaLista">
    <w:name w:val="List Paragraph"/>
    <w:basedOn w:val="Normal"/>
    <w:uiPriority w:val="34"/>
    <w:qFormat/>
    <w:rsid w:val="00BC5745"/>
    <w:pPr>
      <w:ind w:left="720"/>
      <w:contextualSpacing/>
    </w:pPr>
  </w:style>
  <w:style w:type="paragraph" w:customStyle="1" w:styleId="Comment">
    <w:name w:val="Comment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641E67"/>
    <w:pPr>
      <w:suppressAutoHyphens w:val="0"/>
    </w:pPr>
    <w:rPr>
      <w:position w:val="-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a.gomes@uft.edu.br" TargetMode="Externa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mailto:danilo.olivier@ufnt.edu.br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gislaine.silva@ufnt.edu.br" TargetMode="External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7</Pages>
  <Words>1562</Words>
  <Characters>8439</Characters>
  <Application>Microsoft Office Word</Application>
  <DocSecurity>0</DocSecurity>
  <Lines>70</Lines>
  <Paragraphs>19</Paragraphs>
  <ScaleCrop>false</ScaleCrop>
  <Company/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F. Novaes</dc:creator>
  <dc:description/>
  <cp:lastModifiedBy>ERICA CUPERTINO GOM</cp:lastModifiedBy>
  <cp:revision>32</cp:revision>
  <dcterms:created xsi:type="dcterms:W3CDTF">2024-10-10T01:05:00Z</dcterms:created>
  <dcterms:modified xsi:type="dcterms:W3CDTF">2024-10-15T19:23:00Z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