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imes New Roman"/>
          <w:kern w:val="2"/>
          <w:sz w:val="24"/>
          <w:szCs w:val="24"/>
          <w:lang w:val="pt-BR" w:eastAsia="en-US"/>
          <w14:ligatures w14:val="standardContextual"/>
        </w:rPr>
        <w:id w:val="1246697302"/>
        <w:docPartObj>
          <w:docPartGallery w:val="Cover Pages"/>
          <w:docPartUnique/>
        </w:docPartObj>
      </w:sdtPr>
      <w:sdtEndPr/>
      <w:sdtContent>
        <w:p w14:paraId="376EA4EB" w14:textId="1A2244EB" w:rsidR="0053021A" w:rsidRPr="00206F24" w:rsidRDefault="0053021A" w:rsidP="00BD60ED">
          <w:pPr>
            <w:pStyle w:val="SemEspaamento"/>
            <w:rPr>
              <w:rFonts w:cs="Times New Roman"/>
              <w:sz w:val="24"/>
              <w:szCs w:val="24"/>
            </w:rPr>
          </w:pPr>
          <w:r w:rsidRPr="00206F24">
            <w:rPr>
              <w:rFonts w:cs="Times New Roman"/>
              <w:noProof/>
              <w:sz w:val="24"/>
              <w:szCs w:val="24"/>
              <w:lang w:val="pt-BR"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Pr="00206F24" w:rsidRDefault="0053021A">
          <w:pPr>
            <w:rPr>
              <w:rFonts w:cs="Times New Roman"/>
            </w:rPr>
          </w:pPr>
          <w:r w:rsidRPr="00206F24">
            <w:rPr>
              <w:rFonts w:cs="Times New Roman"/>
              <w:noProof/>
              <w:lang w:eastAsia="pt-BR"/>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9F8C0F"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" fillcolor="#1a9b3c" stroked="f" strokeweight="1pt">
                    <v:stroke joinstyle="miter"/>
                  </v:roundrect>
                </w:pict>
              </mc:Fallback>
            </mc:AlternateContent>
          </w:r>
          <w:r w:rsidRPr="00206F24">
            <w:rPr>
              <w:rFonts w:cs="Times New Roman"/>
              <w:noProof/>
              <w:lang w:eastAsia="pt-BR"/>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747E4385" w:rsidR="0053021A" w:rsidRPr="00733AFB" w:rsidRDefault="00655E76" w:rsidP="00655E76">
                                <w:pPr>
                                  <w:jc w:val="both"/>
                                  <w:rPr>
                                    <w:rFonts w:ascii="Antonio" w:hAnsi="Antonio"/>
                                    <w:color w:val="1A9B3C"/>
                                    <w:sz w:val="36"/>
                                    <w:szCs w:val="36"/>
                                  </w:rPr>
                                </w:pPr>
                                <w:r>
                                  <w:t>MECANISMOS DE ENGAJAMENTO DA JUVENTUDE E FORTALECIMENTO DA SUCESSÃO NOS TERRITÓRIOS RURAIS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" filled="f" stroked="f" strokeweight=".5pt">
                    <v:textbox>
                      <w:txbxContent>
                        <w:p w14:paraId="638EDCFA" w14:textId="747E4385" w:rsidR="0053021A" w:rsidRPr="00733AFB" w:rsidRDefault="00655E76" w:rsidP="00655E76">
                          <w:pPr>
                            <w:jc w:val="both"/>
                            <w:rPr>
                              <w:rFonts w:ascii="Antonio" w:hAnsi="Antonio"/>
                              <w:color w:val="1A9B3C"/>
                              <w:sz w:val="36"/>
                              <w:szCs w:val="36"/>
                            </w:rPr>
                          </w:pPr>
                          <w:r>
                            <w:t>MECANISMOS DE ENGAJAMENTO DA JUVENTUDE E FORTALECIMENTO DA SUCESSÃO NOS TERRITÓRIOS RURAIS</w:t>
                          </w:r>
                        </w:p>
                      </w:txbxContent>
                    </v:textbox>
                  </v:shape>
                </w:pict>
              </mc:Fallback>
            </mc:AlternateContent>
          </w:r>
          <w:r w:rsidRPr="00206F24">
            <w:rPr>
              <w:rFonts w:cs="Times New Roman"/>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rsidRPr="00206F24">
            <w:rPr>
              <w:rFonts w:cs="Times New Roman"/>
            </w:rPr>
            <w:br w:type="page"/>
          </w:r>
        </w:p>
      </w:sdtContent>
    </w:sdt>
    <w:p w14:paraId="0D249CF3" w14:textId="594954CB" w:rsidR="00216EFF" w:rsidRPr="00206F24" w:rsidRDefault="00823749" w:rsidP="00216EFF">
      <w:pPr>
        <w:spacing w:line="360" w:lineRule="auto"/>
        <w:ind w:hanging="2"/>
        <w:jc w:val="center"/>
        <w:rPr>
          <w:rFonts w:eastAsia="Arial" w:cs="Times New Roman"/>
        </w:rPr>
      </w:pPr>
      <w:r w:rsidRPr="00823749">
        <w:rPr>
          <w:rFonts w:eastAsia="Arial" w:cs="Times New Roman"/>
          <w:b/>
          <w:bCs/>
        </w:rPr>
        <w:lastRenderedPageBreak/>
        <w:t>PARA ALÉM DO AGRÍCOLA: TURIS</w:t>
      </w:r>
      <w:r w:rsidR="00975EEA">
        <w:rPr>
          <w:rFonts w:eastAsia="Arial" w:cs="Times New Roman"/>
          <w:b/>
          <w:bCs/>
        </w:rPr>
        <w:t xml:space="preserve">MO RURAL COMO ALTERNATIVA PARA </w:t>
      </w:r>
      <w:r w:rsidRPr="00823749">
        <w:rPr>
          <w:rFonts w:eastAsia="Arial" w:cs="Times New Roman"/>
          <w:b/>
          <w:bCs/>
        </w:rPr>
        <w:t>JOVENS DO CAMPO EM ITUIUTABA (MG)</w:t>
      </w:r>
    </w:p>
    <w:p w14:paraId="50A5D750" w14:textId="4346884E" w:rsidR="00216EFF" w:rsidRPr="00206F24" w:rsidRDefault="00216EFF" w:rsidP="00216EFF">
      <w:pPr>
        <w:spacing w:line="360" w:lineRule="auto"/>
        <w:ind w:hanging="2"/>
        <w:jc w:val="center"/>
        <w:rPr>
          <w:rFonts w:eastAsia="Arial" w:cs="Times New Roman"/>
          <w:vertAlign w:val="superscript"/>
        </w:rPr>
      </w:pPr>
      <w:r w:rsidRPr="00206F24">
        <w:rPr>
          <w:rFonts w:eastAsia="Arial" w:cs="Times New Roman"/>
        </w:rPr>
        <w:t>Autoria principal do Trabalho</w:t>
      </w:r>
      <w:r w:rsidR="00C80187" w:rsidRPr="00206F24">
        <w:rPr>
          <w:rFonts w:eastAsia="Arial" w:cs="Times New Roman"/>
        </w:rPr>
        <w:t>: Ana Cecília Guedes</w:t>
      </w:r>
      <w:r w:rsidR="00C80187" w:rsidRPr="00206F24">
        <w:rPr>
          <w:rStyle w:val="Refdenotaderodap"/>
          <w:rFonts w:eastAsia="Arial" w:cs="Times New Roman"/>
        </w:rPr>
        <w:footnoteReference w:id="1"/>
      </w:r>
    </w:p>
    <w:p w14:paraId="240642B5" w14:textId="4ABA3E07" w:rsidR="00C80187" w:rsidRPr="00206F24" w:rsidRDefault="00216EFF" w:rsidP="00C80187">
      <w:pPr>
        <w:spacing w:line="360" w:lineRule="auto"/>
        <w:ind w:hanging="2"/>
        <w:jc w:val="center"/>
        <w:rPr>
          <w:rFonts w:eastAsia="Arial" w:cs="Times New Roman"/>
        </w:rPr>
      </w:pPr>
      <w:proofErr w:type="gramStart"/>
      <w:r w:rsidRPr="00206F24">
        <w:rPr>
          <w:rFonts w:eastAsia="Arial" w:cs="Times New Roman"/>
        </w:rPr>
        <w:t>Coautoria(</w:t>
      </w:r>
      <w:proofErr w:type="gramEnd"/>
      <w:r w:rsidRPr="00206F24">
        <w:rPr>
          <w:rFonts w:eastAsia="Arial" w:cs="Times New Roman"/>
        </w:rPr>
        <w:t>s)</w:t>
      </w:r>
      <w:r w:rsidR="00C80187" w:rsidRPr="00206F24">
        <w:rPr>
          <w:rFonts w:eastAsia="Arial" w:cs="Times New Roman"/>
        </w:rPr>
        <w:t xml:space="preserve">: </w:t>
      </w:r>
      <w:proofErr w:type="spellStart"/>
      <w:r w:rsidR="00C80187" w:rsidRPr="00206F24">
        <w:rPr>
          <w:rFonts w:eastAsia="Arial" w:cs="Times New Roman"/>
        </w:rPr>
        <w:t>Elicardo</w:t>
      </w:r>
      <w:proofErr w:type="spellEnd"/>
      <w:r w:rsidR="00C80187" w:rsidRPr="00206F24">
        <w:rPr>
          <w:rFonts w:eastAsia="Arial" w:cs="Times New Roman"/>
        </w:rPr>
        <w:t xml:space="preserve"> </w:t>
      </w:r>
      <w:proofErr w:type="spellStart"/>
      <w:r w:rsidR="00C80187" w:rsidRPr="00206F24">
        <w:rPr>
          <w:rFonts w:eastAsia="Arial" w:cs="Times New Roman"/>
        </w:rPr>
        <w:t>Heber</w:t>
      </w:r>
      <w:proofErr w:type="spellEnd"/>
      <w:r w:rsidR="00C80187" w:rsidRPr="00206F24">
        <w:rPr>
          <w:rFonts w:eastAsia="Arial" w:cs="Times New Roman"/>
        </w:rPr>
        <w:t xml:space="preserve"> de Almeida Batista</w:t>
      </w:r>
      <w:r w:rsidR="00C80187" w:rsidRPr="00206F24">
        <w:rPr>
          <w:rStyle w:val="Refdenotaderodap"/>
          <w:rFonts w:eastAsia="Arial" w:cs="Times New Roman"/>
        </w:rPr>
        <w:footnoteReference w:id="2"/>
      </w:r>
      <w:r w:rsidR="00C80187" w:rsidRPr="00206F24">
        <w:rPr>
          <w:rFonts w:eastAsia="Arial" w:cs="Times New Roman"/>
        </w:rPr>
        <w:t>, Julia Oliveira Medeiros</w:t>
      </w:r>
      <w:r w:rsidR="00C80187" w:rsidRPr="00206F24">
        <w:rPr>
          <w:rStyle w:val="Refdenotaderodap"/>
          <w:rFonts w:eastAsia="Arial" w:cs="Times New Roman"/>
        </w:rPr>
        <w:footnoteReference w:id="3"/>
      </w:r>
    </w:p>
    <w:p w14:paraId="1A10A913" w14:textId="77777777" w:rsidR="00216EFF" w:rsidRPr="00CF7891" w:rsidRDefault="00216EFF" w:rsidP="00823749">
      <w:pPr>
        <w:spacing w:line="360" w:lineRule="auto"/>
        <w:rPr>
          <w:rFonts w:eastAsia="Arial" w:cs="Times New Roman"/>
        </w:rPr>
      </w:pPr>
    </w:p>
    <w:p w14:paraId="62E1680C" w14:textId="097F323D" w:rsidR="00216EFF" w:rsidRDefault="00CF7891" w:rsidP="00CF7891">
      <w:pPr>
        <w:pStyle w:val="Default"/>
        <w:rPr>
          <w:b/>
          <w:bCs/>
          <w:color w:val="auto"/>
          <w:sz w:val="22"/>
          <w:szCs w:val="22"/>
        </w:rPr>
      </w:pPr>
      <w:r w:rsidRPr="00CF7891">
        <w:rPr>
          <w:rFonts w:eastAsia="Arial" w:cs="Times New Roman"/>
          <w:color w:val="auto"/>
        </w:rPr>
        <w:t xml:space="preserve">GT 14: </w:t>
      </w:r>
      <w:r w:rsidRPr="00CF7891">
        <w:rPr>
          <w:b/>
          <w:bCs/>
          <w:color w:val="auto"/>
          <w:sz w:val="22"/>
          <w:szCs w:val="22"/>
        </w:rPr>
        <w:t>MECANISMOS DE ENGAJAMENTO DA JUVENTUDE E FORTALECIMENTO DA SUCESSÃO NOS TERRITÓRIOS RURAIS</w:t>
      </w:r>
    </w:p>
    <w:p w14:paraId="043325D5" w14:textId="77777777" w:rsidR="00CF7891" w:rsidRPr="00CF7891" w:rsidRDefault="00CF7891" w:rsidP="00CF7891">
      <w:pPr>
        <w:pStyle w:val="Default"/>
        <w:rPr>
          <w:color w:val="auto"/>
        </w:rPr>
      </w:pPr>
    </w:p>
    <w:p w14:paraId="7C618C51" w14:textId="77777777" w:rsidR="00216EFF" w:rsidRPr="00206F24" w:rsidRDefault="00216EFF" w:rsidP="00593D45">
      <w:pPr>
        <w:spacing w:line="360" w:lineRule="auto"/>
        <w:ind w:hanging="2"/>
        <w:jc w:val="center"/>
        <w:rPr>
          <w:rFonts w:eastAsia="Arial" w:cs="Times New Roman"/>
          <w:b/>
        </w:rPr>
      </w:pPr>
      <w:r w:rsidRPr="00206F24">
        <w:rPr>
          <w:rFonts w:eastAsia="Arial" w:cs="Times New Roman"/>
          <w:b/>
        </w:rPr>
        <w:t xml:space="preserve">RESUMO </w:t>
      </w:r>
    </w:p>
    <w:p w14:paraId="4FF42679" w14:textId="20B4DD5B" w:rsidR="00EF2DAE" w:rsidRPr="00206F24" w:rsidRDefault="00206F24" w:rsidP="00655E76">
      <w:pPr>
        <w:ind w:hanging="2"/>
        <w:jc w:val="both"/>
        <w:rPr>
          <w:rFonts w:eastAsia="Arial" w:cs="Times New Roman"/>
          <w:b/>
        </w:rPr>
      </w:pPr>
      <w:r w:rsidRPr="00206F24">
        <w:rPr>
          <w:rFonts w:cs="Times New Roman"/>
        </w:rPr>
        <w:t>As relações entre campo e cidade passaram por intensas transformações, impulsionando novas dinâmicas econômicas e espaciais. Dentre essas mudanças, destaca-se a expansão do agronegócio, que provoca alterações significativas no espaço rural, especialmente no mercado de trabalho, na economia e nas dinâmicas populacionais. Um dos efeitos mais evidentes é o êxodo de jovens dos espaços rurais, seja como local de residência ou de atuação profissional. Este artigo, com base em revisão bibliográfica, questionários e entrevistas semiestruturadas, discute o turismo rural como alternativa à lógica excludente</w:t>
      </w:r>
      <w:r w:rsidRPr="00206F24">
        <w:rPr>
          <w:rFonts w:cs="Times New Roman"/>
        </w:rPr>
        <w:tab/>
        <w:t>e do agronegócio, visando à permanência dos jovens no campo. Os dados revelam que o turismo rural pode gerar oportunidades econômicas, especialmente para jovens e mulheres, além de fortalecer o tecido social local. Contudo, seu desenvolvimento depende de políticas públicas eficazes e de estratégias de capacitação. O estudo tem como recorte espacial Ituiutaba (MG), onde essas práticas apresentam potencial para promover um desenvolvimento rural mais sustentável e inclusivo.</w:t>
      </w:r>
    </w:p>
    <w:p w14:paraId="480B2C1C" w14:textId="1C3632AF" w:rsidR="00216EFF" w:rsidRPr="00206F24" w:rsidRDefault="00216EFF" w:rsidP="00593D45">
      <w:pPr>
        <w:spacing w:line="360" w:lineRule="auto"/>
        <w:ind w:hanging="2"/>
        <w:jc w:val="both"/>
        <w:rPr>
          <w:rFonts w:eastAsia="Arial" w:cs="Times New Roman"/>
        </w:rPr>
      </w:pPr>
      <w:r w:rsidRPr="00D70D16">
        <w:rPr>
          <w:rFonts w:eastAsia="Arial" w:cs="Times New Roman"/>
          <w:b/>
        </w:rPr>
        <w:t>Palavras-chave:</w:t>
      </w:r>
      <w:r w:rsidRPr="00206F24">
        <w:rPr>
          <w:rFonts w:eastAsia="Arial" w:cs="Times New Roman"/>
        </w:rPr>
        <w:t xml:space="preserve"> </w:t>
      </w:r>
      <w:r w:rsidR="0095339A">
        <w:rPr>
          <w:rFonts w:eastAsia="Arial" w:cs="Times New Roman"/>
        </w:rPr>
        <w:t xml:space="preserve">Desenvolvimento Rural; </w:t>
      </w:r>
      <w:r w:rsidR="000B0ED3" w:rsidRPr="00206F24">
        <w:rPr>
          <w:rFonts w:eastAsia="Arial" w:cs="Times New Roman"/>
        </w:rPr>
        <w:t>Turi</w:t>
      </w:r>
      <w:r w:rsidR="0095339A">
        <w:rPr>
          <w:rFonts w:eastAsia="Arial" w:cs="Times New Roman"/>
        </w:rPr>
        <w:t>smo; Juventude;</w:t>
      </w:r>
      <w:r w:rsidR="00655E76" w:rsidRPr="00206F24">
        <w:rPr>
          <w:rFonts w:eastAsia="Arial" w:cs="Times New Roman"/>
        </w:rPr>
        <w:t xml:space="preserve"> </w:t>
      </w:r>
      <w:r w:rsidR="000B0ED3" w:rsidRPr="00206F24">
        <w:rPr>
          <w:rFonts w:eastAsia="Arial" w:cs="Times New Roman"/>
        </w:rPr>
        <w:t>Permanência</w:t>
      </w:r>
      <w:r w:rsidR="0095339A">
        <w:rPr>
          <w:rFonts w:eastAsia="Arial" w:cs="Times New Roman"/>
        </w:rPr>
        <w:t xml:space="preserve">; </w:t>
      </w:r>
      <w:bookmarkStart w:id="0" w:name="_GoBack"/>
      <w:bookmarkEnd w:id="0"/>
      <w:r w:rsidR="0095339A">
        <w:rPr>
          <w:rFonts w:eastAsia="Arial" w:cs="Times New Roman"/>
        </w:rPr>
        <w:t>êxodo rural</w:t>
      </w:r>
    </w:p>
    <w:p w14:paraId="1DA4E0E6" w14:textId="77777777" w:rsidR="00823749" w:rsidRPr="00206F24" w:rsidRDefault="00823749" w:rsidP="00593D45">
      <w:pPr>
        <w:spacing w:line="360" w:lineRule="auto"/>
        <w:ind w:hanging="2"/>
        <w:jc w:val="both"/>
        <w:rPr>
          <w:rFonts w:eastAsia="Arial" w:cs="Times New Roman"/>
          <w:color w:val="000000"/>
        </w:rPr>
      </w:pPr>
    </w:p>
    <w:p w14:paraId="515FFDB8" w14:textId="77777777" w:rsidR="00823749" w:rsidRPr="00823749" w:rsidRDefault="00823749" w:rsidP="00D70D16">
      <w:pPr>
        <w:spacing w:line="360" w:lineRule="auto"/>
        <w:jc w:val="both"/>
        <w:rPr>
          <w:rFonts w:eastAsia="Arial" w:cs="Times New Roman"/>
          <w:b/>
        </w:rPr>
      </w:pPr>
      <w:r w:rsidRPr="00823749">
        <w:rPr>
          <w:rFonts w:eastAsia="Arial" w:cs="Times New Roman"/>
          <w:b/>
        </w:rPr>
        <w:t>INTRODUÇÃO</w:t>
      </w:r>
    </w:p>
    <w:p w14:paraId="6A9564F7" w14:textId="6D7F78E2"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Promovida na experiência brasileira desde meados do século XX, a modernização da agricultura estruturou-se a partir de um conjunto de políticas e programas estatais, alterando de forma concentrada, seletiva e desigual os espaços rurais. Objetivava aumentar a produção e a produtividade agrícola por intermédio </w:t>
      </w:r>
      <w:r w:rsidRPr="00823749">
        <w:rPr>
          <w:rFonts w:eastAsia="Arial" w:cs="Times New Roman"/>
        </w:rPr>
        <w:lastRenderedPageBreak/>
        <w:t>das inovações tecnológicas (que se propagavam internacionalmente no âmbito da chamada Revolução</w:t>
      </w:r>
      <w:r w:rsidR="00496740">
        <w:rPr>
          <w:rFonts w:eastAsia="Arial" w:cs="Times New Roman"/>
        </w:rPr>
        <w:t xml:space="preserve"> Verde (Matos; </w:t>
      </w:r>
      <w:proofErr w:type="spellStart"/>
      <w:r w:rsidR="00496740">
        <w:rPr>
          <w:rFonts w:eastAsia="Arial" w:cs="Times New Roman"/>
        </w:rPr>
        <w:t>Pessôa</w:t>
      </w:r>
      <w:proofErr w:type="spellEnd"/>
      <w:r w:rsidR="00496740">
        <w:rPr>
          <w:rFonts w:eastAsia="Arial" w:cs="Times New Roman"/>
        </w:rPr>
        <w:t xml:space="preserve">, 2011). O </w:t>
      </w:r>
      <w:r w:rsidRPr="00823749">
        <w:rPr>
          <w:rFonts w:eastAsia="Arial" w:cs="Times New Roman"/>
        </w:rPr>
        <w:t>pensamento econômico brasileiro amplamente divulgado nesse período é o baseado na lógica dos papéis clássicos da agricultura no desenvolvime</w:t>
      </w:r>
      <w:r w:rsidR="00496740">
        <w:rPr>
          <w:rFonts w:eastAsia="Arial" w:cs="Times New Roman"/>
        </w:rPr>
        <w:t>nto econômico (Delgado, 2001). Para c</w:t>
      </w:r>
      <w:r w:rsidRPr="00823749">
        <w:rPr>
          <w:rFonts w:eastAsia="Arial" w:cs="Times New Roman"/>
        </w:rPr>
        <w:t>umprir tais funções básicas da agricultura, promoveu-se uma ampla modern</w:t>
      </w:r>
      <w:r w:rsidR="00496740">
        <w:rPr>
          <w:rFonts w:eastAsia="Arial" w:cs="Times New Roman"/>
        </w:rPr>
        <w:t>ização tecnológica, que modificou</w:t>
      </w:r>
      <w:r w:rsidRPr="00823749">
        <w:rPr>
          <w:rFonts w:eastAsia="Arial" w:cs="Times New Roman"/>
        </w:rPr>
        <w:t xml:space="preserve"> intensamente a produção no campo brasileiro, bem como as relações capital x trabalho e campo x cidade (Matos; </w:t>
      </w:r>
      <w:proofErr w:type="spellStart"/>
      <w:r w:rsidRPr="00823749">
        <w:rPr>
          <w:rFonts w:eastAsia="Arial" w:cs="Times New Roman"/>
        </w:rPr>
        <w:t>Pessôa</w:t>
      </w:r>
      <w:proofErr w:type="spellEnd"/>
      <w:r w:rsidRPr="00823749">
        <w:rPr>
          <w:rFonts w:eastAsia="Arial" w:cs="Times New Roman"/>
        </w:rPr>
        <w:t>, 2011) e uma perspectiva muito limitada de des</w:t>
      </w:r>
      <w:r w:rsidR="00496740">
        <w:rPr>
          <w:rFonts w:eastAsia="Arial" w:cs="Times New Roman"/>
        </w:rPr>
        <w:t xml:space="preserve">envolvimento rural associada ao </w:t>
      </w:r>
      <w:r w:rsidRPr="00823749">
        <w:rPr>
          <w:rFonts w:eastAsia="Arial" w:cs="Times New Roman"/>
        </w:rPr>
        <w:t>aumento da produção e produtividade agrícola.</w:t>
      </w:r>
    </w:p>
    <w:p w14:paraId="004F51DE" w14:textId="45979BFA" w:rsidR="00823749" w:rsidRPr="00823749" w:rsidRDefault="00D70D16" w:rsidP="00823749">
      <w:pPr>
        <w:spacing w:line="360" w:lineRule="auto"/>
        <w:ind w:firstLine="720"/>
        <w:jc w:val="both"/>
        <w:rPr>
          <w:rFonts w:eastAsia="Arial" w:cs="Times New Roman"/>
        </w:rPr>
      </w:pPr>
      <w:r>
        <w:rPr>
          <w:rFonts w:eastAsia="Arial" w:cs="Times New Roman"/>
        </w:rPr>
        <w:t>Na virada de século, a</w:t>
      </w:r>
      <w:r w:rsidR="00823749" w:rsidRPr="00823749">
        <w:rPr>
          <w:rFonts w:eastAsia="Arial" w:cs="Times New Roman"/>
        </w:rPr>
        <w:t xml:space="preserve">s diversas e distintas configurações </w:t>
      </w:r>
      <w:proofErr w:type="spellStart"/>
      <w:r w:rsidR="00823749" w:rsidRPr="00823749">
        <w:rPr>
          <w:rFonts w:eastAsia="Arial" w:cs="Times New Roman"/>
        </w:rPr>
        <w:t>socioespaciais</w:t>
      </w:r>
      <w:proofErr w:type="spellEnd"/>
      <w:r w:rsidR="00823749" w:rsidRPr="00823749">
        <w:rPr>
          <w:rFonts w:eastAsia="Arial" w:cs="Times New Roman"/>
        </w:rPr>
        <w:t xml:space="preserve"> do agronegócio (Elias, 2003) e suas novas espacialidades (</w:t>
      </w:r>
      <w:proofErr w:type="spellStart"/>
      <w:r w:rsidR="00823749" w:rsidRPr="00823749">
        <w:rPr>
          <w:rFonts w:eastAsia="Arial" w:cs="Times New Roman"/>
        </w:rPr>
        <w:t>Baeninger</w:t>
      </w:r>
      <w:proofErr w:type="spellEnd"/>
      <w:r w:rsidR="00823749" w:rsidRPr="00823749">
        <w:rPr>
          <w:rFonts w:eastAsia="Arial" w:cs="Times New Roman"/>
        </w:rPr>
        <w:t>, 2023), colocam novas questões para os estudos sobre o desenvolvimento rural. Mudanças ocorridas nos processos de industrialização, urbanização e, mais recentemente, a reestruturação produtiva, resultaram em novas dinâmicas (econômicas, sociais, políticas e culturais) provocando profundas transformações nas relações campo e cidade (</w:t>
      </w:r>
      <w:proofErr w:type="spellStart"/>
      <w:r w:rsidR="00823749" w:rsidRPr="00823749">
        <w:rPr>
          <w:rFonts w:eastAsia="Arial" w:cs="Times New Roman"/>
        </w:rPr>
        <w:t>Hespanhol</w:t>
      </w:r>
      <w:proofErr w:type="spellEnd"/>
      <w:r w:rsidR="00823749" w:rsidRPr="00823749">
        <w:rPr>
          <w:rFonts w:eastAsia="Arial" w:cs="Times New Roman"/>
        </w:rPr>
        <w:t>, 2013). O município de Ituiutaba (MG) é caracterizado pela crescente especia</w:t>
      </w:r>
      <w:r>
        <w:rPr>
          <w:rFonts w:eastAsia="Arial" w:cs="Times New Roman"/>
        </w:rPr>
        <w:t>lização produtiva, modernização</w:t>
      </w:r>
      <w:r w:rsidR="00CF7891">
        <w:rPr>
          <w:rFonts w:eastAsia="Arial" w:cs="Times New Roman"/>
        </w:rPr>
        <w:t xml:space="preserve"> da</w:t>
      </w:r>
      <w:r w:rsidR="00823749" w:rsidRPr="00823749">
        <w:rPr>
          <w:rFonts w:eastAsia="Arial" w:cs="Times New Roman"/>
        </w:rPr>
        <w:t xml:space="preserve"> </w:t>
      </w:r>
      <w:proofErr w:type="gramStart"/>
      <w:r w:rsidR="00823749" w:rsidRPr="00823749">
        <w:rPr>
          <w:rFonts w:eastAsia="Arial" w:cs="Times New Roman"/>
        </w:rPr>
        <w:t>agricultura  muito</w:t>
      </w:r>
      <w:proofErr w:type="gramEnd"/>
      <w:r w:rsidR="00823749" w:rsidRPr="00823749">
        <w:rPr>
          <w:rFonts w:eastAsia="Arial" w:cs="Times New Roman"/>
        </w:rPr>
        <w:t xml:space="preserve"> seletiva, privilegiando médios e grandes produtores rurais e centrada principalmente pela concentração no circuito espacial de produção da cana-de-açúcar e de terras.  Como uma modernização desigual e excludente, ocorreu na experiência de Ituiutaba um amplo processo de êxodo-rural (migração do campo para cidades) e uma modernização desigual e excludente.</w:t>
      </w:r>
    </w:p>
    <w:p w14:paraId="7E0467F8"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O aumento da produção e da produtividade, não foi condição para promover o bem-estar da população. Resolveu problemas agrícolas, mas favoreceu a concentração fundiária e de renda. </w:t>
      </w:r>
      <w:proofErr w:type="spellStart"/>
      <w:r w:rsidRPr="00823749">
        <w:rPr>
          <w:rFonts w:eastAsia="Arial" w:cs="Times New Roman"/>
        </w:rPr>
        <w:t>Canales</w:t>
      </w:r>
      <w:proofErr w:type="spellEnd"/>
      <w:r w:rsidRPr="00823749">
        <w:rPr>
          <w:rFonts w:eastAsia="Arial" w:cs="Times New Roman"/>
        </w:rPr>
        <w:t xml:space="preserve"> e </w:t>
      </w:r>
      <w:proofErr w:type="spellStart"/>
      <w:r w:rsidRPr="00823749">
        <w:rPr>
          <w:rFonts w:eastAsia="Arial" w:cs="Times New Roman"/>
        </w:rPr>
        <w:t>Canales</w:t>
      </w:r>
      <w:proofErr w:type="spellEnd"/>
      <w:r w:rsidRPr="00823749">
        <w:rPr>
          <w:rFonts w:eastAsia="Arial" w:cs="Times New Roman"/>
        </w:rPr>
        <w:t xml:space="preserve"> </w:t>
      </w:r>
      <w:proofErr w:type="spellStart"/>
      <w:r w:rsidRPr="00823749">
        <w:rPr>
          <w:rFonts w:eastAsia="Arial" w:cs="Times New Roman"/>
        </w:rPr>
        <w:t>Ceron</w:t>
      </w:r>
      <w:proofErr w:type="spellEnd"/>
      <w:r w:rsidRPr="00823749">
        <w:rPr>
          <w:rFonts w:eastAsia="Arial" w:cs="Times New Roman"/>
        </w:rPr>
        <w:t xml:space="preserve"> (2013), ao analisarem as inter-relações entre urbanização, globalização da agricultura e divisão internacional do trabalho, consideram a emergência de um novo modelo de </w:t>
      </w:r>
      <w:r w:rsidRPr="00823749">
        <w:rPr>
          <w:rFonts w:eastAsia="Arial" w:cs="Times New Roman"/>
        </w:rPr>
        <w:lastRenderedPageBreak/>
        <w:t>desenvolvimento na América Latina, no qual são fortalecidas espacialidades rurais que rompem com os tradicionais fluxos campo-cidade.</w:t>
      </w:r>
    </w:p>
    <w:p w14:paraId="0A158963"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O paradigma da </w:t>
      </w:r>
      <w:proofErr w:type="spellStart"/>
      <w:r w:rsidRPr="00823749">
        <w:rPr>
          <w:rFonts w:eastAsia="Arial" w:cs="Times New Roman"/>
        </w:rPr>
        <w:t>agropolização</w:t>
      </w:r>
      <w:proofErr w:type="spellEnd"/>
      <w:r w:rsidRPr="00823749">
        <w:rPr>
          <w:rFonts w:eastAsia="Arial" w:cs="Times New Roman"/>
        </w:rPr>
        <w:t xml:space="preserve"> combina um padrão de residência urbano com uma dinâmica de acumulação agrário-exportadora, induzindo a formação de uma ampla variedade de cidades agrárias onde são adensados os vínculos globais por meio da produção e do processamento de commodities (</w:t>
      </w:r>
      <w:proofErr w:type="spellStart"/>
      <w:r w:rsidRPr="00823749">
        <w:rPr>
          <w:rFonts w:eastAsia="Arial" w:cs="Times New Roman"/>
        </w:rPr>
        <w:t>Canales</w:t>
      </w:r>
      <w:proofErr w:type="spellEnd"/>
      <w:r w:rsidRPr="00823749">
        <w:rPr>
          <w:rFonts w:eastAsia="Arial" w:cs="Times New Roman"/>
        </w:rPr>
        <w:t xml:space="preserve"> e </w:t>
      </w:r>
      <w:proofErr w:type="spellStart"/>
      <w:r w:rsidRPr="00823749">
        <w:rPr>
          <w:rFonts w:eastAsia="Arial" w:cs="Times New Roman"/>
        </w:rPr>
        <w:t>Canales</w:t>
      </w:r>
      <w:proofErr w:type="spellEnd"/>
      <w:r w:rsidRPr="00823749">
        <w:rPr>
          <w:rFonts w:eastAsia="Arial" w:cs="Times New Roman"/>
        </w:rPr>
        <w:t xml:space="preserve"> </w:t>
      </w:r>
      <w:proofErr w:type="spellStart"/>
      <w:r w:rsidRPr="00823749">
        <w:rPr>
          <w:rFonts w:eastAsia="Arial" w:cs="Times New Roman"/>
        </w:rPr>
        <w:t>Ceron</w:t>
      </w:r>
      <w:proofErr w:type="spellEnd"/>
      <w:r w:rsidRPr="00823749">
        <w:rPr>
          <w:rFonts w:eastAsia="Arial" w:cs="Times New Roman"/>
        </w:rPr>
        <w:t xml:space="preserve">, 2013) com ramificações da cadeia produtiva do setor agroindustrial que entrelaçam nos ramos comerciais, bancários/creditícios e de serviços, </w:t>
      </w:r>
      <w:proofErr w:type="spellStart"/>
      <w:r w:rsidRPr="00823749">
        <w:rPr>
          <w:rFonts w:eastAsia="Arial" w:cs="Times New Roman"/>
        </w:rPr>
        <w:t>agroprocessamento</w:t>
      </w:r>
      <w:proofErr w:type="spellEnd"/>
      <w:r w:rsidRPr="00823749">
        <w:rPr>
          <w:rFonts w:eastAsia="Arial" w:cs="Times New Roman"/>
        </w:rPr>
        <w:t xml:space="preserve">, logística/transporte para atender às demandas da agricultura moderna que instalam novas culturas agrícolas ou reestruturam as produções agrícolas com a presença de tecnologia física com destaque para os maquinários agrícolas, química com substituição parcial do trabalho pela aplicação de herbicidas e a biotecnologia e o melhoramento genético das plantas, dentre outros, metamorfoseando produtiva e espacialmente a produção agrícola, na experiência brasileira, muitas cidades se tornaram referência para a reprodução do capital associado ao agronegócio, organizadas para atender às necessidades de consumo do agronegócio e suas demandas (sistemas técnicos, serviços, créditos agrícolas, </w:t>
      </w:r>
      <w:proofErr w:type="spellStart"/>
      <w:r w:rsidRPr="00823749">
        <w:rPr>
          <w:rFonts w:eastAsia="Arial" w:cs="Times New Roman"/>
        </w:rPr>
        <w:t>etc</w:t>
      </w:r>
      <w:proofErr w:type="spellEnd"/>
      <w:r w:rsidRPr="00823749">
        <w:rPr>
          <w:rFonts w:eastAsia="Arial" w:cs="Times New Roman"/>
        </w:rPr>
        <w:t>).</w:t>
      </w:r>
    </w:p>
    <w:p w14:paraId="7744593A"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As “cidades do agronegócio” transformam-se em centros dinâmicos de reprodução de capital em diferentes esferas econômicas. Particularmente no município de Ituiutaba, um dos maiores produtores de commodities, </w:t>
      </w:r>
      <w:proofErr w:type="spellStart"/>
      <w:r w:rsidRPr="00823749">
        <w:rPr>
          <w:rFonts w:eastAsia="Arial" w:cs="Times New Roman"/>
        </w:rPr>
        <w:t>Baeninger</w:t>
      </w:r>
      <w:proofErr w:type="spellEnd"/>
      <w:r w:rsidRPr="00823749">
        <w:rPr>
          <w:rFonts w:eastAsia="Arial" w:cs="Times New Roman"/>
        </w:rPr>
        <w:t xml:space="preserve"> e </w:t>
      </w:r>
      <w:proofErr w:type="spellStart"/>
      <w:r w:rsidRPr="00823749">
        <w:rPr>
          <w:rFonts w:eastAsia="Arial" w:cs="Times New Roman"/>
        </w:rPr>
        <w:t>Ojima</w:t>
      </w:r>
      <w:proofErr w:type="spellEnd"/>
      <w:r w:rsidRPr="00823749">
        <w:rPr>
          <w:rFonts w:eastAsia="Arial" w:cs="Times New Roman"/>
        </w:rPr>
        <w:t xml:space="preserve"> (2008), a dinâmica de reprodução do agronegócio emerge como fenômeno conectado com a reestruturação produtiva global, articulando-a, localmente, à produção de arranjos urbano-rurais regionais (</w:t>
      </w:r>
      <w:proofErr w:type="spellStart"/>
      <w:r w:rsidRPr="00823749">
        <w:rPr>
          <w:rFonts w:eastAsia="Arial" w:cs="Times New Roman"/>
        </w:rPr>
        <w:t>des</w:t>
      </w:r>
      <w:proofErr w:type="spellEnd"/>
      <w:r w:rsidRPr="00823749">
        <w:rPr>
          <w:rFonts w:eastAsia="Arial" w:cs="Times New Roman"/>
        </w:rPr>
        <w:t xml:space="preserve">) articulando em distintas escalas (Demétrio, 2017). Permanece em Ituiutaba, políticas públicas </w:t>
      </w:r>
      <w:proofErr w:type="gramStart"/>
      <w:r w:rsidRPr="00823749">
        <w:rPr>
          <w:rFonts w:eastAsia="Arial" w:cs="Times New Roman"/>
        </w:rPr>
        <w:t>direcionadas  ao</w:t>
      </w:r>
      <w:proofErr w:type="gramEnd"/>
      <w:r w:rsidRPr="00823749">
        <w:rPr>
          <w:rFonts w:eastAsia="Arial" w:cs="Times New Roman"/>
        </w:rPr>
        <w:t xml:space="preserve">  desenvolvimento  rural  com caráter largamente  produtivista,  ou  seja,    o  campo  apenas  como  um  local  de  produzir,  e  não  se preocupavam com os fatores sociais, como a qualidade de vida e a diversidade existente no rural, inclusive produtiva. A partir de 1990, porém, essas já referidas politicas passaram a ser elaboradas com </w:t>
      </w:r>
      <w:r w:rsidRPr="00823749">
        <w:rPr>
          <w:rFonts w:eastAsia="Arial" w:cs="Times New Roman"/>
        </w:rPr>
        <w:lastRenderedPageBreak/>
        <w:t>base na perspectiva territorial, reforçando a escala local (</w:t>
      </w:r>
      <w:proofErr w:type="spellStart"/>
      <w:r w:rsidRPr="00823749">
        <w:rPr>
          <w:rFonts w:eastAsia="Arial" w:cs="Times New Roman"/>
        </w:rPr>
        <w:t>Hespanhol</w:t>
      </w:r>
      <w:proofErr w:type="spellEnd"/>
      <w:r w:rsidRPr="00823749">
        <w:rPr>
          <w:rFonts w:eastAsia="Arial" w:cs="Times New Roman"/>
        </w:rPr>
        <w:t xml:space="preserve">, 2007). Sobre o rural é praticamente infindável, mas a literatura aponta para certo consenso sobre os seguintes elementos: I - rural não é necessariamente sinônimo de agrícola [produção animal e vegetal] e o rural nem sempre é sinônimo de agrícola; II - o rural não é exclusivamente setorial (destaque para as atividades não agrícolas) e multifuncional (funções produtiva, ambiental, ecológica, social, </w:t>
      </w:r>
      <w:proofErr w:type="spellStart"/>
      <w:r w:rsidRPr="00823749">
        <w:rPr>
          <w:rFonts w:eastAsia="Arial" w:cs="Times New Roman"/>
        </w:rPr>
        <w:t>etc</w:t>
      </w:r>
      <w:proofErr w:type="spellEnd"/>
      <w:r w:rsidRPr="00823749">
        <w:rPr>
          <w:rFonts w:eastAsia="Arial" w:cs="Times New Roman"/>
        </w:rPr>
        <w:t xml:space="preserve">); III - as áreas rurais tendem a ter densidade populacional relativamente baixa considerando as áreas urbanas (no entorno ou não); IV - não há um isolamento absoluto entre as áreas rurais e urbanas. Distintas redes, mercantis, sociais e institucionais se interconectam entre o rural e o urbano. Outro ponto complexo nos estudos rurais se dá pela própria proposição [ou proposições - no plural] sobre o desenvolvimento rural e a própria discussão (não raro naturalizada) sobre desenvolvimento. Entende-se que o desenvolvimento rural deve considerar as diversas dimensões, dentre elas, social, cultural, política e ambiental. É nesse sentido que esse texto irá tratar o rural para além do agrícola com enfoque no turismo rural e </w:t>
      </w:r>
      <w:proofErr w:type="spellStart"/>
      <w:r w:rsidRPr="00823749">
        <w:rPr>
          <w:rFonts w:eastAsia="Arial" w:cs="Times New Roman"/>
        </w:rPr>
        <w:t>agroturismo</w:t>
      </w:r>
      <w:proofErr w:type="spellEnd"/>
      <w:r w:rsidRPr="00823749">
        <w:rPr>
          <w:rFonts w:eastAsia="Arial" w:cs="Times New Roman"/>
        </w:rPr>
        <w:t xml:space="preserve"> no contexto de Ituiutaba (MG).</w:t>
      </w:r>
    </w:p>
    <w:p w14:paraId="1420041A" w14:textId="77777777" w:rsidR="00823749" w:rsidRPr="00823749" w:rsidRDefault="00823749" w:rsidP="00823749">
      <w:pPr>
        <w:spacing w:line="360" w:lineRule="auto"/>
        <w:ind w:firstLine="720"/>
        <w:jc w:val="both"/>
        <w:rPr>
          <w:rFonts w:eastAsia="Arial" w:cs="Times New Roman"/>
        </w:rPr>
      </w:pPr>
    </w:p>
    <w:p w14:paraId="2B4A2101" w14:textId="77777777" w:rsidR="00823749" w:rsidRPr="00D91DBF" w:rsidRDefault="00823749" w:rsidP="00D91DBF">
      <w:pPr>
        <w:spacing w:line="360" w:lineRule="auto"/>
        <w:jc w:val="both"/>
        <w:rPr>
          <w:rFonts w:eastAsia="Arial" w:cs="Times New Roman"/>
          <w:b/>
        </w:rPr>
      </w:pPr>
      <w:r w:rsidRPr="00D91DBF">
        <w:rPr>
          <w:rFonts w:eastAsia="Arial" w:cs="Times New Roman"/>
          <w:b/>
        </w:rPr>
        <w:t>DESENVOLVIMENTO</w:t>
      </w:r>
    </w:p>
    <w:p w14:paraId="55E0E8BF"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O êxodo rural e a escassez de oportunidades de emprego representam desafios que comprometem a sustentabilidade das comunidades rurais em distintas experiências, seja Brasileira ou internacional. A migração de jovens e mulheres para os centros urbanos não apenas reduz a disponibilidade de mão de obra no campo, mas também ameaça a preservação das tradições culturais e sociais dessas localidades (Carneiro, 1998; </w:t>
      </w:r>
      <w:proofErr w:type="spellStart"/>
      <w:r w:rsidRPr="00823749">
        <w:rPr>
          <w:rFonts w:eastAsia="Arial" w:cs="Times New Roman"/>
        </w:rPr>
        <w:t>Abramovay</w:t>
      </w:r>
      <w:proofErr w:type="spellEnd"/>
      <w:r w:rsidRPr="00823749">
        <w:rPr>
          <w:rFonts w:eastAsia="Arial" w:cs="Times New Roman"/>
        </w:rPr>
        <w:t xml:space="preserve">, 2003). Nesse cenário, o fortalecimento de iniciativas econômicas sustentáveis, como o empreendedorismo rural, turismo e o </w:t>
      </w:r>
      <w:proofErr w:type="spellStart"/>
      <w:r w:rsidRPr="00823749">
        <w:rPr>
          <w:rFonts w:eastAsia="Arial" w:cs="Times New Roman"/>
        </w:rPr>
        <w:t>agroturismo</w:t>
      </w:r>
      <w:proofErr w:type="spellEnd"/>
      <w:r w:rsidRPr="00823749">
        <w:rPr>
          <w:rFonts w:eastAsia="Arial" w:cs="Times New Roman"/>
        </w:rPr>
        <w:t xml:space="preserve">, despontam como estratégias promissoras para transformar essa realidade, oferecendo novas possibilidades de desenvolvimento socioeconômico (Schneider; </w:t>
      </w:r>
      <w:proofErr w:type="spellStart"/>
      <w:r w:rsidRPr="00823749">
        <w:rPr>
          <w:rFonts w:eastAsia="Arial" w:cs="Times New Roman"/>
        </w:rPr>
        <w:t>Gazolla</w:t>
      </w:r>
      <w:proofErr w:type="spellEnd"/>
      <w:r w:rsidRPr="00823749">
        <w:rPr>
          <w:rFonts w:eastAsia="Arial" w:cs="Times New Roman"/>
        </w:rPr>
        <w:t>, 2008).</w:t>
      </w:r>
    </w:p>
    <w:p w14:paraId="304DC8DF"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lastRenderedPageBreak/>
        <w:t xml:space="preserve">De acordo com </w:t>
      </w:r>
      <w:proofErr w:type="spellStart"/>
      <w:r w:rsidRPr="00823749">
        <w:rPr>
          <w:rFonts w:eastAsia="Arial" w:cs="Times New Roman"/>
        </w:rPr>
        <w:t>Bricalli</w:t>
      </w:r>
      <w:proofErr w:type="spellEnd"/>
      <w:r w:rsidRPr="00823749">
        <w:rPr>
          <w:rFonts w:eastAsia="Arial" w:cs="Times New Roman"/>
        </w:rPr>
        <w:t xml:space="preserve"> (2005), o turismo no espaço rural compreende todos os empreendimentos que proporcionam recreação, lazer e qualquer outra atividade ligada ao turismo, desde que localizados em áreas rurais. A literatura sobre o turismo rural no Brasil destaca sua relevância na revitalização das economias locais, na conservação ambiental e na preservação da identidade cultural das comunidades rurais (</w:t>
      </w:r>
      <w:proofErr w:type="spellStart"/>
      <w:r w:rsidRPr="00823749">
        <w:rPr>
          <w:rFonts w:eastAsia="Arial" w:cs="Times New Roman"/>
        </w:rPr>
        <w:t>Trentin</w:t>
      </w:r>
      <w:proofErr w:type="spellEnd"/>
      <w:r w:rsidRPr="00823749">
        <w:rPr>
          <w:rFonts w:eastAsia="Arial" w:cs="Times New Roman"/>
        </w:rPr>
        <w:t>, 2019; Bianchi et al., 2020).</w:t>
      </w:r>
    </w:p>
    <w:p w14:paraId="331FD28D"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O turismo é uma atividade em constante transformação, impulsionada por novas demandas do público e pela crescente competitividade no mercado. Esse cenário favorece o surgimento de diferentes modalidades turísticas, entre elas o turismo rural, que se consolida como uma alternativa capaz de incrementar a renda dos proprietários rurais, além de valorizar os modos de vida tradicionais, as características da ruralidade e o contato com a natureza. De acordo com o Ministério do Turismo, o turismo no espaço rural se trata de todas as atividades praticadas no meio não urbano, que consiste em atividades de lazer no meio rural em várias modalidades definidas com base na oferta: Turismo Rural, Turismo Ecológico ou Ecoturismo, Turismo de Aventura, Turismo de Negócios e Eventos, Turismo de Saúde, Turismo Cultural, Turismo Esportivo, atividades estas que se complementam ou não. Além disso, o turismo rural desempenha um papel significativo na fixação da população em áreas rurais e na redução das desigualdades sociais, especialmente em localidades onde a agricultura e o emprego formal configuram como principais fontes de sustento (Ferreira, 2021).</w:t>
      </w:r>
    </w:p>
    <w:p w14:paraId="66DD4642" w14:textId="31FA98CF" w:rsidR="00823749" w:rsidRPr="00823749" w:rsidRDefault="00823749" w:rsidP="00823749">
      <w:pPr>
        <w:spacing w:line="360" w:lineRule="auto"/>
        <w:ind w:firstLine="720"/>
        <w:jc w:val="both"/>
        <w:rPr>
          <w:rFonts w:eastAsia="Arial" w:cs="Times New Roman"/>
        </w:rPr>
      </w:pPr>
      <w:r w:rsidRPr="00823749">
        <w:rPr>
          <w:rFonts w:eastAsia="Arial" w:cs="Times New Roman"/>
        </w:rPr>
        <w:t>O desenvolvimento rural por meio do turismo é amplamente reconhecido como uma estratégia para diversificar a economia no campo. Esse processo inclui a introdução de novos produtos e serviços em mercados emergentes, promovendo uma abordagem m</w:t>
      </w:r>
      <w:r w:rsidR="00D70D16">
        <w:rPr>
          <w:rFonts w:eastAsia="Arial" w:cs="Times New Roman"/>
        </w:rPr>
        <w:t>ultifacetada e multideterminada</w:t>
      </w:r>
      <w:r w:rsidRPr="00823749">
        <w:rPr>
          <w:rFonts w:eastAsia="Arial" w:cs="Times New Roman"/>
        </w:rPr>
        <w:t xml:space="preserve">. Segundo </w:t>
      </w:r>
      <w:proofErr w:type="spellStart"/>
      <w:r w:rsidRPr="00823749">
        <w:rPr>
          <w:rFonts w:eastAsia="Arial" w:cs="Times New Roman"/>
        </w:rPr>
        <w:t>Kageyama</w:t>
      </w:r>
      <w:proofErr w:type="spellEnd"/>
      <w:r w:rsidRPr="00823749">
        <w:rPr>
          <w:rFonts w:eastAsia="Arial" w:cs="Times New Roman"/>
        </w:rPr>
        <w:t xml:space="preserve"> (2004), práticas como a gestão da paisagem, a conservação ambiental, o </w:t>
      </w:r>
      <w:proofErr w:type="spellStart"/>
      <w:r w:rsidRPr="00823749">
        <w:rPr>
          <w:rFonts w:eastAsia="Arial" w:cs="Times New Roman"/>
        </w:rPr>
        <w:t>agroturismo</w:t>
      </w:r>
      <w:proofErr w:type="spellEnd"/>
      <w:r w:rsidRPr="00823749">
        <w:rPr>
          <w:rFonts w:eastAsia="Arial" w:cs="Times New Roman"/>
        </w:rPr>
        <w:t xml:space="preserve">, a agricultura orgânica, a produção de especialidades regionais e a venda direta são exemplos de iniciativas que são significativas para a complexidade do desenvolvimento rural. </w:t>
      </w:r>
      <w:r w:rsidRPr="00823749">
        <w:rPr>
          <w:rFonts w:eastAsia="Arial" w:cs="Times New Roman"/>
        </w:rPr>
        <w:lastRenderedPageBreak/>
        <w:t xml:space="preserve">Além disso, o desenvolvimento rural estabelece um novo paradigma ao criar novos produtos e serviços para novos mercados, com diferentes objetivos, como a produção de bens públicos; geração de renda complementar ao proprietário; preservação e conservação do patrimônio natural, cultural e histórico; valorização da cultura e do regionalismo; integração dos visitantes com a história local; a busca de sinergias com os ecossistemas locais; a economia de escala com a pluriatividade dos domicílios rurais (Azevedo, &amp; Rodrigues, 2015; Blanco, 2004; </w:t>
      </w:r>
      <w:proofErr w:type="spellStart"/>
      <w:r w:rsidRPr="00823749">
        <w:rPr>
          <w:rFonts w:eastAsia="Arial" w:cs="Times New Roman"/>
        </w:rPr>
        <w:t>Caliari</w:t>
      </w:r>
      <w:proofErr w:type="spellEnd"/>
      <w:r w:rsidRPr="00823749">
        <w:rPr>
          <w:rFonts w:eastAsia="Arial" w:cs="Times New Roman"/>
        </w:rPr>
        <w:t xml:space="preserve"> et al., 2016; </w:t>
      </w:r>
      <w:proofErr w:type="spellStart"/>
      <w:r w:rsidRPr="00823749">
        <w:rPr>
          <w:rFonts w:eastAsia="Arial" w:cs="Times New Roman"/>
        </w:rPr>
        <w:t>Cipolat</w:t>
      </w:r>
      <w:proofErr w:type="spellEnd"/>
      <w:r w:rsidRPr="00823749">
        <w:rPr>
          <w:rFonts w:eastAsia="Arial" w:cs="Times New Roman"/>
        </w:rPr>
        <w:t xml:space="preserve"> et al., 2019; Dias, 2003; Machado, 2005; </w:t>
      </w:r>
      <w:proofErr w:type="spellStart"/>
      <w:r w:rsidRPr="00823749">
        <w:rPr>
          <w:rFonts w:eastAsia="Arial" w:cs="Times New Roman"/>
        </w:rPr>
        <w:t>Ploeg</w:t>
      </w:r>
      <w:proofErr w:type="spellEnd"/>
      <w:r w:rsidRPr="00823749">
        <w:rPr>
          <w:rFonts w:eastAsia="Arial" w:cs="Times New Roman"/>
        </w:rPr>
        <w:t>, 2008).</w:t>
      </w:r>
    </w:p>
    <w:p w14:paraId="51DD466A"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Dentre as atividades que contribuem para o desenvolvimento socioeconômico sustentável, o turismo se destaca como uma estratégia relevante. De acordo com o Ministério do Turismo (Brasil, 2015), diversas ações são importantes para promover o desenvolvimento sustentável do turismo. Entre essas iniciativas, destacam-se: a) a integração da produção local à cadeia produtiva do turismo, com ações voltadas à promoção e comercialização, apoiando projetos que garantam a sustentabilidade das atividades turísticas em nível local; b) o incentivo ao turismo de base comunitária, por meio do apoio a projetos e ações que favoreçam o desenvolvimento sustentável, com foco na organização e qualificação da produção, na melhoria dos serviços e no estímulo ao associativismo, cooperativismo e empreendedorismo; e c) a indução do turismo em áreas prioritárias para investimento, com impactos socioeconômicos positivos, principalmente em territórios com baixos Índices de Desenvolvimento Humano (IDH), contribuindo para o desenvolvimento local e a geração de emprego. De maneira complementar, segundo </w:t>
      </w:r>
      <w:proofErr w:type="spellStart"/>
      <w:r w:rsidRPr="00823749">
        <w:rPr>
          <w:rFonts w:eastAsia="Arial" w:cs="Times New Roman"/>
        </w:rPr>
        <w:t>Bosetti</w:t>
      </w:r>
      <w:proofErr w:type="spellEnd"/>
      <w:r w:rsidRPr="00823749">
        <w:rPr>
          <w:rFonts w:eastAsia="Arial" w:cs="Times New Roman"/>
        </w:rPr>
        <w:t xml:space="preserve"> e Oliveira (2016, p. 43), o turismo é atualmente percebido como uma inovação voltada ao desenvolvimento socioeconômico de localidades que buscam elevar a qualidade de vida de seus habitantes. De acordo com os atrativos disponíveis, muitos municípios investem no setor turístico com a finalidade de reduzir o desemprego, aumentar a renda e mitigar a exclusão social dos grupos mais vulneráveis, como mulheres e jovens que frequentemente enfrentam a ausência de oportunidades sociais. Pesquisas recentes </w:t>
      </w:r>
      <w:r w:rsidRPr="00823749">
        <w:rPr>
          <w:rFonts w:eastAsia="Arial" w:cs="Times New Roman"/>
        </w:rPr>
        <w:lastRenderedPageBreak/>
        <w:t>destacam o potencial inclusivo do turismo rural, especialmente para mulheres e jovens, dado que as atividades desenvolvidas, como produção artesanal, serviços de hospedagem, gastronomia e atuação como guias culturais, favorecem a inserção desses grupos no mercado de trabalho, promovendo autonomia e sustentabilidade (Oliveira e Santos, 2022).</w:t>
      </w:r>
    </w:p>
    <w:p w14:paraId="30E334B0"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Neste estudo, optou-se por uma abordagem qualitativa, com a finalidade de analisar os elementos empíricos e subjetivos relacionados ao mapeamento de potenciais empreendimentos rurais por meio do turismo rural, sendo uma etapa fundamental para compreender as dinâmicas econômicas, sociais e culturais envolvidas. Essa técnica consiste na escolha de situações-problema e visa promover uma discussão consolidada em fundamentos teóricos, além de apresentar estratégias adotadas na realidade, as quais poderão servir de modelo para outras comunidades que têm vivenciado as mesmas circunstâncias (RICHARDSON, 2012).</w:t>
      </w:r>
    </w:p>
    <w:p w14:paraId="17691829"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A abordagem deste projeto visa capturar a riqueza das experiências e percepções das mulheres e jovens do campo sobre o empreendedorismo e turismo rural, garantindo uma compreensão holística que vai além dos números, e, assim, fornecendo subsídios valiosos para o desenvolvimento de estratégias eficazes de empoderamento e fomento de empreendimentos rurais inclusivos.</w:t>
      </w:r>
    </w:p>
    <w:p w14:paraId="35D096AA"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O presente estudo, trabalhou com dados primários e secundários. Os dados primários foram coletados com base em pesquisa de campo, realizada através de 50 entrevistas semiestruturadas com mulheres de todas as idades e jovens até 30 anos, utilizando um questionário para mapear aspirações, desafios percebidos e habilidades existentes, considerando aspectos como opções econômicas, desenvolvimento e inclusão. Já os dados secundários foram extraídos de fontes públicas como bases de dados, incluindo o IBGE, além de artigos, livros, revistas, teses e dissertações, possibilitando uma revisão aprofundada da literatura sobre empreendedorismo rural, turismo rural, desenvolvimento rural, igualdade de gênero e empoderamento juvenil.</w:t>
      </w:r>
    </w:p>
    <w:p w14:paraId="1E30D353"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lastRenderedPageBreak/>
        <w:t xml:space="preserve">A análise dos dados qualitativos, provenientes das questões abertas das entrevistas, foi realizada com base na análise de conteúdo, conforme o método proposto por </w:t>
      </w:r>
      <w:proofErr w:type="spellStart"/>
      <w:r w:rsidRPr="00823749">
        <w:rPr>
          <w:rFonts w:eastAsia="Arial" w:cs="Times New Roman"/>
        </w:rPr>
        <w:t>Bardin</w:t>
      </w:r>
      <w:proofErr w:type="spellEnd"/>
      <w:r w:rsidRPr="00823749">
        <w:rPr>
          <w:rFonts w:eastAsia="Arial" w:cs="Times New Roman"/>
        </w:rPr>
        <w:t xml:space="preserve"> (2011), complementando as respostas às questões norteadoras do estudo. Já os dados quantitativos, como índices de renda familiares e de migração, foram analisados por meio de estatística descritiva utilizando o software Excel.</w:t>
      </w:r>
    </w:p>
    <w:p w14:paraId="5227C947"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Os dados obtidos mostram que a maioria das entrevistadas se encontra na faixa etária entre 30 e 50 anos, embora uma parcela expressiva de mulheres jovens, com idades entre 18 e 30 anos, também esteja presente. Esses resultados evidenciaram que, entre as mulheres participantes da pesquisa, a maior parte pertence a grupos etários mais avançados, demonstrando que o campo vem sofrendo um processo de envelhecimento. Comparativamente, os dados demográficos obtidos pelos Censos de 2000 e 2010 evidenciam uma diminuição de 2 milhões de pessoas residentes no meio rural, sendo que destas 50% são jovens com idade entre 15 e 29 anos. Isso indica que, dos brasileiros que migram para as cidades, a grande maioria é composta por jovens que se veem sem perspectiva de renda e qualidade de vida no campo. Dessa forma, é possível afirmar que o êxodo rural é predominantemente composto por indivíduos jovens (IBGE, 2018).</w:t>
      </w:r>
    </w:p>
    <w:p w14:paraId="5B61967D"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Cerca de 46% dos entrevistados residem em Ituiutaba, enquanto 33% residem em Capinópolis e os demais distribuem-se entre os municípios vizinhos da região, como Santa Vitória, </w:t>
      </w:r>
      <w:proofErr w:type="spellStart"/>
      <w:r w:rsidRPr="00823749">
        <w:rPr>
          <w:rFonts w:eastAsia="Arial" w:cs="Times New Roman"/>
        </w:rPr>
        <w:t>Canápolis</w:t>
      </w:r>
      <w:proofErr w:type="spellEnd"/>
      <w:r w:rsidRPr="00823749">
        <w:rPr>
          <w:rFonts w:eastAsia="Arial" w:cs="Times New Roman"/>
        </w:rPr>
        <w:t xml:space="preserve"> e Cachoeira Dourada. No que se refere à relação dos entrevistados com o meio rural, observa-se que a maioria se identifica como </w:t>
      </w:r>
      <w:proofErr w:type="gramStart"/>
      <w:r w:rsidRPr="00823749">
        <w:rPr>
          <w:rFonts w:eastAsia="Arial" w:cs="Times New Roman"/>
        </w:rPr>
        <w:t>filhos(</w:t>
      </w:r>
      <w:proofErr w:type="gramEnd"/>
      <w:r w:rsidRPr="00823749">
        <w:rPr>
          <w:rFonts w:eastAsia="Arial" w:cs="Times New Roman"/>
        </w:rPr>
        <w:t>as) de agricultores. Em seguida, destacam-se os trabalhadores rurais, seguidos pelos proprietários. Os demais entrevistados pertencem ao grupo de arrendatários. Esse panorama se alinha aos dados do Censo Agropecuário de 2017, que 20,1% das unidades produtivas registradas (1.040.022 de um total de 5.175.489) não são gerenciados por proprietários, mas por arrendatários, parceiros, ocupantes e produtores sem área.</w:t>
      </w:r>
    </w:p>
    <w:p w14:paraId="49D71040"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lastRenderedPageBreak/>
        <w:t>Em relação às principais atividades desenvolvidas nas propriedades, a atividade agrícola destaca-se como a mais predominante, seguida pela pecuária leiteira e a pecuária de corte. Esse cenário se deve ao fato de que a cana-de-açúcar se tornou a principal cultura agrícola em Ituiutaba, especialmente após a instalação de usinas na região, pois antes do crescimento da cana-de-açúcar, a pecuária era a atividade predominante. Quanto ao rendimento mensal obtido nas propriedades, 74% dos entrevistados relataram que é exclusivamente proveniente de atividades desenvolvidas no meio rural, enquanto 26% dos entrevistados indicaram que inclui também serviços prestados na área urbana. A predominância da renda proveniente de atividades rurais destaca a relevância do setor agrícola na economia local.</w:t>
      </w:r>
    </w:p>
    <w:p w14:paraId="5A975518"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Os resultados obtidos apontam que o turismo rural pode ser considerado uma prática viável para a região de Ituiutaba, principalmente se impulsionada pela criação de roteiros turísticos que destaquem a cultura local e o meio ambiente. Apenas 10% dos entrevistados relataram saber o que é o turismo rural e tentaram implantar na propriedade. Muitas vezes, isso ocorre devido ao fato de o conceito ser pouco familiar, pois muitas pessoas ainda não têm uma compreensão clara do que envolve o turismo rural. Além disso, a promoção inadequada das oportunidades de turismo rural pode contribuir para a falta de conhecimento. Muitas iniciativas rurais carecem de marketing eficaz e visibilidade, fazendo com que potenciais visitantes e até mesmo os próprios residentes não reconheçam as ofertas disponíveis. Nesse sentido, informações mais acessíveis e educativas poderiam ajudar a aumentar a conscientização e o interesse por essa prática.</w:t>
      </w:r>
    </w:p>
    <w:p w14:paraId="7AA85E7E"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Em relação aos aspectos culturais nas propriedades, aproximadamente 16% dos entrevistados informaram que já possuíram ou ainda possuem práticas culturais como festas religiosas, festivais de música, chácara para eventos, montaria em touros, pescas esportivas e até mesmo futebol. Um dado relevante para a pesquisa, é que 90% dos entrevistados nunca realizaram ou pensaram em algum tipo de pesquisa de mercado para avaliar a probabilidade do turismo rural na sua </w:t>
      </w:r>
      <w:r w:rsidRPr="00823749">
        <w:rPr>
          <w:rFonts w:eastAsia="Arial" w:cs="Times New Roman"/>
        </w:rPr>
        <w:lastRenderedPageBreak/>
        <w:t>propriedade, somente 10% pensaram. Esse cenário evidencia uma lacuna importante, já que a pesquisa de mercado é uma ferramenta essencial para compreender o comportamento dos consumidores, identificar tendências do setor e explorar oportunidades de crescimento. A ausência dessa prática pode limitar o desenvolvimento do turismo rural, impedindo que os proprietários ajustem suas ofertas às demandas reais e maximizem o potencial econômico da atividade.</w:t>
      </w:r>
    </w:p>
    <w:p w14:paraId="283E13BE"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No que diz respeito à produção de alimentos caseiros ou fabricação de artesanatos pelos entrevistados, os dados revelaram que 66% não desenvolveram essas atividades. Tal resultado é preocupante no contexto do turismo rural, uma vez que essas práticas, principalmente se desenvolvidas por mulheres, desempenham um papel crucial na preservação da identidade cultural, na valorização dos saberes tradicionais e na geração de valor simbólico, indo além das contribuições de natureza econômica (LIMA et al., 2023). Além disso, e em concordância com </w:t>
      </w:r>
      <w:proofErr w:type="spellStart"/>
      <w:r w:rsidRPr="00823749">
        <w:rPr>
          <w:rFonts w:eastAsia="Arial" w:cs="Times New Roman"/>
        </w:rPr>
        <w:t>Brenzan</w:t>
      </w:r>
      <w:proofErr w:type="spellEnd"/>
      <w:r w:rsidRPr="00823749">
        <w:rPr>
          <w:rFonts w:eastAsia="Arial" w:cs="Times New Roman"/>
        </w:rPr>
        <w:t xml:space="preserve"> et al (2021) o turismo pode despertar o lado empreendedor feminino, que enfatiza mais uma vez a versatilidade da mulher que consegue desempenhar atividades de administração que vão além de gerir tarefas domésticas. As opções mais frequentemente selecionadas pelos entrevistados para a implementação de um projeto de turismo rural em suas propriedades foram, em primeiro lugar, passeios a cavalo, seguidas por trilhas para motos e pesque e pague. As demais alternativas mencionadas incluem piqueniques, pesca esportiva, hospedagem em hotéis-fazenda, rotas rurais, entre outras. A diversificação das atividades oferecidas no turismo rural é fundamental para atrair diferentes perfis de turistas e promover o desenvolvimento sustentável das comunidades locais.</w:t>
      </w:r>
    </w:p>
    <w:p w14:paraId="70881F2F"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Dentre as adversidades levantadas para a implementação de empreendimentos rurais, estão os desafios financeiros e as limitações das opções disponíveis na propriedade, seguidas por carência de conhecimento especializado e receio de insucesso do empreendimento. Muitos ainda destacaram a ausência de políticas públicas externas para o fortalecimento da infraestrutura turística e para o </w:t>
      </w:r>
      <w:r w:rsidRPr="00823749">
        <w:rPr>
          <w:rFonts w:eastAsia="Arial" w:cs="Times New Roman"/>
        </w:rPr>
        <w:lastRenderedPageBreak/>
        <w:t>acesso facilitado ao crédito. Esses aspectos evidenciam a necessidade de articulação entre os setores público e privado, com o objetivo de fomentar a expansão e a qualificação do turismo rural de maneira sustentável e inclusiva. É importante ressaltar que existem políticas públicas nacionais que incentivam o turismo rural sustentável na agricultura familiar como o: Programa Nacional de Fortalecimento da Agricultura Familiar – PRONAF, que concede financiamentos com taxas de juros mais baixas que as de mercado, e o Programa Nacional de Turismo Rural na Agricultura Familiar – PNTRAF, que estimula o desenvolvimento de atividades turísticas por meio da colaboração entre organizações governamentais, técnicos e agricultores familiares, promovendo a integração nacional e o fortalecimento das redes locais. Contudo, apesar da existência de iniciativas, muitas vezes a desinformação e a falta de divulgação adequada pelos órgãos competentes resultam em uma implementação limitada, sem a efetividade esperada.</w:t>
      </w:r>
    </w:p>
    <w:p w14:paraId="31215300"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 xml:space="preserve">Cerca de 30% dos jovens demonstraram interesse em atividades turísticas e relataram que, se houvesse cursos técnicos e capacitações com instituições locais, teriam interesse em desenvolver habilidades em gestão e atendimento ao cliente. Esses dados corroboram estudos anteriores, como o de Almeida e Santos (2020), que apontam o turismo rural como uma ferramenta de emancipação e retenção da população jovem no campo, por meio do desenvolvimento de habilidades empreendedoras, valorização da cultura local e fortalecimento da identidade rural. Além disso, a participação dos jovens no turismo rural colabora para a revitalização das áreas rurais, promovendo inovação e continuidade das tradições locais. Em conformidade com </w:t>
      </w:r>
      <w:proofErr w:type="spellStart"/>
      <w:r w:rsidRPr="00823749">
        <w:rPr>
          <w:rFonts w:eastAsia="Arial" w:cs="Times New Roman"/>
        </w:rPr>
        <w:t>Gaweleta</w:t>
      </w:r>
      <w:proofErr w:type="spellEnd"/>
      <w:r w:rsidRPr="00823749">
        <w:rPr>
          <w:rFonts w:eastAsia="Arial" w:cs="Times New Roman"/>
        </w:rPr>
        <w:t xml:space="preserve"> e </w:t>
      </w:r>
      <w:proofErr w:type="spellStart"/>
      <w:r w:rsidRPr="00823749">
        <w:rPr>
          <w:rFonts w:eastAsia="Arial" w:cs="Times New Roman"/>
        </w:rPr>
        <w:t>Billota</w:t>
      </w:r>
      <w:proofErr w:type="spellEnd"/>
      <w:r w:rsidRPr="00823749">
        <w:rPr>
          <w:rFonts w:eastAsia="Arial" w:cs="Times New Roman"/>
        </w:rPr>
        <w:t xml:space="preserve"> (2022), destaca-se que ao se envolverem em atividades turísticas, os jovens introduzem novas perspectivas e tecnologias (divulgações em redes sociais, formulários com sugestões para melhorias, agendamentos de visitas e compras de produtos online, mapas digitais, dentre outros), atraindo visitantes de diferentes faixas etárias e diversificando as fontes de renda familiar. O turismo rural torna-se uma oportunidade de desenvolver um </w:t>
      </w:r>
      <w:r w:rsidRPr="00823749">
        <w:rPr>
          <w:rFonts w:eastAsia="Arial" w:cs="Times New Roman"/>
        </w:rPr>
        <w:lastRenderedPageBreak/>
        <w:t>negócio a esses jovens, já que quando bem estruturado, o turismo deixa de atuar como atividade complementar e assume o papel de principal atividade econômica, uma vez que nas propriedades estudadas as atividades econômicas principais se concentram em atividades tradicionais como pecuária e agricultura. Nessa mesma perspectiva, estudos indicam que o turismo rural contribui para o desenvolvimento sustentável das comunidades rurais, ao integrar os jovens em iniciativas que preservam o patrimônio natural e cultural e que os capacitam para liderar transformações socioeconômicas em suas próprias regiões (</w:t>
      </w:r>
      <w:proofErr w:type="spellStart"/>
      <w:r w:rsidRPr="00823749">
        <w:rPr>
          <w:rFonts w:eastAsia="Arial" w:cs="Times New Roman"/>
        </w:rPr>
        <w:t>Gavira</w:t>
      </w:r>
      <w:proofErr w:type="spellEnd"/>
      <w:r w:rsidRPr="00823749">
        <w:rPr>
          <w:rFonts w:eastAsia="Arial" w:cs="Times New Roman"/>
        </w:rPr>
        <w:t xml:space="preserve">; </w:t>
      </w:r>
      <w:proofErr w:type="spellStart"/>
      <w:r w:rsidRPr="00823749">
        <w:rPr>
          <w:rFonts w:eastAsia="Arial" w:cs="Times New Roman"/>
        </w:rPr>
        <w:t>Menasche</w:t>
      </w:r>
      <w:proofErr w:type="spellEnd"/>
      <w:r w:rsidRPr="00823749">
        <w:rPr>
          <w:rFonts w:eastAsia="Arial" w:cs="Times New Roman"/>
        </w:rPr>
        <w:t>, 2006). Conforme pontuam Araújo et al. (2013), no Brasil, a qualificação profissional no setor do turismo rural ainda enfrenta desafios expressivos, mesmo diante de seu elevado potencial para contribuir para a economia rural e promover o desenvolvimento sustentável. Apesar da vasta riqueza cultural e natural do país, os programas de capacitação nem sempre são adequados às especificidades do setor. Questões como a gestão de empreendimentos rurais, atendimento ao cliente e práticas sustentáveis frequentemente carecem de atenção, o que compromete o pleno aproveitamento das oportunidades oferecidas pelo turismo rural.</w:t>
      </w:r>
    </w:p>
    <w:p w14:paraId="6679E377"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No quesito de avaliar as atividades de turismo rural presentes na atualidade no município do entrevistado, demonstram uma distribuição heterogênea das respostas, com maior concentração nos valores 0, 4, e 6, representando respectivamente 16%, 16%, e 14% das opiniões dos respondentes. A predominância de notas médias e baixas sugere que as atividades de turismo rural na região são percebidas como insuficientemente concebidas ou exploradas, refletindo uma lacuna significativa no aproveitamento do potencial rural existente. Esse resultado pode ser interpretado como um indicativo da necessidade de maior investimento em infraestrutura, marketing e capacitação técnica para tornar o turismo rural uma atividade mais expressiva e atrativa para turistas e moradores locais.</w:t>
      </w:r>
    </w:p>
    <w:p w14:paraId="6D183C78" w14:textId="77777777" w:rsidR="00823749" w:rsidRDefault="00823749" w:rsidP="00823749">
      <w:pPr>
        <w:spacing w:line="360" w:lineRule="auto"/>
        <w:ind w:firstLine="720"/>
        <w:jc w:val="both"/>
        <w:rPr>
          <w:rFonts w:eastAsia="Arial" w:cs="Times New Roman"/>
        </w:rPr>
      </w:pPr>
      <w:r w:rsidRPr="00823749">
        <w:rPr>
          <w:rFonts w:eastAsia="Arial" w:cs="Times New Roman"/>
        </w:rPr>
        <w:t xml:space="preserve">92% dos participantes acreditam que as redes sociais desempenham um papel significativo na promoção do turismo rural. Apenas 2% declararam que não </w:t>
      </w:r>
      <w:r w:rsidRPr="00823749">
        <w:rPr>
          <w:rFonts w:eastAsia="Arial" w:cs="Times New Roman"/>
        </w:rPr>
        <w:lastRenderedPageBreak/>
        <w:t>consideraram relevante o uso das redes sociais para tal propósito, enquanto 6% se mostraram indiferentes, o que sugere a necessidade de ampliar a conscientização sobre o uso eficiente dessas ferramentas. Esses resultados destacam a importância das plataformas digitais como ferramentas estratégicas para a divulgação e valorização do turismo rural, principalmente entre mulheres e jovens, públicos frequentemente mais engajados no uso dessas tecnologias. As redes sociais podem atuar como mediadoras na criação de conexões entre empreendedores rurais e potenciais turísticos, promovendo o alcance de mercados mais amplos e diversificados.</w:t>
      </w:r>
    </w:p>
    <w:p w14:paraId="02C675B0" w14:textId="77777777" w:rsidR="00D91DBF" w:rsidRDefault="00D91DBF" w:rsidP="00823749">
      <w:pPr>
        <w:spacing w:line="360" w:lineRule="auto"/>
        <w:ind w:firstLine="720"/>
        <w:jc w:val="both"/>
        <w:rPr>
          <w:rFonts w:eastAsia="Arial" w:cs="Times New Roman"/>
        </w:rPr>
      </w:pPr>
    </w:p>
    <w:p w14:paraId="2B2D079F" w14:textId="432F25B5" w:rsidR="00D91DBF" w:rsidRPr="00D91DBF" w:rsidRDefault="00D91DBF" w:rsidP="00D91DBF">
      <w:pPr>
        <w:spacing w:line="360" w:lineRule="auto"/>
        <w:jc w:val="both"/>
        <w:rPr>
          <w:rFonts w:eastAsia="Arial" w:cs="Times New Roman"/>
          <w:b/>
        </w:rPr>
      </w:pPr>
      <w:r w:rsidRPr="00D91DBF">
        <w:rPr>
          <w:rFonts w:eastAsia="Arial" w:cs="Times New Roman"/>
          <w:b/>
        </w:rPr>
        <w:t>CONSIDERAÇÕES FINAIS</w:t>
      </w:r>
    </w:p>
    <w:p w14:paraId="55D4CB8B" w14:textId="2255406B" w:rsidR="00823749" w:rsidRPr="00823749" w:rsidRDefault="00823749" w:rsidP="00823749">
      <w:pPr>
        <w:spacing w:line="360" w:lineRule="auto"/>
        <w:ind w:firstLine="720"/>
        <w:jc w:val="both"/>
        <w:rPr>
          <w:rFonts w:eastAsia="Arial" w:cs="Times New Roman"/>
        </w:rPr>
      </w:pPr>
      <w:r w:rsidRPr="00823749">
        <w:rPr>
          <w:rFonts w:eastAsia="Arial" w:cs="Times New Roman"/>
        </w:rPr>
        <w:t>A pesquisa teve como objetivo geral demonstrar a importância do turismo rural como instrumento para o desenvolvimento local e inclusão social para mulheres e jovens de Ituiutaba-MG. Além do mapeamento de potenciais empreendimentos rurais emergir como uma estratégia inovadora e essencial, direcionada para o empoderamento econômico e social de mulheres e jove</w:t>
      </w:r>
      <w:r w:rsidR="00D70D16">
        <w:rPr>
          <w:rFonts w:eastAsia="Arial" w:cs="Times New Roman"/>
        </w:rPr>
        <w:t xml:space="preserve">ns que habitam as zonas rurais. </w:t>
      </w:r>
      <w:r w:rsidRPr="00823749">
        <w:rPr>
          <w:rFonts w:eastAsia="Arial" w:cs="Times New Roman"/>
        </w:rPr>
        <w:t>Quando adequadamente planejado e estruturado, atrai investimento e desenvolvimento para as comunidades locais ao deixar de atuar como atividade complementar, transformando a realidade do lugar e ocasionando impactos positivos, como a valorização da cultura local e fortalecimento da identidade rural.</w:t>
      </w:r>
    </w:p>
    <w:p w14:paraId="5F916863" w14:textId="77777777" w:rsidR="00823749" w:rsidRPr="00823749" w:rsidRDefault="00823749" w:rsidP="00823749">
      <w:pPr>
        <w:spacing w:line="360" w:lineRule="auto"/>
        <w:ind w:firstLine="720"/>
        <w:jc w:val="both"/>
        <w:rPr>
          <w:rFonts w:eastAsia="Arial" w:cs="Times New Roman"/>
        </w:rPr>
      </w:pPr>
      <w:r w:rsidRPr="00823749">
        <w:rPr>
          <w:rFonts w:eastAsia="Arial" w:cs="Times New Roman"/>
        </w:rPr>
        <w:t>A pesquisa demonstrou que o turismo rural se apresenta como uma alternativa viável para promover o engajamento econômico de mulheres e jovens, contribuindo para a geração de renda, a redução da dependência em relação aos grandes centros urbanos e o fortalecimento do tecido social local. Embora as iniciativas relacionadas ao turismo rural apresentem um grande potencial, seu pleno desenvolvimento depende do aprimoramento de políticas públicas e de estratégias de capacitação. Tais medidas são essenciais para garantir o crescimento sustentável da atividade e a geração de benefícios de longo prazo para as comunidades envolvidas.</w:t>
      </w:r>
    </w:p>
    <w:p w14:paraId="2C72BC8E" w14:textId="685E9673" w:rsidR="00E258C1" w:rsidRPr="00823749" w:rsidRDefault="00823749" w:rsidP="00823749">
      <w:pPr>
        <w:spacing w:line="360" w:lineRule="auto"/>
        <w:ind w:firstLine="720"/>
        <w:jc w:val="both"/>
      </w:pPr>
      <w:r w:rsidRPr="00823749">
        <w:rPr>
          <w:rFonts w:eastAsia="Arial" w:cs="Times New Roman"/>
        </w:rPr>
        <w:lastRenderedPageBreak/>
        <w:t>A pesquisa demonstrou que o turismo rural se apresenta como uma alternativa viável para promover o engajamento econômico de mulheres e jovens, contribuindo para a geração de renda, a redução da dependência em relação aos grandes centros urbanos e o fortalecimento do tecido social local. Embora as iniciativas relacionadas ao turismo rural apresentem um grande potencial, seu pleno desenvolvimento depende do aprimoramento de políticas públicas e de estratégias de capacitação. Tais medidas são essenciais para garantir o crescimento sustentável da atividade e a geração de benefícios de longo prazo para as comunidades envolvidas.</w:t>
      </w:r>
    </w:p>
    <w:p w14:paraId="48B8603D" w14:textId="5FA4630A" w:rsidR="00E258C1" w:rsidRDefault="00E258C1" w:rsidP="00E258C1">
      <w:pPr>
        <w:spacing w:line="360" w:lineRule="auto"/>
        <w:rPr>
          <w:b/>
        </w:rPr>
      </w:pPr>
      <w:r w:rsidRPr="00E258C1">
        <w:rPr>
          <w:b/>
        </w:rPr>
        <w:t>AGRADECIMENTOS</w:t>
      </w:r>
    </w:p>
    <w:p w14:paraId="40786EBE" w14:textId="1D6F4E6E" w:rsidR="00E258C1" w:rsidRPr="00E27C4C" w:rsidRDefault="00E258C1" w:rsidP="00006563">
      <w:pPr>
        <w:spacing w:line="360" w:lineRule="auto"/>
        <w:jc w:val="both"/>
      </w:pPr>
      <w:r w:rsidRPr="00E27C4C">
        <w:t xml:space="preserve">Agradecemos ao </w:t>
      </w:r>
      <w:proofErr w:type="spellStart"/>
      <w:r w:rsidRPr="00E27C4C">
        <w:t>PAPq</w:t>
      </w:r>
      <w:proofErr w:type="spellEnd"/>
      <w:r w:rsidRPr="00E27C4C">
        <w:t xml:space="preserve"> (Programa Institucional de Apoio à Pesquisa da UEMG) e ao PQ/UEM</w:t>
      </w:r>
      <w:r w:rsidR="00E27C4C" w:rsidRPr="00E27C4C">
        <w:t>G</w:t>
      </w:r>
      <w:r w:rsidRPr="00E27C4C">
        <w:t xml:space="preserve"> (Programa de Bolsa de Produtividade em Pesquisa) pelo apoio fundamental para a realização deste estudo</w:t>
      </w:r>
      <w:r w:rsidR="00E27C4C" w:rsidRPr="00E27C4C">
        <w:t>.</w:t>
      </w:r>
    </w:p>
    <w:p w14:paraId="4F81AF00" w14:textId="77777777" w:rsidR="00216EFF" w:rsidRPr="00206F24" w:rsidRDefault="00216EFF" w:rsidP="00216EFF">
      <w:pPr>
        <w:spacing w:line="360" w:lineRule="auto"/>
        <w:jc w:val="both"/>
        <w:rPr>
          <w:rFonts w:eastAsia="Arial" w:cs="Times New Roman"/>
        </w:rPr>
      </w:pPr>
    </w:p>
    <w:p w14:paraId="3D237921" w14:textId="77777777" w:rsidR="00216EFF" w:rsidRDefault="00216EFF" w:rsidP="00216EFF">
      <w:pPr>
        <w:spacing w:line="360" w:lineRule="auto"/>
        <w:ind w:hanging="2"/>
        <w:jc w:val="both"/>
        <w:rPr>
          <w:rFonts w:eastAsia="Arial" w:cs="Times New Roman"/>
          <w:b/>
          <w:color w:val="000000"/>
        </w:rPr>
      </w:pPr>
      <w:r w:rsidRPr="00206F24">
        <w:rPr>
          <w:rFonts w:eastAsia="Arial" w:cs="Times New Roman"/>
          <w:b/>
          <w:color w:val="000000"/>
          <w:highlight w:val="white"/>
        </w:rPr>
        <w:t>REFERÊNCIAS</w:t>
      </w:r>
    </w:p>
    <w:p w14:paraId="526D9620" w14:textId="1BC53BC3" w:rsidR="00006563" w:rsidRPr="00006563" w:rsidRDefault="00006563" w:rsidP="00D91DBF">
      <w:pPr>
        <w:ind w:hanging="2"/>
        <w:rPr>
          <w:rFonts w:eastAsia="Arial" w:cs="Times New Roman"/>
          <w:color w:val="000000"/>
        </w:rPr>
      </w:pPr>
      <w:r w:rsidRPr="00006563">
        <w:rPr>
          <w:rFonts w:eastAsia="Arial" w:cs="Times New Roman"/>
          <w:color w:val="000000"/>
        </w:rPr>
        <w:t xml:space="preserve">ALMEIDA, L. S.; SANTOS, M. P. Turismo rural e juventude: caminhos para o desenvolvimento sustentável. </w:t>
      </w:r>
      <w:r w:rsidRPr="00006563">
        <w:rPr>
          <w:rFonts w:eastAsia="Arial" w:cs="Times New Roman"/>
          <w:b/>
          <w:color w:val="000000"/>
        </w:rPr>
        <w:t>Revista Brasileira de Desenvolvimento Regional</w:t>
      </w:r>
      <w:r w:rsidRPr="00006563">
        <w:rPr>
          <w:rFonts w:eastAsia="Arial" w:cs="Times New Roman"/>
          <w:color w:val="000000"/>
        </w:rPr>
        <w:t>, v. 18, n. 2, p. 45-62, 2020.</w:t>
      </w:r>
    </w:p>
    <w:p w14:paraId="28CA0881" w14:textId="180FAE5D" w:rsidR="000D57ED" w:rsidRDefault="000D57ED" w:rsidP="00D91DBF">
      <w:pPr>
        <w:rPr>
          <w:rFonts w:eastAsia="Times New Roman" w:cs="Times New Roman"/>
          <w:color w:val="000000" w:themeColor="text1"/>
        </w:rPr>
      </w:pPr>
      <w:r w:rsidRPr="00206F24">
        <w:rPr>
          <w:rFonts w:eastAsia="Times New Roman" w:cs="Times New Roman"/>
          <w:color w:val="000000" w:themeColor="text1"/>
        </w:rPr>
        <w:t>ARAÚJO, A. L. M.; BAHIA, E. T.; FERREIRA, W. R. Turismo rural na agricultura familiar: um estudo sobre as possibilidades e limitações no município de Alfredo Vasconcelos, MG. </w:t>
      </w:r>
      <w:r w:rsidRPr="00206F24">
        <w:rPr>
          <w:rFonts w:eastAsia="Times New Roman" w:cs="Times New Roman"/>
          <w:b/>
          <w:bCs/>
          <w:color w:val="000000" w:themeColor="text1"/>
        </w:rPr>
        <w:t>Caderno Virtual de Turismo</w:t>
      </w:r>
      <w:r w:rsidRPr="00206F24">
        <w:rPr>
          <w:rFonts w:eastAsia="Times New Roman" w:cs="Times New Roman"/>
          <w:color w:val="000000" w:themeColor="text1"/>
        </w:rPr>
        <w:t>, v,11, n. 3, p.370-383, 2011.</w:t>
      </w:r>
    </w:p>
    <w:p w14:paraId="78927370" w14:textId="3E202D79" w:rsidR="00006563" w:rsidRDefault="00006563" w:rsidP="00D91DBF">
      <w:pPr>
        <w:rPr>
          <w:rFonts w:eastAsia="Times New Roman" w:cs="Times New Roman"/>
        </w:rPr>
      </w:pPr>
      <w:r w:rsidRPr="00006563">
        <w:rPr>
          <w:rFonts w:eastAsia="Times New Roman" w:cs="Times New Roman"/>
        </w:rPr>
        <w:t xml:space="preserve">BIANCHI, M. et al. Turismo rural como estratégia de sustentabilidade: um estudo de caso. </w:t>
      </w:r>
      <w:r w:rsidRPr="00006563">
        <w:rPr>
          <w:rFonts w:eastAsia="Times New Roman" w:cs="Times New Roman"/>
          <w:b/>
        </w:rPr>
        <w:t>Revista Interdisciplinar de Turismo</w:t>
      </w:r>
      <w:r w:rsidRPr="00006563">
        <w:rPr>
          <w:rFonts w:eastAsia="Times New Roman" w:cs="Times New Roman"/>
        </w:rPr>
        <w:t>, v. 5, n. 1, p. 34-50, 2020.</w:t>
      </w:r>
    </w:p>
    <w:p w14:paraId="2E74A4F5" w14:textId="5D860084" w:rsidR="00006563" w:rsidRPr="00006563" w:rsidRDefault="00006563" w:rsidP="00D91DBF">
      <w:pPr>
        <w:rPr>
          <w:rFonts w:eastAsia="Times New Roman" w:cs="Times New Roman"/>
        </w:rPr>
      </w:pPr>
      <w:r w:rsidRPr="00006563">
        <w:rPr>
          <w:rFonts w:eastAsia="Times New Roman" w:cs="Times New Roman"/>
        </w:rPr>
        <w:t>BOSETTI, E. M.; OLIVEIRA, J. F. Turismo rural como inovação e desenvolvimento: desafios da qualificação profissional. Revista Turismo em Anális</w:t>
      </w:r>
      <w:r>
        <w:rPr>
          <w:rFonts w:eastAsia="Times New Roman" w:cs="Times New Roman"/>
        </w:rPr>
        <w:t>e, v. 27, n. 2, p. 35-48, 2016.</w:t>
      </w:r>
    </w:p>
    <w:p w14:paraId="737D57CA" w14:textId="4BE90AC4" w:rsidR="00006563" w:rsidRPr="00E258C1" w:rsidRDefault="00006563" w:rsidP="00D91DBF">
      <w:pPr>
        <w:rPr>
          <w:rFonts w:eastAsia="Times New Roman" w:cs="Times New Roman"/>
        </w:rPr>
      </w:pPr>
      <w:r w:rsidRPr="00006563">
        <w:rPr>
          <w:rFonts w:eastAsia="Times New Roman" w:cs="Times New Roman"/>
        </w:rPr>
        <w:t>BRENZAN, J. R. et al. Empreendedorismo feminino no campo: desafios e perspectivas no turismo rural. Revista de Extensão e Estudos Rurais, v. 9, n. 2, p. 77-93, 2021.</w:t>
      </w:r>
    </w:p>
    <w:p w14:paraId="61465F4E" w14:textId="7701B87E" w:rsidR="000D57ED" w:rsidRPr="00206F24" w:rsidRDefault="000D57ED" w:rsidP="00D91DBF">
      <w:pPr>
        <w:rPr>
          <w:rFonts w:cs="Times New Roman"/>
        </w:rPr>
      </w:pPr>
      <w:r w:rsidRPr="00206F24">
        <w:rPr>
          <w:rFonts w:cs="Times New Roman"/>
        </w:rPr>
        <w:t xml:space="preserve">CANALES, A. I.; CANALES CERON, M. De </w:t>
      </w:r>
      <w:proofErr w:type="spellStart"/>
      <w:r w:rsidRPr="00206F24">
        <w:rPr>
          <w:rFonts w:cs="Times New Roman"/>
        </w:rPr>
        <w:t>la</w:t>
      </w:r>
      <w:proofErr w:type="spellEnd"/>
      <w:r w:rsidRPr="00206F24">
        <w:rPr>
          <w:rFonts w:cs="Times New Roman"/>
        </w:rPr>
        <w:t xml:space="preserve"> </w:t>
      </w:r>
      <w:proofErr w:type="spellStart"/>
      <w:r w:rsidRPr="00206F24">
        <w:rPr>
          <w:rFonts w:cs="Times New Roman"/>
        </w:rPr>
        <w:t>metropolización</w:t>
      </w:r>
      <w:proofErr w:type="spellEnd"/>
      <w:r w:rsidRPr="00206F24">
        <w:rPr>
          <w:rFonts w:cs="Times New Roman"/>
        </w:rPr>
        <w:t xml:space="preserve"> a </w:t>
      </w:r>
      <w:proofErr w:type="spellStart"/>
      <w:r w:rsidRPr="00206F24">
        <w:rPr>
          <w:rFonts w:cs="Times New Roman"/>
        </w:rPr>
        <w:t>las</w:t>
      </w:r>
      <w:proofErr w:type="spellEnd"/>
      <w:r w:rsidRPr="00206F24">
        <w:rPr>
          <w:rFonts w:cs="Times New Roman"/>
        </w:rPr>
        <w:t xml:space="preserve"> </w:t>
      </w:r>
      <w:proofErr w:type="spellStart"/>
      <w:r w:rsidRPr="00206F24">
        <w:rPr>
          <w:rFonts w:cs="Times New Roman"/>
        </w:rPr>
        <w:t>agrópolis</w:t>
      </w:r>
      <w:proofErr w:type="spellEnd"/>
      <w:r w:rsidRPr="00206F24">
        <w:rPr>
          <w:rFonts w:cs="Times New Roman"/>
        </w:rPr>
        <w:t xml:space="preserve">: </w:t>
      </w:r>
      <w:proofErr w:type="spellStart"/>
      <w:r w:rsidRPr="00206F24">
        <w:rPr>
          <w:rFonts w:cs="Times New Roman"/>
        </w:rPr>
        <w:t>el</w:t>
      </w:r>
      <w:proofErr w:type="spellEnd"/>
      <w:r w:rsidRPr="00206F24">
        <w:rPr>
          <w:rFonts w:cs="Times New Roman"/>
        </w:rPr>
        <w:t xml:space="preserve"> </w:t>
      </w:r>
      <w:proofErr w:type="spellStart"/>
      <w:r w:rsidRPr="00206F24">
        <w:rPr>
          <w:rFonts w:cs="Times New Roman"/>
        </w:rPr>
        <w:t>nuevo</w:t>
      </w:r>
      <w:proofErr w:type="spellEnd"/>
      <w:r w:rsidRPr="00206F24">
        <w:rPr>
          <w:rFonts w:cs="Times New Roman"/>
        </w:rPr>
        <w:t xml:space="preserve"> </w:t>
      </w:r>
      <w:proofErr w:type="spellStart"/>
      <w:r w:rsidRPr="00206F24">
        <w:rPr>
          <w:rFonts w:cs="Times New Roman"/>
        </w:rPr>
        <w:t>poblamiento</w:t>
      </w:r>
      <w:proofErr w:type="spellEnd"/>
      <w:r w:rsidRPr="00206F24">
        <w:rPr>
          <w:rFonts w:cs="Times New Roman"/>
        </w:rPr>
        <w:t xml:space="preserve"> urbano </w:t>
      </w:r>
      <w:proofErr w:type="spellStart"/>
      <w:r w:rsidRPr="00206F24">
        <w:rPr>
          <w:rFonts w:cs="Times New Roman"/>
        </w:rPr>
        <w:t>en</w:t>
      </w:r>
      <w:proofErr w:type="spellEnd"/>
      <w:r w:rsidRPr="00206F24">
        <w:rPr>
          <w:rFonts w:cs="Times New Roman"/>
        </w:rPr>
        <w:t xml:space="preserve"> </w:t>
      </w:r>
      <w:proofErr w:type="spellStart"/>
      <w:r w:rsidRPr="00206F24">
        <w:rPr>
          <w:rFonts w:cs="Times New Roman"/>
        </w:rPr>
        <w:t>el</w:t>
      </w:r>
      <w:proofErr w:type="spellEnd"/>
      <w:r w:rsidRPr="00206F24">
        <w:rPr>
          <w:rFonts w:cs="Times New Roman"/>
        </w:rPr>
        <w:t xml:space="preserve"> Chile </w:t>
      </w:r>
      <w:proofErr w:type="spellStart"/>
      <w:r w:rsidRPr="00206F24">
        <w:rPr>
          <w:rFonts w:cs="Times New Roman"/>
        </w:rPr>
        <w:t>actual</w:t>
      </w:r>
      <w:proofErr w:type="spellEnd"/>
      <w:r w:rsidRPr="00206F24">
        <w:rPr>
          <w:rFonts w:cs="Times New Roman"/>
        </w:rPr>
        <w:t xml:space="preserve">. </w:t>
      </w:r>
      <w:r w:rsidRPr="00206F24">
        <w:rPr>
          <w:rFonts w:cs="Times New Roman"/>
          <w:b/>
        </w:rPr>
        <w:t>Polis</w:t>
      </w:r>
      <w:r w:rsidRPr="00206F24">
        <w:rPr>
          <w:rFonts w:cs="Times New Roman"/>
        </w:rPr>
        <w:t>. Santiago, v. 12, n. 34, pp. 31-56. 2013. Disponível em</w:t>
      </w:r>
      <w:proofErr w:type="gramStart"/>
      <w:r w:rsidRPr="00206F24">
        <w:rPr>
          <w:rFonts w:cs="Times New Roman"/>
        </w:rPr>
        <w:t>: .</w:t>
      </w:r>
      <w:proofErr w:type="gramEnd"/>
      <w:r w:rsidRPr="00206F24">
        <w:rPr>
          <w:rFonts w:cs="Times New Roman"/>
        </w:rPr>
        <w:t xml:space="preserve"> Acesso em: </w:t>
      </w:r>
      <w:proofErr w:type="gramStart"/>
      <w:r w:rsidRPr="00206F24">
        <w:rPr>
          <w:rFonts w:cs="Times New Roman"/>
        </w:rPr>
        <w:t>5 set</w:t>
      </w:r>
      <w:proofErr w:type="gramEnd"/>
      <w:r w:rsidRPr="00206F24">
        <w:rPr>
          <w:rFonts w:cs="Times New Roman"/>
        </w:rPr>
        <w:t xml:space="preserve"> 202o. DOI: </w:t>
      </w:r>
      <w:hyperlink r:id="rId8" w:history="1">
        <w:r w:rsidRPr="00206F24">
          <w:rPr>
            <w:rStyle w:val="Hyperlink"/>
            <w:rFonts w:cs="Times New Roman"/>
          </w:rPr>
          <w:t>http://dx.doi.org/10.4067/S0718-65682013000100003</w:t>
        </w:r>
      </w:hyperlink>
      <w:r w:rsidRPr="00206F24">
        <w:rPr>
          <w:rFonts w:cs="Times New Roman"/>
        </w:rPr>
        <w:t>.</w:t>
      </w:r>
    </w:p>
    <w:p w14:paraId="59B63226" w14:textId="77777777" w:rsidR="00E258C1" w:rsidRDefault="000D57ED" w:rsidP="00D91DBF">
      <w:pPr>
        <w:rPr>
          <w:rFonts w:cs="Times New Roman"/>
        </w:rPr>
      </w:pPr>
      <w:r w:rsidRPr="00206F24">
        <w:rPr>
          <w:rFonts w:cs="Times New Roman"/>
        </w:rPr>
        <w:t xml:space="preserve">CASTILLO, R.; FREDERICO, S.  Espaço geográfico, produção e movimento: uma reflexão sobre o conceito de circuito espacial produtivo. </w:t>
      </w:r>
      <w:r w:rsidRPr="00206F24">
        <w:rPr>
          <w:rFonts w:cs="Times New Roman"/>
          <w:b/>
        </w:rPr>
        <w:t>Sociedade &amp; Natureza</w:t>
      </w:r>
      <w:r w:rsidRPr="00206F24">
        <w:rPr>
          <w:rFonts w:cs="Times New Roman"/>
        </w:rPr>
        <w:t>. Uberlândia,</w:t>
      </w:r>
      <w:r w:rsidR="00E258C1">
        <w:rPr>
          <w:rFonts w:cs="Times New Roman"/>
        </w:rPr>
        <w:t xml:space="preserve"> v. 22, n. 3, pp. 461-474.2010</w:t>
      </w:r>
    </w:p>
    <w:p w14:paraId="345135BD" w14:textId="3DAED3D7" w:rsidR="000D57ED" w:rsidRPr="00E258C1" w:rsidRDefault="000D57ED" w:rsidP="00D91DBF">
      <w:pPr>
        <w:rPr>
          <w:rFonts w:cs="Times New Roman"/>
        </w:rPr>
      </w:pPr>
      <w:r w:rsidRPr="00E258C1">
        <w:rPr>
          <w:rFonts w:cs="Times New Roman"/>
          <w:bdr w:val="none" w:sz="0" w:space="0" w:color="auto" w:frame="1"/>
          <w:shd w:val="clear" w:color="auto" w:fill="FFFFFF"/>
        </w:rPr>
        <w:lastRenderedPageBreak/>
        <w:t xml:space="preserve">DEMÉTRIO, N. </w:t>
      </w:r>
      <w:proofErr w:type="gramStart"/>
      <w:r w:rsidRPr="00E258C1">
        <w:rPr>
          <w:rFonts w:cs="Times New Roman"/>
          <w:bdr w:val="none" w:sz="0" w:space="0" w:color="auto" w:frame="1"/>
          <w:shd w:val="clear" w:color="auto" w:fill="FFFFFF"/>
        </w:rPr>
        <w:t>B.</w:t>
      </w:r>
      <w:r w:rsidRPr="00E258C1">
        <w:rPr>
          <w:rFonts w:cs="Times New Roman"/>
          <w:shd w:val="clear" w:color="auto" w:fill="FFFFFF"/>
        </w:rPr>
        <w:t> ;</w:t>
      </w:r>
      <w:proofErr w:type="gramEnd"/>
      <w:r w:rsidRPr="00E258C1">
        <w:rPr>
          <w:rFonts w:cs="Times New Roman"/>
          <w:shd w:val="clear" w:color="auto" w:fill="FFFFFF"/>
        </w:rPr>
        <w:t> </w:t>
      </w:r>
      <w:r w:rsidRPr="00E258C1">
        <w:rPr>
          <w:rFonts w:cs="Times New Roman"/>
          <w:bCs/>
          <w:bdr w:val="none" w:sz="0" w:space="0" w:color="auto" w:frame="1"/>
          <w:shd w:val="clear" w:color="auto" w:fill="FFFFFF"/>
        </w:rPr>
        <w:t>BAENINGER, R</w:t>
      </w:r>
      <w:r w:rsidRPr="00E258C1">
        <w:rPr>
          <w:rFonts w:cs="Times New Roman"/>
          <w:shd w:val="clear" w:color="auto" w:fill="FFFFFF"/>
        </w:rPr>
        <w:t xml:space="preserve"> . </w:t>
      </w:r>
      <w:r w:rsidRPr="00206F24">
        <w:rPr>
          <w:rFonts w:cs="Times New Roman"/>
          <w:b/>
          <w:shd w:val="clear" w:color="auto" w:fill="FFFFFF"/>
        </w:rPr>
        <w:t xml:space="preserve">O agronegócio e o urbano: </w:t>
      </w:r>
      <w:r w:rsidRPr="00E258C1">
        <w:rPr>
          <w:rFonts w:cs="Times New Roman"/>
          <w:shd w:val="clear" w:color="auto" w:fill="FFFFFF"/>
        </w:rPr>
        <w:t>migrantes internos e internacionais no Oeste Paulista.</w:t>
      </w:r>
      <w:r w:rsidRPr="00206F24">
        <w:rPr>
          <w:rFonts w:cs="Times New Roman"/>
          <w:b/>
          <w:shd w:val="clear" w:color="auto" w:fill="FFFFFF"/>
        </w:rPr>
        <w:t xml:space="preserve"> </w:t>
      </w:r>
      <w:r w:rsidRPr="00206F24">
        <w:rPr>
          <w:rFonts w:cs="Times New Roman"/>
          <w:shd w:val="clear" w:color="auto" w:fill="FFFFFF"/>
        </w:rPr>
        <w:t>CADERNOS METRÓPOLE</w:t>
      </w:r>
      <w:r w:rsidRPr="00206F24">
        <w:rPr>
          <w:rFonts w:cs="Times New Roman"/>
          <w:b/>
          <w:shd w:val="clear" w:color="auto" w:fill="FFFFFF"/>
        </w:rPr>
        <w:t xml:space="preserve"> (PUCSP), v. 25, p. 321-346, 2023.</w:t>
      </w:r>
    </w:p>
    <w:p w14:paraId="27446766" w14:textId="33C5FBD2" w:rsidR="000D57ED" w:rsidRPr="00206F24" w:rsidRDefault="000D57ED" w:rsidP="00D91DBF">
      <w:pPr>
        <w:rPr>
          <w:rFonts w:cs="Times New Roman"/>
          <w:lang w:eastAsia="x-none"/>
        </w:rPr>
      </w:pPr>
      <w:r w:rsidRPr="00206F24">
        <w:rPr>
          <w:rFonts w:cs="Times New Roman"/>
        </w:rPr>
        <w:t xml:space="preserve">DEMÉTRIO, N. B. </w:t>
      </w:r>
      <w:r w:rsidRPr="00206F24">
        <w:rPr>
          <w:rFonts w:cs="Times New Roman"/>
          <w:b/>
        </w:rPr>
        <w:t>Arranjos urbanos-rurais regionais:</w:t>
      </w:r>
      <w:r w:rsidRPr="00206F24">
        <w:rPr>
          <w:rFonts w:cs="Times New Roman"/>
        </w:rPr>
        <w:t xml:space="preserve"> o rural paulista no século 21. Tese de doutorado. Campinas, Universidade Estadual de Campinas. 2017</w:t>
      </w:r>
    </w:p>
    <w:p w14:paraId="063F8668" w14:textId="77777777" w:rsidR="000D57ED" w:rsidRDefault="000D57ED" w:rsidP="00D91DBF">
      <w:pPr>
        <w:rPr>
          <w:rFonts w:cs="Times New Roman"/>
        </w:rPr>
      </w:pPr>
      <w:r w:rsidRPr="00206F24">
        <w:rPr>
          <w:rFonts w:cs="Times New Roman"/>
        </w:rPr>
        <w:t xml:space="preserve">ELIAS, D. </w:t>
      </w:r>
      <w:r w:rsidRPr="00206F24">
        <w:rPr>
          <w:rFonts w:cs="Times New Roman"/>
          <w:b/>
        </w:rPr>
        <w:t>Globalização e agricultura</w:t>
      </w:r>
      <w:r w:rsidRPr="00206F24">
        <w:rPr>
          <w:rFonts w:cs="Times New Roman"/>
        </w:rPr>
        <w:t xml:space="preserve">. São Paulo, </w:t>
      </w:r>
      <w:proofErr w:type="spellStart"/>
      <w:r w:rsidRPr="00206F24">
        <w:rPr>
          <w:rFonts w:cs="Times New Roman"/>
        </w:rPr>
        <w:t>EdUSP</w:t>
      </w:r>
      <w:proofErr w:type="spellEnd"/>
      <w:r w:rsidRPr="00206F24">
        <w:rPr>
          <w:rFonts w:cs="Times New Roman"/>
        </w:rPr>
        <w:t>. 2003.</w:t>
      </w:r>
    </w:p>
    <w:p w14:paraId="78CEAD41" w14:textId="6F6633C6" w:rsidR="00006563" w:rsidRPr="00206F24" w:rsidRDefault="00006563" w:rsidP="00D91DBF">
      <w:pPr>
        <w:rPr>
          <w:rFonts w:cs="Times New Roman"/>
        </w:rPr>
      </w:pPr>
      <w:r w:rsidRPr="00006563">
        <w:rPr>
          <w:rFonts w:cs="Times New Roman"/>
        </w:rPr>
        <w:t xml:space="preserve">FERREIRA, A. S. Turismo rural e fixação da população no campo: análise de experiências brasileiras. </w:t>
      </w:r>
      <w:r w:rsidRPr="00006563">
        <w:rPr>
          <w:rFonts w:cs="Times New Roman"/>
          <w:b/>
        </w:rPr>
        <w:t>Revista de Políticas Públicas Rurais</w:t>
      </w:r>
      <w:r w:rsidRPr="00006563">
        <w:rPr>
          <w:rFonts w:cs="Times New Roman"/>
        </w:rPr>
        <w:t>, v. 6, n. 2, p. 99-115, 2021.</w:t>
      </w:r>
    </w:p>
    <w:p w14:paraId="023594CD" w14:textId="3043CAC0" w:rsidR="000D57ED" w:rsidRPr="00206F24" w:rsidRDefault="000D57ED" w:rsidP="00D91DBF">
      <w:pPr>
        <w:rPr>
          <w:rFonts w:cs="Times New Roman"/>
        </w:rPr>
      </w:pPr>
      <w:r w:rsidRPr="00206F24">
        <w:rPr>
          <w:rFonts w:cs="Times New Roman"/>
        </w:rPr>
        <w:t xml:space="preserve">FIBGE. </w:t>
      </w:r>
      <w:r w:rsidRPr="00206F24">
        <w:rPr>
          <w:rFonts w:cs="Times New Roman"/>
          <w:b/>
        </w:rPr>
        <w:t>Pesquisa nacional por amostra de domicílios</w:t>
      </w:r>
      <w:r w:rsidRPr="00206F24">
        <w:rPr>
          <w:rFonts w:cs="Times New Roman"/>
        </w:rPr>
        <w:t>. Rio de Janeiro: Fundação Instituto de Geografia e Estatística, vários anos.</w:t>
      </w:r>
    </w:p>
    <w:p w14:paraId="22B3D8E7" w14:textId="6894D1DC" w:rsidR="00E258C1" w:rsidRDefault="000D57ED" w:rsidP="00D91DBF">
      <w:pPr>
        <w:rPr>
          <w:rFonts w:eastAsia="Times New Roman" w:cs="Times New Roman"/>
          <w:color w:val="000000" w:themeColor="text1"/>
        </w:rPr>
      </w:pPr>
      <w:r w:rsidRPr="00206F24">
        <w:rPr>
          <w:rFonts w:eastAsia="Times New Roman" w:cs="Times New Roman"/>
          <w:color w:val="000000" w:themeColor="text1"/>
        </w:rPr>
        <w:t xml:space="preserve">GAVIRIA, M. R.; MENASCHE, R. A juventude rural no desenvolvimento territorial: A análise da posição e papel dos jovens. </w:t>
      </w:r>
      <w:r w:rsidRPr="00206F24">
        <w:rPr>
          <w:rFonts w:eastAsia="Times New Roman" w:cs="Times New Roman"/>
          <w:b/>
          <w:bCs/>
          <w:color w:val="000000" w:themeColor="text1"/>
        </w:rPr>
        <w:t xml:space="preserve">Estudo &amp; </w:t>
      </w:r>
      <w:proofErr w:type="spellStart"/>
      <w:proofErr w:type="gramStart"/>
      <w:r w:rsidRPr="00206F24">
        <w:rPr>
          <w:rFonts w:eastAsia="Times New Roman" w:cs="Times New Roman"/>
          <w:b/>
          <w:bCs/>
          <w:color w:val="000000" w:themeColor="text1"/>
        </w:rPr>
        <w:t>Debate</w:t>
      </w:r>
      <w:r w:rsidRPr="00206F24">
        <w:rPr>
          <w:rFonts w:eastAsia="Times New Roman" w:cs="Times New Roman"/>
          <w:color w:val="000000" w:themeColor="text1"/>
        </w:rPr>
        <w:t>,Lajeado</w:t>
      </w:r>
      <w:proofErr w:type="gramEnd"/>
      <w:r w:rsidRPr="00206F24">
        <w:rPr>
          <w:rFonts w:eastAsia="Times New Roman" w:cs="Times New Roman"/>
          <w:color w:val="000000" w:themeColor="text1"/>
        </w:rPr>
        <w:t>,v</w:t>
      </w:r>
      <w:proofErr w:type="spellEnd"/>
      <w:r w:rsidRPr="00206F24">
        <w:rPr>
          <w:rFonts w:eastAsia="Times New Roman" w:cs="Times New Roman"/>
          <w:color w:val="000000" w:themeColor="text1"/>
        </w:rPr>
        <w:t xml:space="preserve">. 13, n. 1, p.69-82, 2006. </w:t>
      </w:r>
    </w:p>
    <w:p w14:paraId="16172208" w14:textId="1182305A" w:rsidR="00006563" w:rsidRPr="00E258C1" w:rsidRDefault="00006563" w:rsidP="00D91DBF">
      <w:pPr>
        <w:rPr>
          <w:rFonts w:cs="Times New Roman"/>
        </w:rPr>
      </w:pPr>
      <w:r w:rsidRPr="00006563">
        <w:rPr>
          <w:rFonts w:cs="Times New Roman"/>
        </w:rPr>
        <w:t xml:space="preserve">GAWELETA, L.; BILLOTA, J. Jovens no turismo rural: inovação, tecnologia e sucessão no campo. </w:t>
      </w:r>
      <w:r w:rsidRPr="00006563">
        <w:rPr>
          <w:rFonts w:cs="Times New Roman"/>
          <w:b/>
        </w:rPr>
        <w:t>Revista Turismo e Sociedade</w:t>
      </w:r>
      <w:r w:rsidRPr="00006563">
        <w:rPr>
          <w:rFonts w:cs="Times New Roman"/>
        </w:rPr>
        <w:t>, v. 15, n. 1, p. 101-118, 2022.</w:t>
      </w:r>
    </w:p>
    <w:p w14:paraId="4E338504" w14:textId="77777777" w:rsidR="00E258C1" w:rsidRDefault="001735B9" w:rsidP="00D91DBF">
      <w:pPr>
        <w:rPr>
          <w:rFonts w:cs="Times New Roman"/>
        </w:rPr>
      </w:pPr>
      <w:hyperlink r:id="rId9">
        <w:r w:rsidR="000D57ED" w:rsidRPr="00206F24">
          <w:rPr>
            <w:rFonts w:cs="Times New Roman"/>
          </w:rPr>
          <w:t>HESPANHOL, R.A.M.</w:t>
        </w:r>
      </w:hyperlink>
      <w:r w:rsidR="000D57ED" w:rsidRPr="00206F24">
        <w:rPr>
          <w:rFonts w:cs="Times New Roman"/>
        </w:rPr>
        <w:t xml:space="preserve"> Espaços rurais, povoamento e processos migratórios em Portugal e</w:t>
      </w:r>
      <w:r w:rsidR="000D57ED" w:rsidRPr="00206F24">
        <w:rPr>
          <w:rFonts w:cs="Times New Roman"/>
          <w:spacing w:val="1"/>
        </w:rPr>
        <w:t xml:space="preserve"> </w:t>
      </w:r>
      <w:r w:rsidR="000D57ED" w:rsidRPr="00206F24">
        <w:rPr>
          <w:rFonts w:cs="Times New Roman"/>
        </w:rPr>
        <w:t xml:space="preserve">Brasil. In: PASSOS, Messias Modesto; CUNHA, Lúcio; JACINTO, Rui. (Org.). </w:t>
      </w:r>
      <w:r w:rsidR="000D57ED" w:rsidRPr="00206F24">
        <w:rPr>
          <w:rFonts w:cs="Times New Roman"/>
          <w:b/>
        </w:rPr>
        <w:t>As Novas</w:t>
      </w:r>
      <w:r w:rsidR="000D57ED" w:rsidRPr="00206F24">
        <w:rPr>
          <w:rFonts w:cs="Times New Roman"/>
          <w:b/>
          <w:spacing w:val="1"/>
        </w:rPr>
        <w:t xml:space="preserve"> </w:t>
      </w:r>
      <w:r w:rsidR="000D57ED" w:rsidRPr="00206F24">
        <w:rPr>
          <w:rFonts w:cs="Times New Roman"/>
          <w:b/>
        </w:rPr>
        <w:t>Geografias</w:t>
      </w:r>
      <w:r w:rsidR="000D57ED" w:rsidRPr="00206F24">
        <w:rPr>
          <w:rFonts w:cs="Times New Roman"/>
          <w:b/>
          <w:spacing w:val="8"/>
        </w:rPr>
        <w:t xml:space="preserve"> </w:t>
      </w:r>
      <w:r w:rsidR="000D57ED" w:rsidRPr="00206F24">
        <w:rPr>
          <w:rFonts w:cs="Times New Roman"/>
          <w:b/>
        </w:rPr>
        <w:t>dos</w:t>
      </w:r>
      <w:r w:rsidR="000D57ED" w:rsidRPr="00206F24">
        <w:rPr>
          <w:rFonts w:cs="Times New Roman"/>
          <w:b/>
          <w:spacing w:val="5"/>
        </w:rPr>
        <w:t xml:space="preserve"> </w:t>
      </w:r>
      <w:r w:rsidR="000D57ED" w:rsidRPr="00206F24">
        <w:rPr>
          <w:rFonts w:cs="Times New Roman"/>
          <w:b/>
        </w:rPr>
        <w:t>Países</w:t>
      </w:r>
      <w:r w:rsidR="000D57ED" w:rsidRPr="00206F24">
        <w:rPr>
          <w:rFonts w:cs="Times New Roman"/>
          <w:b/>
          <w:spacing w:val="7"/>
        </w:rPr>
        <w:t xml:space="preserve"> </w:t>
      </w:r>
      <w:r w:rsidR="000D57ED" w:rsidRPr="00206F24">
        <w:rPr>
          <w:rFonts w:cs="Times New Roman"/>
          <w:b/>
        </w:rPr>
        <w:t>de</w:t>
      </w:r>
      <w:r w:rsidR="000D57ED" w:rsidRPr="00206F24">
        <w:rPr>
          <w:rFonts w:cs="Times New Roman"/>
          <w:b/>
          <w:spacing w:val="7"/>
        </w:rPr>
        <w:t xml:space="preserve"> </w:t>
      </w:r>
      <w:r w:rsidR="000D57ED" w:rsidRPr="00206F24">
        <w:rPr>
          <w:rFonts w:cs="Times New Roman"/>
          <w:b/>
        </w:rPr>
        <w:t>Língua</w:t>
      </w:r>
      <w:r w:rsidR="000D57ED" w:rsidRPr="00206F24">
        <w:rPr>
          <w:rFonts w:cs="Times New Roman"/>
          <w:b/>
          <w:spacing w:val="4"/>
        </w:rPr>
        <w:t xml:space="preserve"> </w:t>
      </w:r>
      <w:r w:rsidR="000D57ED" w:rsidRPr="00206F24">
        <w:rPr>
          <w:rFonts w:cs="Times New Roman"/>
          <w:b/>
        </w:rPr>
        <w:t>Portuguesa</w:t>
      </w:r>
      <w:r w:rsidR="000D57ED" w:rsidRPr="00206F24">
        <w:rPr>
          <w:rFonts w:cs="Times New Roman"/>
          <w:b/>
          <w:spacing w:val="11"/>
        </w:rPr>
        <w:t xml:space="preserve"> </w:t>
      </w:r>
      <w:r w:rsidR="000D57ED" w:rsidRPr="00206F24">
        <w:rPr>
          <w:rFonts w:cs="Times New Roman"/>
          <w:b/>
        </w:rPr>
        <w:t>-</w:t>
      </w:r>
      <w:r w:rsidR="000D57ED" w:rsidRPr="00206F24">
        <w:rPr>
          <w:rFonts w:cs="Times New Roman"/>
          <w:b/>
          <w:spacing w:val="7"/>
        </w:rPr>
        <w:t xml:space="preserve"> </w:t>
      </w:r>
      <w:r w:rsidR="000D57ED" w:rsidRPr="00206F24">
        <w:rPr>
          <w:rFonts w:cs="Times New Roman"/>
          <w:b/>
        </w:rPr>
        <w:t>Paisagens,</w:t>
      </w:r>
      <w:r w:rsidR="000D57ED" w:rsidRPr="00206F24">
        <w:rPr>
          <w:rFonts w:cs="Times New Roman"/>
          <w:b/>
          <w:spacing w:val="7"/>
        </w:rPr>
        <w:t xml:space="preserve"> </w:t>
      </w:r>
      <w:r w:rsidR="000D57ED" w:rsidRPr="00206F24">
        <w:rPr>
          <w:rFonts w:cs="Times New Roman"/>
          <w:b/>
        </w:rPr>
        <w:t>territórios</w:t>
      </w:r>
      <w:r w:rsidR="000D57ED" w:rsidRPr="00206F24">
        <w:rPr>
          <w:rFonts w:cs="Times New Roman"/>
          <w:b/>
          <w:spacing w:val="9"/>
        </w:rPr>
        <w:t xml:space="preserve"> </w:t>
      </w:r>
      <w:r w:rsidR="000D57ED" w:rsidRPr="00206F24">
        <w:rPr>
          <w:rFonts w:cs="Times New Roman"/>
          <w:b/>
        </w:rPr>
        <w:t>e</w:t>
      </w:r>
      <w:r w:rsidR="000D57ED" w:rsidRPr="00206F24">
        <w:rPr>
          <w:rFonts w:cs="Times New Roman"/>
          <w:b/>
          <w:spacing w:val="8"/>
        </w:rPr>
        <w:t xml:space="preserve"> </w:t>
      </w:r>
      <w:r w:rsidR="000D57ED" w:rsidRPr="00206F24">
        <w:rPr>
          <w:rFonts w:cs="Times New Roman"/>
          <w:b/>
        </w:rPr>
        <w:t>políticas</w:t>
      </w:r>
      <w:r w:rsidR="000D57ED" w:rsidRPr="00206F24">
        <w:rPr>
          <w:rFonts w:cs="Times New Roman"/>
          <w:b/>
          <w:spacing w:val="7"/>
        </w:rPr>
        <w:t xml:space="preserve"> </w:t>
      </w:r>
      <w:r w:rsidR="000D57ED" w:rsidRPr="00206F24">
        <w:rPr>
          <w:rFonts w:cs="Times New Roman"/>
          <w:b/>
        </w:rPr>
        <w:t>no</w:t>
      </w:r>
      <w:r w:rsidR="000D57ED" w:rsidRPr="00206F24">
        <w:rPr>
          <w:rFonts w:cs="Times New Roman"/>
          <w:b/>
          <w:spacing w:val="4"/>
        </w:rPr>
        <w:t xml:space="preserve"> </w:t>
      </w:r>
      <w:r w:rsidR="000D57ED" w:rsidRPr="00206F24">
        <w:rPr>
          <w:rFonts w:cs="Times New Roman"/>
          <w:b/>
        </w:rPr>
        <w:t>Brasil</w:t>
      </w:r>
      <w:r w:rsidR="000D57ED" w:rsidRPr="00206F24">
        <w:rPr>
          <w:rFonts w:cs="Times New Roman"/>
          <w:b/>
          <w:spacing w:val="-57"/>
        </w:rPr>
        <w:t xml:space="preserve"> </w:t>
      </w:r>
      <w:r w:rsidR="000D57ED" w:rsidRPr="00206F24">
        <w:rPr>
          <w:rFonts w:cs="Times New Roman"/>
          <w:b/>
        </w:rPr>
        <w:t>e</w:t>
      </w:r>
      <w:r w:rsidR="000D57ED" w:rsidRPr="00206F24">
        <w:rPr>
          <w:rFonts w:cs="Times New Roman"/>
          <w:b/>
          <w:spacing w:val="-2"/>
        </w:rPr>
        <w:t xml:space="preserve"> </w:t>
      </w:r>
      <w:r w:rsidR="000D57ED" w:rsidRPr="00206F24">
        <w:rPr>
          <w:rFonts w:cs="Times New Roman"/>
          <w:b/>
        </w:rPr>
        <w:t>em</w:t>
      </w:r>
      <w:r w:rsidR="000D57ED" w:rsidRPr="00206F24">
        <w:rPr>
          <w:rFonts w:cs="Times New Roman"/>
          <w:b/>
          <w:spacing w:val="-1"/>
        </w:rPr>
        <w:t xml:space="preserve"> </w:t>
      </w:r>
      <w:r w:rsidR="000D57ED" w:rsidRPr="00206F24">
        <w:rPr>
          <w:rFonts w:cs="Times New Roman"/>
          <w:b/>
        </w:rPr>
        <w:t>Portugal</w:t>
      </w:r>
      <w:r w:rsidR="000D57ED" w:rsidRPr="00206F24">
        <w:rPr>
          <w:rFonts w:cs="Times New Roman"/>
        </w:rPr>
        <w:t>. 1ªed.São Paulo: Outras Expressões, 2012.</w:t>
      </w:r>
    </w:p>
    <w:p w14:paraId="3118080F" w14:textId="77777777" w:rsidR="00D91DBF" w:rsidRDefault="000D57ED" w:rsidP="00D91DBF">
      <w:r w:rsidRPr="00206F24">
        <w:rPr>
          <w:rFonts w:cs="Times New Roman"/>
        </w:rPr>
        <w:t>______</w:t>
      </w:r>
      <w:r w:rsidRPr="00206F24">
        <w:rPr>
          <w:rFonts w:cs="Times New Roman"/>
          <w:shd w:val="clear" w:color="auto" w:fill="FFFFFF"/>
        </w:rPr>
        <w:t xml:space="preserve">. Campo e cidade, rural e urbano no Brasil contemporâneo. </w:t>
      </w:r>
      <w:proofErr w:type="spellStart"/>
      <w:r w:rsidRPr="00206F24">
        <w:rPr>
          <w:rFonts w:cs="Times New Roman"/>
          <w:b/>
          <w:shd w:val="clear" w:color="auto" w:fill="FFFFFF"/>
        </w:rPr>
        <w:t>Mercator</w:t>
      </w:r>
      <w:proofErr w:type="spellEnd"/>
      <w:r w:rsidRPr="00206F24">
        <w:rPr>
          <w:rFonts w:cs="Times New Roman"/>
          <w:b/>
          <w:shd w:val="clear" w:color="auto" w:fill="FFFFFF"/>
        </w:rPr>
        <w:t xml:space="preserve"> (Fortaleza. Online)</w:t>
      </w:r>
      <w:r w:rsidRPr="00206F24">
        <w:rPr>
          <w:rFonts w:cs="Times New Roman"/>
          <w:shd w:val="clear" w:color="auto" w:fill="FFFFFF"/>
        </w:rPr>
        <w:t>, v. 12, p. 103-112-112, 2013.</w:t>
      </w:r>
      <w:r w:rsidR="00D91DBF" w:rsidRPr="00D91DBF">
        <w:t xml:space="preserve"> </w:t>
      </w:r>
    </w:p>
    <w:p w14:paraId="6AB217DC" w14:textId="033F57E0" w:rsidR="00D91DBF" w:rsidRDefault="00D91DBF" w:rsidP="00D91DBF">
      <w:pPr>
        <w:rPr>
          <w:rFonts w:cs="Times New Roman"/>
        </w:rPr>
      </w:pPr>
      <w:r w:rsidRPr="00D91DBF">
        <w:rPr>
          <w:rFonts w:cs="Times New Roman"/>
        </w:rPr>
        <w:t xml:space="preserve">LIMA, A. C. et al. Turismo rural e saberes tradicionais: a valorização da cultura camponesa. </w:t>
      </w:r>
      <w:r w:rsidRPr="00D91DBF">
        <w:rPr>
          <w:rFonts w:cs="Times New Roman"/>
          <w:b/>
        </w:rPr>
        <w:t>Caderno de Desenvolvimento Rural</w:t>
      </w:r>
      <w:r w:rsidRPr="00D91DBF">
        <w:rPr>
          <w:rFonts w:cs="Times New Roman"/>
        </w:rPr>
        <w:t>, v. 20, n. 45, p. 220-235, 2023.</w:t>
      </w:r>
    </w:p>
    <w:p w14:paraId="56305E6E" w14:textId="5AA0E11D" w:rsidR="000D57ED" w:rsidRPr="00E258C1" w:rsidRDefault="000D57ED" w:rsidP="00D91DBF">
      <w:pPr>
        <w:rPr>
          <w:rFonts w:cs="Times New Roman"/>
        </w:rPr>
      </w:pPr>
      <w:r w:rsidRPr="00206F24">
        <w:rPr>
          <w:rFonts w:cs="Times New Roman"/>
          <w:shd w:val="clear" w:color="auto" w:fill="FFFFFF"/>
        </w:rPr>
        <w:t>MATOS, Patrícia Francisca; PESSOA, Vera Lúcia Salazar. A MODERNIZAÇÃO DA AGRICULTURA NO BRASIL E OS NOVOS USOS DO TERRITÓRIO. </w:t>
      </w:r>
      <w:proofErr w:type="spellStart"/>
      <w:r w:rsidRPr="00206F24">
        <w:rPr>
          <w:rFonts w:cs="Times New Roman"/>
          <w:b/>
          <w:bCs/>
          <w:shd w:val="clear" w:color="auto" w:fill="FFFFFF"/>
        </w:rPr>
        <w:t>Geo</w:t>
      </w:r>
      <w:proofErr w:type="spellEnd"/>
      <w:r w:rsidRPr="00206F24">
        <w:rPr>
          <w:rFonts w:cs="Times New Roman"/>
          <w:b/>
          <w:bCs/>
          <w:shd w:val="clear" w:color="auto" w:fill="FFFFFF"/>
        </w:rPr>
        <w:t xml:space="preserve"> UERJ</w:t>
      </w:r>
      <w:r w:rsidRPr="00206F24">
        <w:rPr>
          <w:rFonts w:cs="Times New Roman"/>
          <w:shd w:val="clear" w:color="auto" w:fill="FFFFFF"/>
        </w:rPr>
        <w:t>, Rio de Janeiro, v. 2, n. 22, p. 290–322, 2011.</w:t>
      </w:r>
    </w:p>
    <w:p w14:paraId="18A37D00" w14:textId="0CE8B8AD" w:rsidR="000D57ED" w:rsidRPr="00206F24" w:rsidRDefault="00D91DBF" w:rsidP="00D91DBF">
      <w:pPr>
        <w:rPr>
          <w:rFonts w:cs="Times New Roman"/>
        </w:rPr>
      </w:pPr>
      <w:r w:rsidRPr="00D91DBF">
        <w:rPr>
          <w:rFonts w:cs="Times New Roman"/>
        </w:rPr>
        <w:t xml:space="preserve">OLIVEIRA, T. M.; SANTOS, E. F. Turismo rural e juventude: possibilidades de inclusão produtiva no campo. </w:t>
      </w:r>
      <w:r w:rsidRPr="00D91DBF">
        <w:rPr>
          <w:rFonts w:cs="Times New Roman"/>
          <w:b/>
        </w:rPr>
        <w:t>Revista Estudos Rurais</w:t>
      </w:r>
      <w:r w:rsidRPr="00D91DBF">
        <w:rPr>
          <w:rFonts w:cs="Times New Roman"/>
        </w:rPr>
        <w:t>, v. 8, n. 1, p. 63-78, 2022.</w:t>
      </w:r>
    </w:p>
    <w:p w14:paraId="37AFBB83" w14:textId="687094A1" w:rsidR="00D91DBF" w:rsidRPr="00D91DBF" w:rsidRDefault="00D91DBF" w:rsidP="00D91DBF">
      <w:pPr>
        <w:ind w:hanging="2"/>
        <w:rPr>
          <w:rFonts w:eastAsia="Arial" w:cs="Times New Roman"/>
        </w:rPr>
      </w:pPr>
      <w:r w:rsidRPr="00D91DBF">
        <w:rPr>
          <w:rFonts w:eastAsia="Arial" w:cs="Times New Roman"/>
        </w:rPr>
        <w:t xml:space="preserve">SOUSA, F. C. et al. Empreendedorismo e empoderamento: perspectivas para jovens e mulheres no meio rural. </w:t>
      </w:r>
      <w:r w:rsidRPr="00D91DBF">
        <w:rPr>
          <w:rFonts w:eastAsia="Arial" w:cs="Times New Roman"/>
          <w:b/>
        </w:rPr>
        <w:t>Revista Brasileira de Empreendedorismo</w:t>
      </w:r>
      <w:r w:rsidRPr="00D91DBF">
        <w:rPr>
          <w:rFonts w:eastAsia="Arial" w:cs="Times New Roman"/>
        </w:rPr>
        <w:t>, v. 3, n. 2, p. 55-70, 2016.</w:t>
      </w:r>
    </w:p>
    <w:p w14:paraId="14EAB092" w14:textId="6BB953A6" w:rsidR="00216EFF" w:rsidRPr="00D91DBF" w:rsidRDefault="00D91DBF" w:rsidP="00D91DBF">
      <w:pPr>
        <w:ind w:hanging="2"/>
        <w:rPr>
          <w:rFonts w:eastAsia="Arial" w:cs="Times New Roman"/>
        </w:rPr>
      </w:pPr>
      <w:r w:rsidRPr="00D91DBF">
        <w:rPr>
          <w:rFonts w:eastAsia="Arial" w:cs="Times New Roman"/>
        </w:rPr>
        <w:t xml:space="preserve">TRENTIN, R. A importância do turismo rural para o desenvolvimento local sustentável. </w:t>
      </w:r>
      <w:r w:rsidRPr="00D91DBF">
        <w:rPr>
          <w:rFonts w:eastAsia="Arial" w:cs="Times New Roman"/>
          <w:b/>
        </w:rPr>
        <w:t>Revista Brasileira de Turismo</w:t>
      </w:r>
      <w:r w:rsidRPr="00D91DBF">
        <w:rPr>
          <w:rFonts w:eastAsia="Arial" w:cs="Times New Roman"/>
        </w:rPr>
        <w:t>, v. 13, n. 3, p. 11-26, 2019.</w:t>
      </w:r>
    </w:p>
    <w:p w14:paraId="4DB04454" w14:textId="77777777" w:rsidR="001D7D7A" w:rsidRPr="00206F24" w:rsidRDefault="001D7D7A" w:rsidP="00216EFF">
      <w:pPr>
        <w:spacing w:line="360" w:lineRule="auto"/>
        <w:ind w:hanging="2"/>
        <w:rPr>
          <w:rFonts w:eastAsia="Arial" w:cs="Times New Roman"/>
          <w:color w:val="FF0000"/>
        </w:rPr>
      </w:pPr>
    </w:p>
    <w:p w14:paraId="7A12CA73" w14:textId="6C74D881" w:rsidR="0053021A" w:rsidRPr="00206F24" w:rsidRDefault="0053021A">
      <w:pPr>
        <w:rPr>
          <w:rFonts w:cs="Times New Roman"/>
        </w:rPr>
      </w:pPr>
    </w:p>
    <w:sectPr w:rsidR="0053021A" w:rsidRPr="00206F24" w:rsidSect="00206F24">
      <w:footerReference w:type="default" r:id="rId1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2FAAA" w14:textId="77777777" w:rsidR="001735B9" w:rsidRDefault="001735B9" w:rsidP="0027518C">
      <w:r>
        <w:separator/>
      </w:r>
    </w:p>
  </w:endnote>
  <w:endnote w:type="continuationSeparator" w:id="0">
    <w:p w14:paraId="52E3CCE0" w14:textId="77777777" w:rsidR="001735B9" w:rsidRDefault="001735B9"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43" w:usb2="00000009" w:usb3="00000000" w:csb0="000001FF" w:csb1="00000000"/>
  </w:font>
  <w:font w:name="Antonio">
    <w:altName w:val="Calibri"/>
    <w:charset w:val="4D"/>
    <w:family w:val="auto"/>
    <w:pitch w:val="variable"/>
    <w:sig w:usb0="A00000EF" w:usb1="00002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2A43C" w14:textId="77777777" w:rsidR="001735B9" w:rsidRDefault="001735B9" w:rsidP="0027518C">
      <w:r>
        <w:separator/>
      </w:r>
    </w:p>
  </w:footnote>
  <w:footnote w:type="continuationSeparator" w:id="0">
    <w:p w14:paraId="4E4DA8B1" w14:textId="77777777" w:rsidR="001735B9" w:rsidRDefault="001735B9" w:rsidP="0027518C">
      <w:r>
        <w:continuationSeparator/>
      </w:r>
    </w:p>
  </w:footnote>
  <w:footnote w:id="1">
    <w:p w14:paraId="6743577D" w14:textId="785E4D6D" w:rsidR="00C80187" w:rsidRPr="00C80187" w:rsidRDefault="00C80187">
      <w:pPr>
        <w:pStyle w:val="Textodenotaderodap"/>
        <w:rPr>
          <w:lang w:val="pt-BR"/>
        </w:rPr>
      </w:pPr>
      <w:r>
        <w:rPr>
          <w:rStyle w:val="Refdenotaderodap"/>
        </w:rPr>
        <w:footnoteRef/>
      </w:r>
      <w:r>
        <w:t xml:space="preserve"> </w:t>
      </w:r>
      <w:r>
        <w:rPr>
          <w:lang w:val="pt-BR"/>
        </w:rPr>
        <w:t>Universidade do Estado de Minas Gerais, ana.cecilia@uemg.br</w:t>
      </w:r>
    </w:p>
  </w:footnote>
  <w:footnote w:id="2">
    <w:p w14:paraId="2433642D" w14:textId="4438C790" w:rsidR="00C80187" w:rsidRPr="00C80187" w:rsidRDefault="00C80187">
      <w:pPr>
        <w:pStyle w:val="Textodenotaderodap"/>
        <w:rPr>
          <w:lang w:val="pt-BR"/>
        </w:rPr>
      </w:pPr>
      <w:r>
        <w:rPr>
          <w:rStyle w:val="Refdenotaderodap"/>
        </w:rPr>
        <w:footnoteRef/>
      </w:r>
      <w:r>
        <w:t xml:space="preserve"> </w:t>
      </w:r>
      <w:r>
        <w:rPr>
          <w:lang w:val="pt-BR"/>
        </w:rPr>
        <w:t xml:space="preserve">Universidade do Estado de Minas Gerais, </w:t>
      </w:r>
      <w:hyperlink r:id="rId1" w:history="1">
        <w:r w:rsidRPr="001E64C0">
          <w:rPr>
            <w:rStyle w:val="Hyperlink"/>
            <w:lang w:val="pt-BR"/>
          </w:rPr>
          <w:t>elicardo.batista@uemg.br</w:t>
        </w:r>
      </w:hyperlink>
    </w:p>
  </w:footnote>
  <w:footnote w:id="3">
    <w:p w14:paraId="65EA6BA1" w14:textId="34C59C5D" w:rsidR="00C80187" w:rsidRDefault="00C80187">
      <w:pPr>
        <w:pStyle w:val="Textodenotaderodap"/>
      </w:pPr>
      <w:r>
        <w:rPr>
          <w:rStyle w:val="Refdenotaderodap"/>
        </w:rPr>
        <w:footnoteRef/>
      </w:r>
      <w:r>
        <w:rPr>
          <w:rStyle w:val="Refdenotaderodap"/>
        </w:rPr>
        <w:footnoteRef/>
      </w:r>
      <w:r>
        <w:t xml:space="preserve"> </w:t>
      </w:r>
      <w:r>
        <w:rPr>
          <w:lang w:val="pt-BR"/>
        </w:rPr>
        <w:t xml:space="preserve">Universidade do Estado de Minas </w:t>
      </w:r>
      <w:proofErr w:type="gramStart"/>
      <w:r>
        <w:rPr>
          <w:lang w:val="pt-BR"/>
        </w:rPr>
        <w:t xml:space="preserve">Gerais, </w:t>
      </w:r>
      <w:r>
        <w:t xml:space="preserve"> </w:t>
      </w:r>
      <w:hyperlink r:id="rId2" w:history="1">
        <w:r w:rsidRPr="001E64C0">
          <w:rPr>
            <w:rStyle w:val="Hyperlink"/>
          </w:rPr>
          <w:t>julia.1537824@discente.uemg.br</w:t>
        </w:r>
        <w:proofErr w:type="gramEnd"/>
      </w:hyperlink>
    </w:p>
    <w:p w14:paraId="08A16596" w14:textId="77777777" w:rsidR="00C80187" w:rsidRPr="00C80187" w:rsidRDefault="00C80187">
      <w:pPr>
        <w:pStyle w:val="Textodenotaderodap"/>
        <w:rPr>
          <w:lang w:val="pt-BR"/>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006563"/>
    <w:rsid w:val="00085150"/>
    <w:rsid w:val="000B0ED3"/>
    <w:rsid w:val="000D57ED"/>
    <w:rsid w:val="00170023"/>
    <w:rsid w:val="001735B9"/>
    <w:rsid w:val="001D7D7A"/>
    <w:rsid w:val="00206F24"/>
    <w:rsid w:val="00216EFF"/>
    <w:rsid w:val="0027518C"/>
    <w:rsid w:val="00295FBE"/>
    <w:rsid w:val="002B2423"/>
    <w:rsid w:val="0032757F"/>
    <w:rsid w:val="00334549"/>
    <w:rsid w:val="00346B7C"/>
    <w:rsid w:val="00356E9D"/>
    <w:rsid w:val="004906DE"/>
    <w:rsid w:val="00496740"/>
    <w:rsid w:val="00507B98"/>
    <w:rsid w:val="0053021A"/>
    <w:rsid w:val="00593D45"/>
    <w:rsid w:val="00634370"/>
    <w:rsid w:val="00655E76"/>
    <w:rsid w:val="006664C7"/>
    <w:rsid w:val="00680A10"/>
    <w:rsid w:val="00692EEB"/>
    <w:rsid w:val="00733AFB"/>
    <w:rsid w:val="00757F24"/>
    <w:rsid w:val="007C06EA"/>
    <w:rsid w:val="007C59AF"/>
    <w:rsid w:val="00823749"/>
    <w:rsid w:val="00834604"/>
    <w:rsid w:val="00842ADD"/>
    <w:rsid w:val="008E7A76"/>
    <w:rsid w:val="009145AD"/>
    <w:rsid w:val="0095339A"/>
    <w:rsid w:val="00975EEA"/>
    <w:rsid w:val="00A8685D"/>
    <w:rsid w:val="00B1140D"/>
    <w:rsid w:val="00B61734"/>
    <w:rsid w:val="00BD60ED"/>
    <w:rsid w:val="00BF4213"/>
    <w:rsid w:val="00C80187"/>
    <w:rsid w:val="00C90562"/>
    <w:rsid w:val="00CF7891"/>
    <w:rsid w:val="00D31A9F"/>
    <w:rsid w:val="00D46408"/>
    <w:rsid w:val="00D70D16"/>
    <w:rsid w:val="00D91DBF"/>
    <w:rsid w:val="00E258C1"/>
    <w:rsid w:val="00E27C4C"/>
    <w:rsid w:val="00EF2DAE"/>
    <w:rsid w:val="00FB32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docId w15:val="{3AD6D0A0-54D6-40F3-999E-5D69E912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1D7D7A"/>
    <w:rPr>
      <w:color w:val="467886" w:themeColor="hyperlink"/>
      <w:u w:val="single"/>
    </w:rPr>
  </w:style>
  <w:style w:type="paragraph" w:customStyle="1" w:styleId="Default">
    <w:name w:val="Default"/>
    <w:rsid w:val="00CF7891"/>
    <w:pPr>
      <w:autoSpaceDE w:val="0"/>
      <w:autoSpaceDN w:val="0"/>
      <w:adjustRightInd w:val="0"/>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171184">
      <w:bodyDiv w:val="1"/>
      <w:marLeft w:val="0"/>
      <w:marRight w:val="0"/>
      <w:marTop w:val="0"/>
      <w:marBottom w:val="0"/>
      <w:divBdr>
        <w:top w:val="none" w:sz="0" w:space="0" w:color="auto"/>
        <w:left w:val="none" w:sz="0" w:space="0" w:color="auto"/>
        <w:bottom w:val="none" w:sz="0" w:space="0" w:color="auto"/>
        <w:right w:val="none" w:sz="0" w:space="0" w:color="auto"/>
      </w:divBdr>
    </w:div>
    <w:div w:id="178580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067/S0718-65682013000100003"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lattes.cnpq.br/926266193486468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mailto:julia.1537824@discente.uemg.br" TargetMode="External"/><Relationship Id="rId1" Type="http://schemas.openxmlformats.org/officeDocument/2006/relationships/hyperlink" Target="mailto:elicardo.batista@uemg.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6FFB2-2807-47C6-91FB-B234BD38E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Pages>
  <Words>4955</Words>
  <Characters>26761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31653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Tomin</dc:creator>
  <cp:lastModifiedBy>Conta da Microsoft</cp:lastModifiedBy>
  <cp:revision>11</cp:revision>
  <dcterms:created xsi:type="dcterms:W3CDTF">2025-05-12T14:09:00Z</dcterms:created>
  <dcterms:modified xsi:type="dcterms:W3CDTF">2025-05-12T19:11:00Z</dcterms:modified>
</cp:coreProperties>
</file>