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280"/>
        <w:jc w:val="center"/>
        <w:rPr>
          <w:rFonts w:ascii="Arial" w:cs="Arial" w:eastAsia="Arial" w:hAnsi="Arial"/>
          <w:b w:val="1"/>
          <w:sz w:val="24"/>
          <w:szCs w:val="24"/>
        </w:rPr>
      </w:pPr>
      <w:r w:rsidDel="00000000" w:rsidR="00000000" w:rsidRPr="00000000">
        <w:rPr>
          <w:rFonts w:ascii="Times New Roman" w:cs="Times New Roman" w:eastAsia="Times New Roman" w:hAnsi="Times New Roman"/>
          <w:b w:val="1"/>
          <w:sz w:val="24"/>
          <w:szCs w:val="24"/>
          <w:rtl w:val="0"/>
        </w:rPr>
        <w:t xml:space="preserve">A EXCLUSÃO À APRENDIZAGEM DA LÍNGUA INGLESA EM UMA ESCOLA RURAL: UMA ANÁLISE À LUZ DO LETRAMENTO CRÍTICO.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2">
      <w:pPr>
        <w:spacing w:after="0" w:before="0" w:line="360" w:lineRule="auto"/>
        <w:jc w:val="both"/>
        <w:rPr>
          <w:rFonts w:ascii="Arial" w:cs="Arial" w:eastAsia="Arial" w:hAnsi="Arial"/>
          <w:sz w:val="20"/>
          <w:szCs w:val="2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03">
      <w:pPr>
        <w:spacing w:after="0" w:before="0" w:line="36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GONÇALVES</w:t>
      </w:r>
      <w:r w:rsidDel="00000000" w:rsidR="00000000" w:rsidRPr="00000000">
        <w:rPr>
          <w:rFonts w:ascii="Arial" w:cs="Arial" w:eastAsia="Arial" w:hAnsi="Arial"/>
          <w:sz w:val="24"/>
          <w:szCs w:val="24"/>
          <w:rtl w:val="0"/>
        </w:rPr>
        <w:t xml:space="preserve">, Gustavo Reis</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ALENCAR</w:t>
      </w:r>
      <w:r w:rsidDel="00000000" w:rsidR="00000000" w:rsidRPr="00000000">
        <w:rPr>
          <w:rFonts w:ascii="Arial" w:cs="Arial" w:eastAsia="Arial" w:hAnsi="Arial"/>
          <w:sz w:val="24"/>
          <w:szCs w:val="24"/>
          <w:rtl w:val="0"/>
        </w:rPr>
        <w:t xml:space="preserve">, Elisa Borges de Alcantara</w:t>
      </w:r>
      <w:r w:rsidDel="00000000" w:rsidR="00000000" w:rsidRPr="00000000">
        <w:rPr>
          <w:rFonts w:ascii="Arial" w:cs="Arial" w:eastAsia="Arial" w:hAnsi="Arial"/>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4">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05">
      <w:pPr>
        <w:widowControl w:val="0"/>
        <w:spacing w:after="0" w:before="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RESUMO</w:t>
      </w:r>
    </w:p>
    <w:p w:rsidR="00000000" w:rsidDel="00000000" w:rsidP="00000000" w:rsidRDefault="00000000" w:rsidRPr="00000000" w14:paraId="00000006">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trabalho investiga, à luz do Letramento Crítico, as práticas de exclusão, especialmente no aprendizado de inglês dos alunos de uma escola rural. A pesquisa busca compreender: as percepções sobre o ensino e aprendizagem de inglês, frequentemente considerado irrelevante na realidade rural, assim como seus desdobramentos; Escolas rurais desde a sua criação, seus obstáculos complexos, como fatores geográficos, culturais e socioeconômicos, que afetam a qualidade do ensino, isso está historicamente associado à escola com essas condições; transporte público, já que os alunos que estudam em escolas do campo precisam usar transporte público, pela a longa distância até a escola; condições adversas, no percurso e horários exaustivos; discursos que questionam a relevância do inglês nesse contexto, dos quais defendem o inglês como uma matéria unicamente para trabalho, desconsiderando a  sua força histórica e cultural; condições adversas dos alunos, as quais são dificuldades econômicas, e barreiras psicológicas, como ansiedade e falta de confiança ou senso de não pertencimento; A ausência de experiências positivas, os alunos estão constantemente com bloqueio na sala de aula por estarem envolvido com péssimas experiências com a Língua Inglesa. Tudo isso o artigo busca entender e explicar como que cada uma dessas situações auxiliam na prática de exclusão. Com uma abordagem autoetnográfica, mais especificamente eutnográfico. Por fim, defende-se a importância da formação continuada para o professor efetivado, pois os discentes devem ter os conceitos, aqui defendidos, desenvolvidos,  para promoverem uma educação mais inclusiva, como defendido o Letramento Crítico. </w:t>
      </w:r>
    </w:p>
    <w:p w:rsidR="00000000" w:rsidDel="00000000" w:rsidP="00000000" w:rsidRDefault="00000000" w:rsidRPr="00000000" w14:paraId="00000007">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Palavras-chave: </w:t>
      </w:r>
      <w:r w:rsidDel="00000000" w:rsidR="00000000" w:rsidRPr="00000000">
        <w:rPr>
          <w:rFonts w:ascii="Arial" w:cs="Arial" w:eastAsia="Arial" w:hAnsi="Arial"/>
          <w:sz w:val="24"/>
          <w:szCs w:val="24"/>
          <w:rtl w:val="0"/>
        </w:rPr>
        <w:t xml:space="preserve">Exclusão Educacional, Letramento Crítico, Ensino e aprendizagem  de língua inglesa.</w:t>
      </w:r>
    </w:p>
    <w:p w:rsidR="00000000" w:rsidDel="00000000" w:rsidP="00000000" w:rsidRDefault="00000000" w:rsidRPr="00000000" w14:paraId="00000009">
      <w:pPr>
        <w:spacing w:after="0" w:before="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spacing w:after="0" w:before="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spacing w:after="0" w:before="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numPr>
          <w:ilvl w:val="0"/>
          <w:numId w:val="1"/>
        </w:numPr>
        <w:spacing w:after="0" w:before="0" w:line="36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INTRODUÇÃO/JUSTIFICATIVA</w:t>
      </w:r>
    </w:p>
    <w:p w:rsidR="00000000" w:rsidDel="00000000" w:rsidP="00000000" w:rsidRDefault="00000000" w:rsidRPr="00000000" w14:paraId="0000000D">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presente artigo tem como objetivo principal problematizar, à luz do Letramento Crítico (Doravante LC), como se dá a exclusão dos alunos, centrando-se no aprendizado da língua inglesa, em uma escola de zona rural. Os alunos e professores que estão envolvidos nesta comunidade escolar rural passam por muitas questões adversas, essas condições interligam-se com a necessidade de implementar o LC no ensino, isto é,  a baixa conectividade com o seu meio cultural, a maneira em que o ensino é proposto, o livro didático visto como uma camisa de força pelo docente, e a dedicação do discente ao trabalho na roça, são condições, essas, que interferem no ensino.</w:t>
      </w:r>
    </w:p>
    <w:p w:rsidR="00000000" w:rsidDel="00000000" w:rsidP="00000000" w:rsidRDefault="00000000" w:rsidRPr="00000000" w14:paraId="0000000E">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presente artigo aborda dois conceitos fundamentais, Letramento Crítico (LC) como um  conceito fundamental na construção da pesquisa e para a escolha dos artigos referenciados e a Linguística Aplicada (LA) um conceito secundário que atua de maneira correlata ao LC, assim tais conceitos procuram dar aos alunos uma educação que valoriza suas vivências em todos os aspectos. Sendo importantes tanto para definir onde acontece a exclusão e como os discentes podem refletir e pensar em ações, tendo como ponto de partida esses conceitos. Esses dois conceitos são vistos neste artigo como uma ferramenta que torna o ensino mais significativo.</w:t>
      </w:r>
    </w:p>
    <w:p w:rsidR="00000000" w:rsidDel="00000000" w:rsidP="00000000" w:rsidRDefault="00000000" w:rsidRPr="00000000" w14:paraId="0000000F">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Letramento Crítico (LC) “conceitua-se como uma filosofia que visa romper com o senso comum [...] problematização-desnaturalização-desconstrução e construção de saber novo, deslegitimando visões e pensamentos estruturais e estereotipados da sociedade” (Alencar, 2017, e Aguiar, 2023). Já a Linguística Aplicada (LA) “[...] é uma ciência social, já que seu foco é o uso da linguagem nas práticas sociais” (Lopes 1996, p. 20).</w:t>
      </w:r>
    </w:p>
    <w:p w:rsidR="00000000" w:rsidDel="00000000" w:rsidP="00000000" w:rsidRDefault="00000000" w:rsidRPr="00000000" w14:paraId="00000010">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Morei 15 anos no assentamento Reunidas, localizado em uma zona rural do município de Aragominas, TO. Minha trajetória como estudante de língua inglesa (doravante LI) foi construída em uma escola do campo que foi marcada por muitos desafios, em especial pela a Educação pandêmica, falta de professores formados na área e pela ausência de metodologias que conduzissem com o contexto educacional. Meu contato com a LI é dez do Ensino Fundamental anos finais, que apenas neste período tive contato com os livros didáticos, ou seja um ensino pensado a partir de uma perspectiva urbanista. Nesse período o inglês era visto como uma disciplina curiosa, mas não entendia a razão de estudá-ló. No Ensino Médio, veio a pandemia, minha escola utilizou os roteiros como método de avaliação a distância. Por consequência o ensino foi sem um professor para guiar, estudava por conta própria, devido ao afastamento. Logo à frente no final da segunda série voltamos, com restrições, à escola, mas, ainda assim não tinha professor de inglês, as aulas de LI eram com professores de outras áreas. No final do último ano do Ensino Médio veio uma professora de inglês, mas, mesmo que ela fosse formada na área, hoje, como estudante de letras inglês, vejo que suas práticas não condiziam com a comunidade rural. </w:t>
      </w:r>
    </w:p>
    <w:p w:rsidR="00000000" w:rsidDel="00000000" w:rsidP="00000000" w:rsidRDefault="00000000" w:rsidRPr="00000000" w14:paraId="00000011">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tempo passou, e mais adiante fui em uma excursão escolar aos </w:t>
      </w:r>
      <w:r w:rsidDel="00000000" w:rsidR="00000000" w:rsidRPr="00000000">
        <w:rPr>
          <w:rFonts w:ascii="Arial" w:cs="Arial" w:eastAsia="Arial" w:hAnsi="Arial"/>
          <w:i w:val="1"/>
          <w:sz w:val="24"/>
          <w:szCs w:val="24"/>
          <w:rtl w:val="0"/>
        </w:rPr>
        <w:t xml:space="preserve">campi </w:t>
      </w:r>
      <w:r w:rsidDel="00000000" w:rsidR="00000000" w:rsidRPr="00000000">
        <w:rPr>
          <w:rFonts w:ascii="Arial" w:cs="Arial" w:eastAsia="Arial" w:hAnsi="Arial"/>
          <w:sz w:val="24"/>
          <w:szCs w:val="24"/>
          <w:rtl w:val="0"/>
        </w:rPr>
        <w:t xml:space="preserve">universitários da Universidade Federal do Norte do Tocantins (UFNT) promovida pelo programa Alvorecer (LI) e observei oportunidades e possibilidades. A imersão neste ambiente acadêmico despertou em mim o desejo pela docência, em especial no campo da linguística aplicada, mais precisamente no ensino da língua inglesa. Fiz o Exame Nacional do Ensino Médio (ENEM) e entrei no curso de Letras Inglês e Literaturas da Universidade Federal do Norte do Tocantins (UFNT). Logo, consegui participar do programa PIBID (LI) e a participação neste programa também foi um marco significativo na minha vida universitária até aqui.</w:t>
      </w:r>
    </w:p>
    <w:p w:rsidR="00000000" w:rsidDel="00000000" w:rsidP="00000000" w:rsidRDefault="00000000" w:rsidRPr="00000000" w14:paraId="00000012">
      <w:pPr>
        <w:spacing w:after="0" w:before="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3">
      <w:pPr>
        <w:numPr>
          <w:ilvl w:val="0"/>
          <w:numId w:val="1"/>
        </w:numPr>
        <w:spacing w:after="0" w:before="0" w:line="36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BASE TEÓRICA</w:t>
      </w:r>
      <w:r w:rsidDel="00000000" w:rsidR="00000000" w:rsidRPr="00000000">
        <w:rPr>
          <w:rtl w:val="0"/>
        </w:rPr>
      </w:r>
    </w:p>
    <w:p w:rsidR="00000000" w:rsidDel="00000000" w:rsidP="00000000" w:rsidRDefault="00000000" w:rsidRPr="00000000" w14:paraId="00000014">
      <w:pPr>
        <w:spacing w:after="0" w:line="360" w:lineRule="auto"/>
        <w:ind w:left="0"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pesquisa percorreu várias questões acerca do tema proposto. Em primeiro plano, o conceito de Letramento Crítico (Doravante, LC) é fundamental para construção dessa pesquisa, para isso,  o conceito de letramento crítico é central, pois se configura como uma filosofia educacional voltada ao engajamento de professores e alunos em práticas de linguagem que favoreçam a problematização, a reflexão e a crítica sobre a realidade social. Como aponta Alencar (2017), trata-se de um movimento que busca desconstruir padrões culturais hegemônicos e abrir espaço para uma educação que permita aos sujeitos questionar sua condição histórica, social e política, transformando-se em agentes de mudança em suas comunidades. E, logo a frente, o LC é visto como uma ferramenta para o professor, isto é, no contexto das escolas rurais, como o desta pesquisa, o uso do livro didático apresenta limitações que se tornam ainda mais evidentes quando analisadas sob a ótica do letramento crítico. Esses materiais, em grande parte produzidos a partir de uma perspectiva urbanocêntrica, pouco dialogam com as experiências, saberes e culturas do campo. Em muitos casos, os livros chegam às escolas em número insuficiente, com exemplares usados ou defasados, e nem sempre são aplicados de forma significativa no processo de ensino-aprendizagem. </w:t>
      </w:r>
    </w:p>
    <w:p w:rsidR="00000000" w:rsidDel="00000000" w:rsidP="00000000" w:rsidRDefault="00000000" w:rsidRPr="00000000" w14:paraId="00000015">
      <w:pPr>
        <w:spacing w:after="0" w:line="360" w:lineRule="auto"/>
        <w:ind w:left="0"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Esse distanciamento entre o conteúdo do livro e a realidade rural gera um desafio para os estudantes: ao invés de se reconhecerem como sujeitos de saber, veem-se representados por estereótipos ou caricaturas, como o personagem Chico Bento, que apresenta uma visão idealizada ou folclórica da “vida na roça”. Assim, longe de promover uma reflexão crítica sobre a diversidade cultural, o material reforça visões simplistas e, por vezes, discriminatórias sobre o campo. Nessa perspectiva, o letramento crítico se torna essencial para ressignificar o uso do livro didático. A Linguística Aplicada (Doravante, LA), assim como o letramento crítico, tem como foco a transformação social por meio da linguagem. Enquanto o letramento crítico busca problematizar discursos hegemônicos e estimular a reflexão, a LA procura compreender como a língua funciona em contextos reais, orientando o ensino do inglês a partir de questões sociais concretas.</w:t>
      </w:r>
    </w:p>
    <w:p w:rsidR="00000000" w:rsidDel="00000000" w:rsidP="00000000" w:rsidRDefault="00000000" w:rsidRPr="00000000" w14:paraId="00000016">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firstLine="56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Mais do que aplicar teorias linguísticas, a LA é uma ciência social voltada para resolver problemas relacionados ao uso da linguagem. Como afirma Moita Lopes (1996, p. 20), “a LA é uma ciência social, já que seu foco é em problemas de uso da linguagem enfrentados pelos participantes do discurso no contexto social”. No caso do ensino de inglês em escolas públicas, especialmente em áreas rurais, isso significa pensar um ensino que valorize a realidade e as experiências locais, em vez de impor modelos distantes do cotidiano dos alunos.</w:t>
      </w:r>
    </w:p>
    <w:p w:rsidR="00000000" w:rsidDel="00000000" w:rsidP="00000000" w:rsidRDefault="00000000" w:rsidRPr="00000000" w14:paraId="00000017">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firstLine="56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numPr>
          <w:ilvl w:val="0"/>
          <w:numId w:val="1"/>
        </w:numPr>
        <w:spacing w:after="0" w:before="0" w:line="36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OBJETIVOS</w:t>
      </w:r>
    </w:p>
    <w:p w:rsidR="00000000" w:rsidDel="00000000" w:rsidP="00000000" w:rsidRDefault="00000000" w:rsidRPr="00000000" w14:paraId="00000019">
      <w:pPr>
        <w:spacing w:after="0" w:line="240" w:lineRule="auto"/>
        <w:rPr>
          <w:rFonts w:ascii="Arial" w:cs="Arial" w:eastAsia="Arial" w:hAnsi="Arial"/>
          <w:sz w:val="24"/>
          <w:szCs w:val="24"/>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8" w:top="1418" w:left="1418" w:right="1418" w:header="709" w:footer="709"/>
          <w:pgNumType w:start="1"/>
        </w:sectPr>
      </w:pPr>
      <w:r w:rsidDel="00000000" w:rsidR="00000000" w:rsidRPr="00000000">
        <w:rPr>
          <w:rtl w:val="0"/>
        </w:rPr>
      </w:r>
    </w:p>
    <w:p w:rsidR="00000000" w:rsidDel="00000000" w:rsidP="00000000" w:rsidRDefault="00000000" w:rsidRPr="00000000" w14:paraId="0000001A">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jc w:val="both"/>
        <w:rPr>
          <w:rFonts w:ascii="Arial" w:cs="Arial" w:eastAsia="Arial" w:hAnsi="Arial"/>
          <w:sz w:val="24"/>
          <w:szCs w:val="24"/>
        </w:rPr>
      </w:pPr>
      <w:bookmarkStart w:colFirst="0" w:colLast="0" w:name="_heading=h.b2ug0orkzw75" w:id="0"/>
      <w:bookmarkEnd w:id="0"/>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sz w:val="24"/>
          <w:szCs w:val="24"/>
          <w:rtl w:val="0"/>
        </w:rPr>
        <w:t xml:space="preserve">.1. GERAL</w:t>
      </w:r>
    </w:p>
    <w:p w:rsidR="00000000" w:rsidDel="00000000" w:rsidP="00000000" w:rsidRDefault="00000000" w:rsidRPr="00000000" w14:paraId="0000001B">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firstLine="708"/>
        <w:jc w:val="both"/>
        <w:rPr>
          <w:rFonts w:ascii="Arial" w:cs="Arial" w:eastAsia="Arial" w:hAnsi="Arial"/>
          <w:sz w:val="24"/>
          <w:szCs w:val="24"/>
        </w:rPr>
        <w:sectPr>
          <w:type w:val="continuous"/>
          <w:pgSz w:h="16838" w:w="11906" w:orient="portrait"/>
          <w:pgMar w:bottom="1134" w:top="1134" w:left="1134" w:right="1134" w:header="720" w:footer="282"/>
        </w:sectPr>
      </w:pPr>
      <w:r w:rsidDel="00000000" w:rsidR="00000000" w:rsidRPr="00000000">
        <w:rPr>
          <w:rFonts w:ascii="Arial" w:cs="Arial" w:eastAsia="Arial" w:hAnsi="Arial"/>
          <w:sz w:val="24"/>
          <w:szCs w:val="24"/>
          <w:rtl w:val="0"/>
        </w:rPr>
        <w:t xml:space="preserve">O objetivo geral desta pesquisa é analisar a exclusão no aprendizado da língua inglesa em escolas rurais, investigando os desafios enfrentados pelo próprio autor deste trabalho, à luz do letramento crítico. Além de identificar esses desafios, a pesquisa também propõe contribuir com sugestões para promover uma aprendizagem mais inclusiva e efetiva.</w:t>
      </w:r>
    </w:p>
    <w:p w:rsidR="00000000" w:rsidDel="00000000" w:rsidP="00000000" w:rsidRDefault="00000000" w:rsidRPr="00000000" w14:paraId="0000001C">
      <w:pPr>
        <w:spacing w:after="0" w:before="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numPr>
          <w:ilvl w:val="0"/>
          <w:numId w:val="1"/>
        </w:numPr>
        <w:spacing w:after="0" w:before="0" w:line="360" w:lineRule="auto"/>
        <w:ind w:left="720" w:hanging="360"/>
        <w:jc w:val="both"/>
        <w:rPr>
          <w:rFonts w:ascii="Arial" w:cs="Arial" w:eastAsia="Arial" w:hAnsi="Arial"/>
          <w:b w:val="1"/>
          <w:sz w:val="24"/>
          <w:szCs w:val="24"/>
        </w:rPr>
        <w:sectPr>
          <w:type w:val="continuous"/>
          <w:pgSz w:h="16838" w:w="11906" w:orient="portrait"/>
          <w:pgMar w:bottom="1418" w:top="1418" w:left="1418" w:right="1418" w:header="709" w:footer="709"/>
        </w:sectPr>
      </w:pPr>
      <w:r w:rsidDel="00000000" w:rsidR="00000000" w:rsidRPr="00000000">
        <w:rPr>
          <w:rFonts w:ascii="Arial" w:cs="Arial" w:eastAsia="Arial" w:hAnsi="Arial"/>
          <w:b w:val="1"/>
          <w:sz w:val="24"/>
          <w:szCs w:val="24"/>
          <w:rtl w:val="0"/>
        </w:rPr>
        <w:t xml:space="preserve">METODOLOGIA</w:t>
      </w:r>
      <w:r w:rsidDel="00000000" w:rsidR="00000000" w:rsidRPr="00000000">
        <w:rPr>
          <w:rtl w:val="0"/>
        </w:rPr>
      </w:r>
    </w:p>
    <w:p w:rsidR="00000000" w:rsidDel="00000000" w:rsidP="00000000" w:rsidRDefault="00000000" w:rsidRPr="00000000" w14:paraId="0000001E">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estudo analisa a exclusão enfrentada por alunos, inseridos na educação rural. Para isso é necessário o uso da autoetnografia cujo caráter é construído pelo que Doloriert; Sambrook, </w:t>
      </w:r>
      <w:r w:rsidDel="00000000" w:rsidR="00000000" w:rsidRPr="00000000">
        <w:rPr>
          <w:rFonts w:ascii="Arial" w:cs="Arial" w:eastAsia="Arial" w:hAnsi="Arial"/>
          <w:b w:val="1"/>
          <w:i w:val="1"/>
          <w:sz w:val="24"/>
          <w:szCs w:val="24"/>
          <w:rtl w:val="0"/>
        </w:rPr>
        <w:t xml:space="preserve">apud</w:t>
      </w:r>
      <w:r w:rsidDel="00000000" w:rsidR="00000000" w:rsidRPr="00000000">
        <w:rPr>
          <w:rFonts w:ascii="Arial" w:cs="Arial" w:eastAsia="Arial" w:hAnsi="Arial"/>
          <w:sz w:val="24"/>
          <w:szCs w:val="24"/>
          <w:rtl w:val="0"/>
        </w:rPr>
        <w:t xml:space="preserve"> Pardo (2019) denominam autoetnografia. Considerando-se essa metodologia, o fazer científico aqui desenvolvido parte do trabalho de que o pesquisador viveu as experiências relatadas em um tempo anterior à produção desta pesquisa, valendo-se do autorelato dos acontecimentos como forma de registro das experiências construídas com os estudos de língua inglesa em uma escola do campo.</w:t>
      </w:r>
    </w:p>
    <w:p w:rsidR="00000000" w:rsidDel="00000000" w:rsidP="00000000" w:rsidRDefault="00000000" w:rsidRPr="00000000" w14:paraId="0000001F">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etnografia o pesquisador é visto como um estranho, já na autoetnografia o pesquisador é familiar, posto que é membro do grupo pesquisado” (Pardo, 2019, p. 17). Desse modo, é importante mencionar a existência de dois tipos de estudo autoetnográfico, que são elas: pesquisador é pesquisado, “em que a investigação se constrói por meio de uma narrativa introspectiva na qual o indivíduo é o único participante do estudo, ou seja, a investigação se tornaria o que chamei de eutnografia” (Doloriert; Sambrook, 2009, </w:t>
      </w:r>
      <w:r w:rsidDel="00000000" w:rsidR="00000000" w:rsidRPr="00000000">
        <w:rPr>
          <w:rFonts w:ascii="Arial" w:cs="Arial" w:eastAsia="Arial" w:hAnsi="Arial"/>
          <w:b w:val="1"/>
          <w:i w:val="1"/>
          <w:sz w:val="24"/>
          <w:szCs w:val="24"/>
          <w:rtl w:val="0"/>
        </w:rPr>
        <w:t xml:space="preserve">apud</w:t>
      </w:r>
      <w:r w:rsidDel="00000000" w:rsidR="00000000" w:rsidRPr="00000000">
        <w:rPr>
          <w:rFonts w:ascii="Arial" w:cs="Arial" w:eastAsia="Arial" w:hAnsi="Arial"/>
          <w:sz w:val="24"/>
          <w:szCs w:val="24"/>
          <w:rtl w:val="0"/>
        </w:rPr>
        <w:t xml:space="preserve"> Pardo, 2019, p. 17); pesquisador e pesquisado,  “em que o indivíduo observa determinado grupo social ou cultura da qual ele também é membro”, isto é, ele não participa da investigação (Doloriert; Sambrook, 2009, </w:t>
      </w:r>
      <w:r w:rsidDel="00000000" w:rsidR="00000000" w:rsidRPr="00000000">
        <w:rPr>
          <w:rFonts w:ascii="Arial" w:cs="Arial" w:eastAsia="Arial" w:hAnsi="Arial"/>
          <w:b w:val="1"/>
          <w:i w:val="1"/>
          <w:sz w:val="24"/>
          <w:szCs w:val="24"/>
          <w:rtl w:val="0"/>
        </w:rPr>
        <w:t xml:space="preserve">apud</w:t>
      </w:r>
      <w:r w:rsidDel="00000000" w:rsidR="00000000" w:rsidRPr="00000000">
        <w:rPr>
          <w:rFonts w:ascii="Arial" w:cs="Arial" w:eastAsia="Arial" w:hAnsi="Arial"/>
          <w:sz w:val="24"/>
          <w:szCs w:val="24"/>
          <w:rtl w:val="0"/>
        </w:rPr>
        <w:t xml:space="preserve"> Pardo, 2019, p. 17). Dito isso, foco na escrita autoetnografica, do punho pesquisador é pesquisado, já que o pesquisador vem da comunidade que referida.</w:t>
      </w:r>
    </w:p>
    <w:p w:rsidR="00000000" w:rsidDel="00000000" w:rsidP="00000000" w:rsidRDefault="00000000" w:rsidRPr="00000000" w14:paraId="00000020">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Quanto aos procedimentos metodológicos adotados nesta investigação, parte-se da i) pesquisa e leitura de referenciais bibliográficos; desenvolve-se com a ii) construção narrativo-descritiva das experiências com estudo da língua inglesa na escola campo; e finaliza-se com a iii) produção teórico-analítica deste artigo científico.</w:t>
      </w:r>
    </w:p>
    <w:p w:rsidR="00000000" w:rsidDel="00000000" w:rsidP="00000000" w:rsidRDefault="00000000" w:rsidRPr="00000000" w14:paraId="00000021">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firstLine="708"/>
        <w:jc w:val="both"/>
        <w:rPr>
          <w:rFonts w:ascii="Arial" w:cs="Arial" w:eastAsia="Arial" w:hAnsi="Arial"/>
          <w:sz w:val="24"/>
          <w:szCs w:val="24"/>
        </w:rPr>
        <w:sectPr>
          <w:type w:val="continuous"/>
          <w:pgSz w:h="16838" w:w="11906" w:orient="portrait"/>
          <w:pgMar w:bottom="1134" w:top="1134" w:left="1134" w:right="1134" w:header="720" w:footer="282"/>
        </w:sectPr>
      </w:pPr>
      <w:r w:rsidDel="00000000" w:rsidR="00000000" w:rsidRPr="00000000">
        <w:rPr>
          <w:rFonts w:ascii="Arial" w:cs="Arial" w:eastAsia="Arial" w:hAnsi="Arial"/>
          <w:sz w:val="24"/>
          <w:szCs w:val="24"/>
          <w:rtl w:val="0"/>
        </w:rPr>
        <w:t xml:space="preserve">Assim, o contexto específico da escola do campo conhecido pelo autor direcionou a escolha dos materiais aqui referenciados, que foram escolhidos a partir de sua visão como estudante e iniciante à docência.  Entendemos como auto etnográfico como um  metodologia de pesquisa da qual refere-se a maneira de construir um relato baseado em suas vivências, sobre um grupo que o autor pertença, partindo da própria visão a respeito do tema da pesquisa (Santos, 2017). </w:t>
      </w:r>
    </w:p>
    <w:p w:rsidR="00000000" w:rsidDel="00000000" w:rsidP="00000000" w:rsidRDefault="00000000" w:rsidRPr="00000000" w14:paraId="00000022">
      <w:pPr>
        <w:spacing w:after="0" w:before="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numPr>
          <w:ilvl w:val="0"/>
          <w:numId w:val="1"/>
        </w:numPr>
        <w:spacing w:after="0" w:before="0" w:line="36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RESULTADOS E DISCUSSÃO</w:t>
      </w:r>
    </w:p>
    <w:p w:rsidR="00000000" w:rsidDel="00000000" w:rsidP="00000000" w:rsidRDefault="00000000" w:rsidRPr="00000000" w14:paraId="00000024">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 Nitidamente, ao longo do texto, per</w:t>
      </w:r>
      <w:r w:rsidDel="00000000" w:rsidR="00000000" w:rsidRPr="00000000">
        <w:rPr>
          <w:rFonts w:ascii="Arial" w:cs="Arial" w:eastAsia="Arial" w:hAnsi="Arial"/>
          <w:sz w:val="24"/>
          <w:szCs w:val="24"/>
          <w:rtl w:val="0"/>
        </w:rPr>
        <w:t xml:space="preserve">cebe-se que o ensino na escola em questão é marcado por um ensino muito descontextualizado, o qual pode ser ou não, baseado em materiais didáticos. Nisso,  entra a questão acerca do LC, a sua ausência desse conceito interfere de maneira grave no</w:t>
      </w:r>
      <w:r w:rsidDel="00000000" w:rsidR="00000000" w:rsidRPr="00000000">
        <w:rPr>
          <w:rFonts w:ascii="Arial" w:cs="Arial" w:eastAsia="Arial" w:hAnsi="Arial"/>
          <w:sz w:val="24"/>
          <w:szCs w:val="24"/>
          <w:highlight w:val="white"/>
          <w:rtl w:val="0"/>
        </w:rPr>
        <w:t xml:space="preserve"> ensino, </w:t>
      </w:r>
      <w:r w:rsidDel="00000000" w:rsidR="00000000" w:rsidRPr="00000000">
        <w:rPr>
          <w:rFonts w:ascii="Arial" w:cs="Arial" w:eastAsia="Arial" w:hAnsi="Arial"/>
          <w:sz w:val="24"/>
          <w:szCs w:val="24"/>
          <w:rtl w:val="0"/>
        </w:rPr>
        <w:t xml:space="preserve">principalmente na aprendizagem LI, já que além do ensino ser descontextualizado, sem o LC, os alunos não entendem o porquê estão vendo aquele conteúdo e como isso pode se coadunar à sua vida.  Na minha vida escolar ocorreram essas exclusões: livros didáticos sem contexto e práticas docentes que não davam importância à cultura local em que estávamos inseridos. O PIBIC me possibilitou leituras e pesquisas que me mostraram o quanto esta minha inquietação com relação a educação nas escolas rurais é presente nos artigos citados é só agora, como pesquisador, isso está claro para mim. Me senti representado por pesquisadores (as) que se preocupam e defendem a inclusão.</w:t>
      </w:r>
    </w:p>
    <w:p w:rsidR="00000000" w:rsidDel="00000000" w:rsidP="00000000" w:rsidRDefault="00000000" w:rsidRPr="00000000" w14:paraId="00000025">
      <w:pPr>
        <w:spacing w:after="0" w:before="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numPr>
          <w:ilvl w:val="0"/>
          <w:numId w:val="1"/>
        </w:numPr>
        <w:spacing w:after="0" w:before="0" w:line="36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CONCLUSÃO/CONSIDERAÇÕES FINAIS</w:t>
      </w:r>
    </w:p>
    <w:p w:rsidR="00000000" w:rsidDel="00000000" w:rsidP="00000000" w:rsidRDefault="00000000" w:rsidRPr="00000000" w14:paraId="00000027">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firstLine="708"/>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Por fim, o presente estudo buscou compreender a exclusão dos alunos das escolas do campo, a maneira que ocorre</w:t>
      </w:r>
      <w:r w:rsidDel="00000000" w:rsidR="00000000" w:rsidRPr="00000000">
        <w:rPr>
          <w:rFonts w:ascii="Arial" w:cs="Arial" w:eastAsia="Arial" w:hAnsi="Arial"/>
          <w:sz w:val="24"/>
          <w:szCs w:val="24"/>
          <w:highlight w:val="white"/>
          <w:rtl w:val="0"/>
        </w:rPr>
        <w:t xml:space="preserve"> e os motivos que levam à exclusão. Tudo isso à luz do LC, quando aplicado no ensino, serve como uma ferramenta de transformação social. Utiliza-se como  fazer fazer científico a autoetnografia, cujo é construído pelo que Doloriert; Sambrook, </w:t>
      </w:r>
      <w:r w:rsidDel="00000000" w:rsidR="00000000" w:rsidRPr="00000000">
        <w:rPr>
          <w:rFonts w:ascii="Arial" w:cs="Arial" w:eastAsia="Arial" w:hAnsi="Arial"/>
          <w:b w:val="1"/>
          <w:i w:val="1"/>
          <w:sz w:val="24"/>
          <w:szCs w:val="24"/>
          <w:highlight w:val="white"/>
          <w:rtl w:val="0"/>
        </w:rPr>
        <w:t xml:space="preserve">apud</w:t>
      </w:r>
      <w:r w:rsidDel="00000000" w:rsidR="00000000" w:rsidRPr="00000000">
        <w:rPr>
          <w:rFonts w:ascii="Arial" w:cs="Arial" w:eastAsia="Arial" w:hAnsi="Arial"/>
          <w:sz w:val="24"/>
          <w:szCs w:val="24"/>
          <w:highlight w:val="white"/>
          <w:rtl w:val="0"/>
        </w:rPr>
        <w:t xml:space="preserve"> Pardo (2019) denominam eutnografia, a qual o pesquisador constrói o texto por meio de uma narrativa que analisa suas próprias vivências, ou seja, o pesquisador é o único participante do estudo. </w:t>
      </w:r>
    </w:p>
    <w:p w:rsidR="00000000" w:rsidDel="00000000" w:rsidP="00000000" w:rsidRDefault="00000000" w:rsidRPr="00000000" w14:paraId="00000028">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estudo, por se tratar de uma pesquisa autoetnográfica, é descrito com relação às próprias vivências do pesquisador e textos relacionados já escritos. Sendo assim, não foram consideradas entrevistas, mas sim, as minhas percepções como pesquisador e também próprio sujeito de minha pesquisa. Tudo ocorreu na minha vida escolar, na minha perspectiva de  ex-aluno da comunidade rural e explorador- pesquisador iniciante. Ao falarmos de exclusão falamos de pertencimento, melhor dizendo, o aluno quando exposto ao uma educação que não preza pela a sua cultura, um ensino distorcido da sua realidade, traz com ele o sentimento de despertencimento ou não merecimento, que são algumas barreiras psicológicas que influenciam a exclusão do alunos.  </w:t>
      </w:r>
      <w:r w:rsidDel="00000000" w:rsidR="00000000" w:rsidRPr="00000000">
        <w:rPr>
          <w:rtl w:val="0"/>
        </w:rPr>
      </w:r>
    </w:p>
    <w:p w:rsidR="00000000" w:rsidDel="00000000" w:rsidP="00000000" w:rsidRDefault="00000000" w:rsidRPr="00000000" w14:paraId="00000029">
      <w:pPr>
        <w:spacing w:after="0" w:before="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numPr>
          <w:ilvl w:val="0"/>
          <w:numId w:val="1"/>
        </w:numPr>
        <w:spacing w:after="0" w:before="0" w:line="36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REFERÊNCIAS</w:t>
      </w:r>
    </w:p>
    <w:p w:rsidR="00000000" w:rsidDel="00000000" w:rsidP="00000000" w:rsidRDefault="00000000" w:rsidRPr="00000000" w14:paraId="0000002B">
      <w:pPr>
        <w:widowControl w:val="0"/>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AGUIAR, André Effgen de. Aprendendo a leitura perversa do mundo: a formação com professores do ensino fundamental na perspectiva do Letramento Crítico. 2023. 242f. Tese (Doutorado em Linguística Aplicada e Estudos da Linguagem). Pontifícia Universidade Católica de São Paulo São Paulo 2023.</w:t>
      </w:r>
    </w:p>
    <w:p w:rsidR="00000000" w:rsidDel="00000000" w:rsidP="00000000" w:rsidRDefault="00000000" w:rsidRPr="00000000" w14:paraId="0000002C">
      <w:pPr>
        <w:widowControl w:val="0"/>
        <w:spacing w:after="240" w:before="24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ALENCAR, E.B.A. Formação com Professores de Língua Inglesa na rede Pública do Tocantins: cenas de letramento crítico. 2017. 268 f. Tese (Doutorado em Linguística) - Centro de Educação e Ciências Humanas Universidade Federal de São Carlos.</w:t>
      </w:r>
    </w:p>
    <w:p w:rsidR="00000000" w:rsidDel="00000000" w:rsidP="00000000" w:rsidRDefault="00000000" w:rsidRPr="00000000" w14:paraId="0000002D">
      <w:pPr>
        <w:widowControl w:val="0"/>
        <w:spacing w:after="240" w:before="24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LOPES, Luiz Paulo da Moita. A natureza social e educacional dos processos de ensino/aprendizagem de línguas. Campinas SP: Mercado de Letras 1996.</w:t>
      </w:r>
    </w:p>
    <w:p w:rsidR="00000000" w:rsidDel="00000000" w:rsidP="00000000" w:rsidRDefault="00000000" w:rsidRPr="00000000" w14:paraId="0000002E">
      <w:pPr>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after="0" w:before="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numPr>
          <w:ilvl w:val="0"/>
          <w:numId w:val="1"/>
        </w:numPr>
        <w:spacing w:after="0" w:before="0" w:line="240" w:lineRule="auto"/>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AGRADECIMENTOS</w:t>
      </w:r>
    </w:p>
    <w:p w:rsidR="00000000" w:rsidDel="00000000" w:rsidP="00000000" w:rsidRDefault="00000000" w:rsidRPr="00000000" w14:paraId="00000031">
      <w:pPr>
        <w:spacing w:after="0" w:before="0" w:line="240" w:lineRule="auto"/>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2">
      <w:pPr>
        <w:spacing w:after="0" w:before="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spacing w:after="0" w:before="0" w:line="240" w:lineRule="auto"/>
        <w:ind w:firstLine="720"/>
        <w:rPr>
          <w:rFonts w:ascii="Arial" w:cs="Arial" w:eastAsia="Arial" w:hAnsi="Arial"/>
          <w:sz w:val="24"/>
          <w:szCs w:val="24"/>
        </w:rPr>
      </w:pPr>
      <w:r w:rsidDel="00000000" w:rsidR="00000000" w:rsidRPr="00000000">
        <w:rPr>
          <w:rFonts w:ascii="Arial" w:cs="Arial" w:eastAsia="Arial" w:hAnsi="Arial"/>
          <w:color w:val="222222"/>
          <w:sz w:val="24"/>
          <w:szCs w:val="24"/>
          <w:highlight w:val="white"/>
          <w:rtl w:val="0"/>
        </w:rPr>
        <w:t xml:space="preserve">O presente trabalho foi realizado com o apoio da Fundação de Amparo à pesquisa Tocantins - FAPTO -. </w:t>
      </w:r>
      <w:r w:rsidDel="00000000" w:rsidR="00000000" w:rsidRPr="00000000">
        <w:rPr>
          <w:rtl w:val="0"/>
        </w:rPr>
      </w:r>
    </w:p>
    <w:p w:rsidR="00000000" w:rsidDel="00000000" w:rsidP="00000000" w:rsidRDefault="00000000" w:rsidRPr="00000000" w14:paraId="00000034">
      <w:pPr>
        <w:spacing w:after="0" w:before="0" w:line="240" w:lineRule="auto"/>
        <w:ind w:left="720" w:firstLine="0"/>
        <w:rPr>
          <w:rFonts w:ascii="Arial" w:cs="Arial" w:eastAsia="Arial" w:hAnsi="Arial"/>
          <w:sz w:val="24"/>
          <w:szCs w:val="24"/>
        </w:rPr>
      </w:pPr>
      <w:r w:rsidDel="00000000" w:rsidR="00000000" w:rsidRPr="00000000">
        <w:rPr>
          <w:rtl w:val="0"/>
        </w:rPr>
      </w:r>
    </w:p>
    <w:sectPr>
      <w:type w:val="continuous"/>
      <w:pgSz w:h="16838" w:w="11906" w:orient="portrait"/>
      <w:pgMar w:bottom="1418" w:top="1418"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spacing w:after="160" w:before="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spacing w:after="160" w:before="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5">
      <w:pPr>
        <w:spacing w:after="0" w:before="0" w:line="240" w:lineRule="auto"/>
        <w:ind w:left="142" w:hanging="142"/>
        <w:jc w:val="both"/>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ab/>
        <w:t xml:space="preserve"> </w:t>
      </w:r>
      <w:r w:rsidDel="00000000" w:rsidR="00000000" w:rsidRPr="00000000">
        <w:rPr>
          <w:rFonts w:ascii="Arial" w:cs="Arial" w:eastAsia="Arial" w:hAnsi="Arial"/>
          <w:sz w:val="20"/>
          <w:szCs w:val="20"/>
          <w:rtl w:val="0"/>
        </w:rPr>
        <w:t xml:space="preserve">Discente do curso de Letras Inglês e Literaturas na Universidade Federal do Norte do Tocantins (UFNT). Foi bolsista do Programa de Iniciação Científica (PIBIC). Universidade Federal do Norte do Tocantins (UFNT), Centro de Ciências Integradas (CCI). gustavo.goncalves@ufnt.edu.br.</w:t>
      </w:r>
    </w:p>
  </w:footnote>
  <w:footnote w:id="1">
    <w:p w:rsidR="00000000" w:rsidDel="00000000" w:rsidP="00000000" w:rsidRDefault="00000000" w:rsidRPr="00000000" w14:paraId="00000036">
      <w:pPr>
        <w:spacing w:after="0" w:before="0" w:line="240" w:lineRule="auto"/>
        <w:ind w:left="142" w:hanging="142"/>
        <w:jc w:val="both"/>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ab/>
        <w:t xml:space="preserve"> </w:t>
      </w:r>
      <w:r w:rsidDel="00000000" w:rsidR="00000000" w:rsidRPr="00000000">
        <w:rPr>
          <w:rFonts w:ascii="Arial" w:cs="Arial" w:eastAsia="Arial" w:hAnsi="Arial"/>
          <w:sz w:val="20"/>
          <w:szCs w:val="20"/>
          <w:rtl w:val="0"/>
        </w:rPr>
        <w:t xml:space="preserve">Professora Doutora da Faculdade de Letras Inglês e Literaturas, Universidade Federal do Norte do Tocantins (UFNT). Coordenadora do projeto de extensão. elisa.alencar@ufnt.edu.br.</w:t>
      </w:r>
    </w:p>
    <w:p w:rsidR="00000000" w:rsidDel="00000000" w:rsidP="00000000" w:rsidRDefault="00000000" w:rsidRPr="00000000" w14:paraId="00000037">
      <w:pPr>
        <w:spacing w:after="0" w:before="0" w:line="240" w:lineRule="auto"/>
        <w:ind w:left="142" w:hanging="142"/>
        <w:jc w:val="both"/>
        <w:rPr>
          <w:rFonts w:ascii="Arial" w:cs="Arial" w:eastAsia="Arial" w:hAnsi="Arial"/>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drawing>
        <wp:inline distB="0" distT="0" distL="0" distR="0">
          <wp:extent cx="5870575" cy="1919605"/>
          <wp:effectExtent b="0" l="0" r="0" t="0"/>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870575" cy="1919605"/>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widowControl w:val="1"/>
      <w:spacing w:after="160" w:before="0" w:line="259" w:lineRule="auto"/>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635</wp:posOffset>
          </wp:positionV>
          <wp:extent cx="5870575" cy="1919605"/>
          <wp:effectExtent b="0" l="0" r="0" t="0"/>
          <wp:wrapSquare wrapText="bothSides" distB="0" distT="0" distL="0" distR="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870575" cy="1919605"/>
                  </a:xfrm>
                  <a:prstGeom prst="rect"/>
                  <a:ln/>
                </pic:spPr>
              </pic:pic>
            </a:graphicData>
          </a:graphic>
        </wp:anchor>
      </w:drawing>
    </w:r>
  </w:p>
  <w:p w:rsidR="00000000" w:rsidDel="00000000" w:rsidP="00000000" w:rsidRDefault="00000000" w:rsidRPr="00000000" w14:paraId="0000003B">
    <w:pPr>
      <w:widowControl w:val="1"/>
      <w:spacing w:after="160" w:before="0" w:line="259" w:lineRule="auto"/>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Wh3Taj233q2ZtYRfTAkCDksRgg==">CgMxLjAyDmguYjJ1ZzBvcmt6dzc1OAByITFwLVpNVWxhTHo5c2VnRngyTW5seDV6TXNGaWFEY1dxYg==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