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5D50B0" w14:textId="77777777" w:rsidR="003963A3" w:rsidRPr="00090AE0" w:rsidRDefault="003963A3" w:rsidP="00C67586">
      <w:pPr>
        <w:spacing w:line="360" w:lineRule="auto"/>
        <w:ind w:left="170" w:right="113"/>
        <w:jc w:val="center"/>
        <w:rPr>
          <w:rFonts w:eastAsia="Calibri"/>
          <w:b/>
          <w:sz w:val="24"/>
          <w:lang w:eastAsia="en-US"/>
        </w:rPr>
      </w:pPr>
    </w:p>
    <w:p w14:paraId="70548C32" w14:textId="77777777" w:rsidR="004367B7" w:rsidRPr="004367B7" w:rsidRDefault="004367B7" w:rsidP="00C67586">
      <w:pPr>
        <w:spacing w:line="360" w:lineRule="auto"/>
        <w:ind w:left="170" w:right="113"/>
        <w:jc w:val="center"/>
        <w:rPr>
          <w:rFonts w:eastAsia="Calibri"/>
          <w:b/>
          <w:sz w:val="24"/>
          <w:lang w:eastAsia="en-US"/>
        </w:rPr>
      </w:pPr>
      <w:r w:rsidRPr="004367B7">
        <w:rPr>
          <w:rFonts w:eastAsia="Calibri"/>
          <w:b/>
          <w:sz w:val="24"/>
          <w:lang w:eastAsia="en-US"/>
        </w:rPr>
        <w:t>ACHADOS PÓST-MORTEM DE ACIDENTE ELAPÍDICO POR MICRURUS IBIBOBOCA EM OVINO MACHO: RELATO DE CASO</w:t>
      </w:r>
    </w:p>
    <w:p w14:paraId="2CB6A081" w14:textId="77777777" w:rsidR="00DB1935" w:rsidRPr="00090AE0" w:rsidRDefault="00DB1935" w:rsidP="004071DD">
      <w:pPr>
        <w:tabs>
          <w:tab w:val="left" w:pos="1540"/>
        </w:tabs>
        <w:spacing w:line="360" w:lineRule="auto"/>
        <w:ind w:left="-360"/>
        <w:jc w:val="right"/>
        <w:rPr>
          <w:rFonts w:eastAsia="Times New Roman"/>
          <w:sz w:val="24"/>
          <w:szCs w:val="24"/>
        </w:rPr>
      </w:pPr>
    </w:p>
    <w:p w14:paraId="5D467898" w14:textId="77777777" w:rsidR="004367B7" w:rsidRPr="004367B7" w:rsidRDefault="004367B7" w:rsidP="004367B7">
      <w:pPr>
        <w:spacing w:line="360" w:lineRule="auto"/>
        <w:ind w:left="170" w:right="113"/>
        <w:jc w:val="right"/>
        <w:rPr>
          <w:rFonts w:eastAsia="Calibri"/>
          <w:sz w:val="24"/>
          <w:lang w:eastAsia="en-US"/>
        </w:rPr>
      </w:pPr>
      <w:r w:rsidRPr="004367B7">
        <w:rPr>
          <w:rFonts w:eastAsia="Calibri"/>
          <w:sz w:val="24"/>
          <w:lang w:eastAsia="en-US"/>
        </w:rPr>
        <w:t xml:space="preserve">Antônio Vinícius Araújo Mélo </w:t>
      </w:r>
      <w:r w:rsidRPr="00090AE0">
        <w:rPr>
          <w:rFonts w:eastAsia="Calibri"/>
          <w:sz w:val="24"/>
          <w:vertAlign w:val="superscript"/>
          <w:lang w:eastAsia="en-US"/>
        </w:rPr>
        <w:footnoteReference w:id="1"/>
      </w:r>
    </w:p>
    <w:p w14:paraId="738D427F" w14:textId="77777777" w:rsidR="004367B7" w:rsidRPr="004367B7" w:rsidRDefault="004367B7" w:rsidP="004367B7">
      <w:pPr>
        <w:spacing w:line="360" w:lineRule="auto"/>
        <w:ind w:left="170" w:right="113"/>
        <w:jc w:val="right"/>
        <w:rPr>
          <w:rFonts w:eastAsia="Calibri"/>
          <w:sz w:val="24"/>
          <w:lang w:eastAsia="en-US"/>
        </w:rPr>
      </w:pPr>
      <w:r w:rsidRPr="004367B7">
        <w:rPr>
          <w:rFonts w:eastAsia="Calibri"/>
          <w:sz w:val="24"/>
          <w:lang w:eastAsia="en-US"/>
        </w:rPr>
        <w:t xml:space="preserve">Kauê Emanuel De Barros Paiva </w:t>
      </w:r>
      <w:r w:rsidRPr="00090AE0">
        <w:rPr>
          <w:rFonts w:eastAsia="Calibri"/>
          <w:sz w:val="24"/>
          <w:vertAlign w:val="superscript"/>
          <w:lang w:eastAsia="en-US"/>
        </w:rPr>
        <w:t>1</w:t>
      </w:r>
    </w:p>
    <w:p w14:paraId="0D3D014B" w14:textId="77777777" w:rsidR="004367B7" w:rsidRPr="004367B7" w:rsidRDefault="004367B7" w:rsidP="004367B7">
      <w:pPr>
        <w:spacing w:line="360" w:lineRule="auto"/>
        <w:ind w:left="170" w:right="113"/>
        <w:jc w:val="right"/>
        <w:rPr>
          <w:rFonts w:eastAsia="Calibri"/>
          <w:sz w:val="24"/>
          <w:lang w:eastAsia="en-US"/>
        </w:rPr>
      </w:pPr>
      <w:r w:rsidRPr="004367B7">
        <w:rPr>
          <w:rFonts w:eastAsia="Calibri"/>
          <w:sz w:val="24"/>
          <w:lang w:eastAsia="en-US"/>
        </w:rPr>
        <w:t xml:space="preserve">Sarah Lourenço da Silva </w:t>
      </w:r>
      <w:r w:rsidRPr="004367B7">
        <w:rPr>
          <w:rFonts w:eastAsia="Calibri"/>
          <w:sz w:val="24"/>
          <w:vertAlign w:val="superscript"/>
          <w:lang w:eastAsia="en-US"/>
        </w:rPr>
        <w:t xml:space="preserve">1 </w:t>
      </w:r>
    </w:p>
    <w:p w14:paraId="78675729" w14:textId="77777777" w:rsidR="004367B7" w:rsidRPr="004367B7" w:rsidRDefault="004367B7" w:rsidP="004367B7">
      <w:pPr>
        <w:spacing w:line="360" w:lineRule="auto"/>
        <w:ind w:left="170" w:right="113"/>
        <w:jc w:val="right"/>
        <w:rPr>
          <w:rFonts w:eastAsia="Calibri"/>
          <w:sz w:val="24"/>
          <w:lang w:eastAsia="en-US"/>
        </w:rPr>
      </w:pPr>
      <w:r w:rsidRPr="004367B7">
        <w:rPr>
          <w:rFonts w:eastAsia="Calibri"/>
          <w:sz w:val="24"/>
          <w:lang w:eastAsia="en-US"/>
        </w:rPr>
        <w:t>Stella Santos Brito</w:t>
      </w:r>
      <w:r w:rsidRPr="004367B7">
        <w:rPr>
          <w:rFonts w:eastAsia="Calibri"/>
          <w:sz w:val="24"/>
          <w:vertAlign w:val="superscript"/>
          <w:lang w:eastAsia="en-US"/>
        </w:rPr>
        <w:t xml:space="preserve"> 1 </w:t>
      </w:r>
    </w:p>
    <w:p w14:paraId="2F87B396" w14:textId="77777777" w:rsidR="004367B7" w:rsidRPr="004367B7" w:rsidRDefault="004367B7" w:rsidP="004367B7">
      <w:pPr>
        <w:spacing w:line="360" w:lineRule="auto"/>
        <w:ind w:left="170" w:right="113"/>
        <w:jc w:val="right"/>
        <w:rPr>
          <w:rFonts w:eastAsia="Calibri"/>
          <w:sz w:val="24"/>
          <w:vertAlign w:val="superscript"/>
          <w:lang w:eastAsia="en-US"/>
        </w:rPr>
      </w:pPr>
      <w:proofErr w:type="spellStart"/>
      <w:r w:rsidRPr="004367B7">
        <w:rPr>
          <w:rFonts w:eastAsia="Calibri"/>
          <w:sz w:val="24"/>
          <w:lang w:eastAsia="en-US"/>
        </w:rPr>
        <w:t>Islla</w:t>
      </w:r>
      <w:proofErr w:type="spellEnd"/>
      <w:r w:rsidRPr="004367B7">
        <w:rPr>
          <w:rFonts w:eastAsia="Calibri"/>
          <w:sz w:val="24"/>
          <w:lang w:eastAsia="en-US"/>
        </w:rPr>
        <w:t xml:space="preserve"> Raquel Medeiros Da Silva </w:t>
      </w:r>
      <w:r w:rsidRPr="00090AE0">
        <w:rPr>
          <w:rFonts w:eastAsia="Calibri"/>
          <w:sz w:val="24"/>
          <w:vertAlign w:val="superscript"/>
          <w:lang w:eastAsia="en-US"/>
        </w:rPr>
        <w:footnoteReference w:id="2"/>
      </w:r>
    </w:p>
    <w:p w14:paraId="2B6831DA" w14:textId="77777777" w:rsidR="009140D1" w:rsidRPr="00090AE0" w:rsidRDefault="009140D1" w:rsidP="009140D1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sz w:val="24"/>
          <w:szCs w:val="24"/>
        </w:rPr>
      </w:pPr>
    </w:p>
    <w:p w14:paraId="711CF01E" w14:textId="77777777" w:rsidR="004071DD" w:rsidRPr="00090AE0" w:rsidRDefault="004071DD" w:rsidP="004071DD">
      <w:pPr>
        <w:spacing w:line="360" w:lineRule="auto"/>
        <w:jc w:val="center"/>
        <w:rPr>
          <w:sz w:val="24"/>
          <w:szCs w:val="24"/>
        </w:rPr>
      </w:pPr>
      <w:r w:rsidRPr="00090AE0">
        <w:rPr>
          <w:rFonts w:eastAsia="Times New Roman"/>
          <w:b/>
          <w:bCs/>
          <w:sz w:val="24"/>
          <w:szCs w:val="24"/>
        </w:rPr>
        <w:t>RESUMO</w:t>
      </w:r>
    </w:p>
    <w:p w14:paraId="3F0AA465" w14:textId="77777777" w:rsidR="004367B7" w:rsidRPr="004367B7" w:rsidRDefault="004367B7" w:rsidP="004367B7">
      <w:pPr>
        <w:spacing w:line="360" w:lineRule="auto"/>
        <w:ind w:left="170" w:right="113"/>
        <w:jc w:val="both"/>
        <w:rPr>
          <w:rFonts w:eastAsia="Calibri"/>
          <w:sz w:val="24"/>
          <w:lang w:eastAsia="en-US"/>
        </w:rPr>
      </w:pPr>
      <w:r w:rsidRPr="004367B7">
        <w:rPr>
          <w:rFonts w:eastAsia="Calibri"/>
          <w:sz w:val="24"/>
          <w:lang w:eastAsia="en-US"/>
        </w:rPr>
        <w:t xml:space="preserve">Acidente ofídico é um quadro de envenenamento por picada de cobra causado pelas toxinas presentes nos dentes inoculadores de veneno. Relata-se a ocorrência de um acidente ofídico em um ovino, da raça santa Inês, no município de Brasileira no estado do Piauí, causado por uma cobra do gênero </w:t>
      </w:r>
      <w:proofErr w:type="spellStart"/>
      <w:r w:rsidRPr="004367B7">
        <w:rPr>
          <w:rFonts w:eastAsia="Calibri"/>
          <w:i/>
          <w:sz w:val="24"/>
          <w:lang w:eastAsia="en-US"/>
        </w:rPr>
        <w:t>Micrurus</w:t>
      </w:r>
      <w:proofErr w:type="spellEnd"/>
      <w:r w:rsidRPr="004367B7">
        <w:rPr>
          <w:rFonts w:eastAsia="Calibri"/>
          <w:i/>
          <w:sz w:val="24"/>
          <w:lang w:eastAsia="en-US"/>
        </w:rPr>
        <w:t xml:space="preserve"> </w:t>
      </w:r>
      <w:proofErr w:type="spellStart"/>
      <w:r w:rsidRPr="004367B7">
        <w:rPr>
          <w:rFonts w:eastAsia="Calibri"/>
          <w:i/>
          <w:sz w:val="24"/>
          <w:lang w:eastAsia="en-US"/>
        </w:rPr>
        <w:t>ibiboboca</w:t>
      </w:r>
      <w:proofErr w:type="spellEnd"/>
      <w:r w:rsidRPr="004367B7">
        <w:rPr>
          <w:rFonts w:eastAsia="Calibri"/>
          <w:sz w:val="24"/>
          <w:lang w:eastAsia="en-US"/>
        </w:rPr>
        <w:t xml:space="preserve"> em um borrego de aproximadamente 120 dias de vida, pesando 32kg, apresentando cansaço excessivo, apatia, </w:t>
      </w:r>
      <w:proofErr w:type="spellStart"/>
      <w:r w:rsidRPr="004367B7">
        <w:rPr>
          <w:rFonts w:eastAsia="Calibri"/>
          <w:sz w:val="24"/>
          <w:lang w:eastAsia="en-US"/>
        </w:rPr>
        <w:t>hiporexia</w:t>
      </w:r>
      <w:proofErr w:type="spellEnd"/>
      <w:r w:rsidRPr="004367B7">
        <w:rPr>
          <w:rFonts w:eastAsia="Calibri"/>
          <w:sz w:val="24"/>
          <w:lang w:eastAsia="en-US"/>
        </w:rPr>
        <w:t xml:space="preserve">, </w:t>
      </w:r>
      <w:proofErr w:type="spellStart"/>
      <w:r w:rsidRPr="004367B7">
        <w:rPr>
          <w:rFonts w:eastAsia="Calibri"/>
          <w:sz w:val="24"/>
          <w:lang w:eastAsia="en-US"/>
        </w:rPr>
        <w:t>sialorreia</w:t>
      </w:r>
      <w:proofErr w:type="spellEnd"/>
      <w:r w:rsidRPr="004367B7">
        <w:rPr>
          <w:rFonts w:eastAsia="Calibri"/>
          <w:sz w:val="24"/>
          <w:lang w:eastAsia="en-US"/>
        </w:rPr>
        <w:t xml:space="preserve">, </w:t>
      </w:r>
      <w:proofErr w:type="spellStart"/>
      <w:r w:rsidRPr="004367B7">
        <w:rPr>
          <w:rFonts w:eastAsia="Calibri"/>
          <w:sz w:val="24"/>
          <w:lang w:eastAsia="en-US"/>
        </w:rPr>
        <w:t>adipsia</w:t>
      </w:r>
      <w:proofErr w:type="spellEnd"/>
      <w:r w:rsidRPr="004367B7">
        <w:rPr>
          <w:rFonts w:eastAsia="Calibri"/>
          <w:sz w:val="24"/>
          <w:lang w:eastAsia="en-US"/>
        </w:rPr>
        <w:t xml:space="preserve">, dispneia, </w:t>
      </w:r>
      <w:proofErr w:type="spellStart"/>
      <w:r w:rsidRPr="004367B7">
        <w:rPr>
          <w:rFonts w:eastAsia="Calibri"/>
          <w:sz w:val="24"/>
          <w:lang w:eastAsia="en-US"/>
        </w:rPr>
        <w:t>epistaxe</w:t>
      </w:r>
      <w:proofErr w:type="spellEnd"/>
      <w:r w:rsidRPr="004367B7">
        <w:rPr>
          <w:rFonts w:eastAsia="Calibri"/>
          <w:sz w:val="24"/>
          <w:lang w:eastAsia="en-US"/>
        </w:rPr>
        <w:t xml:space="preserve"> e ataxia. Inicialmente foi realizada a fluidoterapia como tratamento de suporte. De acordo com o laudo de necropsia, foi constatado edema na região direita do pescoço e, ao corte, o tecido subcutâneo encontrava-se edematoso e hemorrágico. No interior da traqueia havia áreas de congestão e espuma. Os pulmões apresentavam-se com áreas de congestão com coloração vermelho-escura. Havia áreas de congestão e presença de coágulo </w:t>
      </w:r>
      <w:proofErr w:type="spellStart"/>
      <w:r w:rsidRPr="004367B7">
        <w:rPr>
          <w:rFonts w:eastAsia="Calibri"/>
          <w:sz w:val="24"/>
          <w:lang w:eastAsia="en-US"/>
        </w:rPr>
        <w:t>cruórico</w:t>
      </w:r>
      <w:proofErr w:type="spellEnd"/>
      <w:r w:rsidRPr="004367B7">
        <w:rPr>
          <w:rFonts w:eastAsia="Calibri"/>
          <w:sz w:val="24"/>
          <w:lang w:eastAsia="en-US"/>
        </w:rPr>
        <w:t xml:space="preserve"> no coração. Na mucosa </w:t>
      </w:r>
      <w:proofErr w:type="spellStart"/>
      <w:r w:rsidRPr="004367B7">
        <w:rPr>
          <w:rFonts w:eastAsia="Calibri"/>
          <w:sz w:val="24"/>
          <w:lang w:eastAsia="en-US"/>
        </w:rPr>
        <w:t>ruminal</w:t>
      </w:r>
      <w:proofErr w:type="spellEnd"/>
      <w:r w:rsidRPr="004367B7">
        <w:rPr>
          <w:rFonts w:eastAsia="Calibri"/>
          <w:sz w:val="24"/>
          <w:lang w:eastAsia="en-US"/>
        </w:rPr>
        <w:t xml:space="preserve"> havia áreas </w:t>
      </w:r>
      <w:proofErr w:type="spellStart"/>
      <w:r w:rsidRPr="004367B7">
        <w:rPr>
          <w:rFonts w:eastAsia="Calibri"/>
          <w:sz w:val="24"/>
          <w:lang w:eastAsia="en-US"/>
        </w:rPr>
        <w:t>hiperêmicas</w:t>
      </w:r>
      <w:proofErr w:type="spellEnd"/>
      <w:r w:rsidRPr="004367B7">
        <w:rPr>
          <w:rFonts w:eastAsia="Calibri"/>
          <w:sz w:val="24"/>
          <w:lang w:eastAsia="en-US"/>
        </w:rPr>
        <w:t xml:space="preserve"> e congestas. No fígado foi verificada congestão, bordas vermelho-escuras, com presença de coágulo </w:t>
      </w:r>
      <w:proofErr w:type="spellStart"/>
      <w:r w:rsidRPr="004367B7">
        <w:rPr>
          <w:rFonts w:eastAsia="Calibri"/>
          <w:sz w:val="24"/>
          <w:lang w:eastAsia="en-US"/>
        </w:rPr>
        <w:t>cruórico</w:t>
      </w:r>
      <w:proofErr w:type="spellEnd"/>
      <w:r w:rsidRPr="004367B7">
        <w:rPr>
          <w:rFonts w:eastAsia="Calibri"/>
          <w:sz w:val="24"/>
          <w:lang w:eastAsia="en-US"/>
        </w:rPr>
        <w:t xml:space="preserve"> e aspecto friável. Este caso relata a letalidade do veneno da </w:t>
      </w:r>
      <w:proofErr w:type="spellStart"/>
      <w:r w:rsidRPr="004367B7">
        <w:rPr>
          <w:rFonts w:eastAsia="Calibri"/>
          <w:i/>
          <w:sz w:val="24"/>
          <w:lang w:eastAsia="en-US"/>
        </w:rPr>
        <w:t>Micrurus</w:t>
      </w:r>
      <w:proofErr w:type="spellEnd"/>
      <w:r w:rsidRPr="004367B7">
        <w:rPr>
          <w:rFonts w:eastAsia="Calibri"/>
          <w:i/>
          <w:sz w:val="24"/>
          <w:lang w:eastAsia="en-US"/>
        </w:rPr>
        <w:t xml:space="preserve"> </w:t>
      </w:r>
      <w:proofErr w:type="spellStart"/>
      <w:r w:rsidRPr="004367B7">
        <w:rPr>
          <w:rFonts w:eastAsia="Calibri"/>
          <w:i/>
          <w:sz w:val="24"/>
          <w:lang w:eastAsia="en-US"/>
        </w:rPr>
        <w:t>ibiboboca</w:t>
      </w:r>
      <w:proofErr w:type="spellEnd"/>
      <w:r w:rsidRPr="004367B7">
        <w:rPr>
          <w:rFonts w:eastAsia="Calibri"/>
          <w:sz w:val="24"/>
          <w:lang w:eastAsia="en-US"/>
        </w:rPr>
        <w:t xml:space="preserve"> e a limitada eficácia da fluido terapia isolada em casos de envenenamento grave. Destaca-se a necessidade de intervenções mais específicas, como uso de </w:t>
      </w:r>
      <w:proofErr w:type="spellStart"/>
      <w:r w:rsidRPr="004367B7">
        <w:rPr>
          <w:rFonts w:eastAsia="Calibri"/>
          <w:sz w:val="24"/>
          <w:lang w:eastAsia="en-US"/>
        </w:rPr>
        <w:t>antiveneno</w:t>
      </w:r>
      <w:proofErr w:type="spellEnd"/>
      <w:r w:rsidRPr="004367B7">
        <w:rPr>
          <w:rFonts w:eastAsia="Calibri"/>
          <w:sz w:val="24"/>
          <w:lang w:eastAsia="en-US"/>
        </w:rPr>
        <w:t>, para melhorar as chances de sobrevivência em tais incidentes.</w:t>
      </w:r>
    </w:p>
    <w:p w14:paraId="20DF6BAE" w14:textId="77777777" w:rsidR="004367B7" w:rsidRPr="00090AE0" w:rsidRDefault="004367B7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562ECBD6" w14:textId="2C6F1BB6" w:rsidR="004071DD" w:rsidRPr="00090AE0" w:rsidRDefault="004071DD" w:rsidP="00090AE0">
      <w:pPr>
        <w:spacing w:line="360" w:lineRule="auto"/>
        <w:ind w:right="113"/>
        <w:rPr>
          <w:rFonts w:eastAsia="Times New Roman"/>
          <w:sz w:val="24"/>
          <w:szCs w:val="24"/>
        </w:rPr>
      </w:pPr>
      <w:r w:rsidRPr="00090AE0">
        <w:rPr>
          <w:rFonts w:eastAsia="Times New Roman"/>
          <w:b/>
          <w:bCs/>
          <w:sz w:val="24"/>
          <w:szCs w:val="24"/>
        </w:rPr>
        <w:lastRenderedPageBreak/>
        <w:t xml:space="preserve">Palavras-chave: </w:t>
      </w:r>
      <w:proofErr w:type="spellStart"/>
      <w:r w:rsidR="00162049" w:rsidRPr="00090AE0">
        <w:rPr>
          <w:rFonts w:eastAsia="Times New Roman"/>
          <w:sz w:val="24"/>
          <w:szCs w:val="24"/>
        </w:rPr>
        <w:t>Elapídico</w:t>
      </w:r>
      <w:proofErr w:type="spellEnd"/>
      <w:r w:rsidR="00162049" w:rsidRPr="00090AE0">
        <w:rPr>
          <w:rFonts w:eastAsia="Times New Roman"/>
          <w:sz w:val="24"/>
          <w:szCs w:val="24"/>
        </w:rPr>
        <w:t xml:space="preserve">; </w:t>
      </w:r>
      <w:proofErr w:type="spellStart"/>
      <w:r w:rsidR="00162049" w:rsidRPr="00090AE0">
        <w:rPr>
          <w:rFonts w:eastAsia="Times New Roman"/>
          <w:sz w:val="24"/>
          <w:szCs w:val="24"/>
        </w:rPr>
        <w:t>Micrurus</w:t>
      </w:r>
      <w:proofErr w:type="spellEnd"/>
      <w:r w:rsidR="00162049" w:rsidRPr="00090AE0">
        <w:rPr>
          <w:rFonts w:eastAsia="Times New Roman"/>
          <w:sz w:val="24"/>
          <w:szCs w:val="24"/>
        </w:rPr>
        <w:t>; Borrego; Necropsia; Congestão.</w:t>
      </w:r>
    </w:p>
    <w:p w14:paraId="6DED4AE6" w14:textId="77777777" w:rsidR="003963A3" w:rsidRPr="00090AE0" w:rsidRDefault="003963A3" w:rsidP="00C67586">
      <w:pPr>
        <w:spacing w:line="360" w:lineRule="auto"/>
        <w:ind w:left="170" w:right="113"/>
        <w:rPr>
          <w:rFonts w:eastAsia="Times New Roman"/>
          <w:sz w:val="24"/>
          <w:szCs w:val="24"/>
        </w:rPr>
      </w:pPr>
    </w:p>
    <w:p w14:paraId="33B79254" w14:textId="77777777" w:rsidR="004071DD" w:rsidRPr="00090AE0" w:rsidRDefault="004071DD" w:rsidP="004071DD">
      <w:pPr>
        <w:spacing w:line="360" w:lineRule="auto"/>
        <w:rPr>
          <w:sz w:val="24"/>
          <w:szCs w:val="24"/>
        </w:rPr>
      </w:pPr>
      <w:bookmarkStart w:id="0" w:name="page2"/>
      <w:bookmarkEnd w:id="0"/>
      <w:r w:rsidRPr="00090AE0">
        <w:rPr>
          <w:rFonts w:eastAsia="Times New Roman"/>
          <w:b/>
          <w:bCs/>
          <w:sz w:val="24"/>
          <w:szCs w:val="24"/>
        </w:rPr>
        <w:t>1 INTRODUÇÃO</w:t>
      </w:r>
    </w:p>
    <w:p w14:paraId="69029B49" w14:textId="77777777" w:rsidR="00162049" w:rsidRPr="00162049" w:rsidRDefault="00162049" w:rsidP="00162049">
      <w:pPr>
        <w:spacing w:line="360" w:lineRule="auto"/>
        <w:ind w:left="170" w:right="113" w:firstLine="709"/>
        <w:contextualSpacing/>
        <w:jc w:val="both"/>
        <w:rPr>
          <w:rFonts w:eastAsia="Calibri"/>
          <w:sz w:val="24"/>
          <w:lang w:eastAsia="en-US"/>
        </w:rPr>
      </w:pPr>
      <w:r w:rsidRPr="00162049">
        <w:rPr>
          <w:rFonts w:eastAsia="Calibri"/>
          <w:sz w:val="24"/>
          <w:lang w:eastAsia="en-US"/>
        </w:rPr>
        <w:t xml:space="preserve">O gênero </w:t>
      </w:r>
      <w:proofErr w:type="spellStart"/>
      <w:r w:rsidRPr="00162049">
        <w:rPr>
          <w:rFonts w:eastAsia="Calibri"/>
          <w:sz w:val="24"/>
          <w:lang w:eastAsia="en-US"/>
        </w:rPr>
        <w:t>Micrurus</w:t>
      </w:r>
      <w:proofErr w:type="spellEnd"/>
      <w:r w:rsidRPr="00162049">
        <w:rPr>
          <w:rFonts w:eastAsia="Calibri"/>
          <w:sz w:val="24"/>
          <w:lang w:eastAsia="en-US"/>
        </w:rPr>
        <w:t xml:space="preserve"> (coral verdadeira) é o principal representante de importância médica da família </w:t>
      </w:r>
      <w:proofErr w:type="spellStart"/>
      <w:r w:rsidRPr="00162049">
        <w:rPr>
          <w:rFonts w:eastAsia="Calibri"/>
          <w:sz w:val="24"/>
          <w:lang w:eastAsia="en-US"/>
        </w:rPr>
        <w:t>Elapidae</w:t>
      </w:r>
      <w:proofErr w:type="spellEnd"/>
      <w:r w:rsidRPr="00162049">
        <w:rPr>
          <w:rFonts w:eastAsia="Calibri"/>
          <w:sz w:val="24"/>
          <w:lang w:eastAsia="en-US"/>
        </w:rPr>
        <w:t xml:space="preserve"> no Brasil. Com cerca de 22 espécies, seis são principais para saúde pública no Brasil: </w:t>
      </w:r>
      <w:proofErr w:type="spellStart"/>
      <w:r w:rsidRPr="00162049">
        <w:rPr>
          <w:rFonts w:eastAsia="Calibri"/>
          <w:sz w:val="24"/>
          <w:lang w:eastAsia="en-US"/>
        </w:rPr>
        <w:t>Micrurus</w:t>
      </w:r>
      <w:proofErr w:type="spellEnd"/>
      <w:r w:rsidRPr="00162049">
        <w:rPr>
          <w:rFonts w:eastAsia="Calibri"/>
          <w:sz w:val="24"/>
          <w:lang w:eastAsia="en-US"/>
        </w:rPr>
        <w:t xml:space="preserve"> </w:t>
      </w:r>
      <w:proofErr w:type="spellStart"/>
      <w:r w:rsidRPr="00162049">
        <w:rPr>
          <w:rFonts w:eastAsia="Calibri"/>
          <w:sz w:val="24"/>
          <w:lang w:eastAsia="en-US"/>
        </w:rPr>
        <w:t>corallinus</w:t>
      </w:r>
      <w:proofErr w:type="spellEnd"/>
      <w:r w:rsidRPr="00162049">
        <w:rPr>
          <w:rFonts w:eastAsia="Calibri"/>
          <w:sz w:val="24"/>
          <w:lang w:eastAsia="en-US"/>
        </w:rPr>
        <w:t xml:space="preserve"> (anéis pretos simples, regiões Sudeste e Sul e litoral da Bahia); </w:t>
      </w:r>
      <w:proofErr w:type="spellStart"/>
      <w:r w:rsidRPr="00162049">
        <w:rPr>
          <w:rFonts w:eastAsia="Calibri"/>
          <w:sz w:val="24"/>
          <w:lang w:eastAsia="en-US"/>
        </w:rPr>
        <w:t>Micrurus</w:t>
      </w:r>
      <w:proofErr w:type="spellEnd"/>
      <w:r w:rsidRPr="00162049">
        <w:rPr>
          <w:rFonts w:eastAsia="Calibri"/>
          <w:sz w:val="24"/>
          <w:lang w:eastAsia="en-US"/>
        </w:rPr>
        <w:t xml:space="preserve"> </w:t>
      </w:r>
      <w:proofErr w:type="spellStart"/>
      <w:r w:rsidRPr="00162049">
        <w:rPr>
          <w:rFonts w:eastAsia="Calibri"/>
          <w:sz w:val="24"/>
          <w:lang w:eastAsia="en-US"/>
        </w:rPr>
        <w:t>frontalis</w:t>
      </w:r>
      <w:proofErr w:type="spellEnd"/>
      <w:r w:rsidRPr="00162049">
        <w:rPr>
          <w:rFonts w:eastAsia="Calibri"/>
          <w:sz w:val="24"/>
          <w:lang w:eastAsia="en-US"/>
        </w:rPr>
        <w:t xml:space="preserve"> (sete espécies de anéis em tríades, regiões Sul, Sudeste e Centro-Oeste); </w:t>
      </w:r>
      <w:proofErr w:type="spellStart"/>
      <w:r w:rsidRPr="00162049">
        <w:rPr>
          <w:rFonts w:eastAsia="Calibri"/>
          <w:sz w:val="24"/>
          <w:lang w:eastAsia="en-US"/>
        </w:rPr>
        <w:t>Micrurus</w:t>
      </w:r>
      <w:proofErr w:type="spellEnd"/>
      <w:r w:rsidRPr="00162049">
        <w:rPr>
          <w:rFonts w:eastAsia="Calibri"/>
          <w:sz w:val="24"/>
          <w:lang w:eastAsia="en-US"/>
        </w:rPr>
        <w:t xml:space="preserve"> </w:t>
      </w:r>
      <w:proofErr w:type="spellStart"/>
      <w:r w:rsidRPr="00162049">
        <w:rPr>
          <w:rFonts w:eastAsia="Calibri"/>
          <w:sz w:val="24"/>
          <w:lang w:eastAsia="en-US"/>
        </w:rPr>
        <w:t>ibiboboca</w:t>
      </w:r>
      <w:proofErr w:type="spellEnd"/>
      <w:r w:rsidRPr="00162049">
        <w:rPr>
          <w:rFonts w:eastAsia="Calibri"/>
          <w:sz w:val="24"/>
          <w:lang w:eastAsia="en-US"/>
        </w:rPr>
        <w:t xml:space="preserve"> (focinho branco, interior da região Nordeste); </w:t>
      </w:r>
      <w:proofErr w:type="spellStart"/>
      <w:r w:rsidRPr="00162049">
        <w:rPr>
          <w:rFonts w:eastAsia="Calibri"/>
          <w:sz w:val="24"/>
          <w:lang w:eastAsia="en-US"/>
        </w:rPr>
        <w:t>Micrurus</w:t>
      </w:r>
      <w:proofErr w:type="spellEnd"/>
      <w:r w:rsidRPr="00162049">
        <w:rPr>
          <w:rFonts w:eastAsia="Calibri"/>
          <w:sz w:val="24"/>
          <w:lang w:eastAsia="en-US"/>
        </w:rPr>
        <w:t xml:space="preserve"> </w:t>
      </w:r>
      <w:proofErr w:type="spellStart"/>
      <w:r w:rsidRPr="00162049">
        <w:rPr>
          <w:rFonts w:eastAsia="Calibri"/>
          <w:sz w:val="24"/>
          <w:lang w:eastAsia="en-US"/>
        </w:rPr>
        <w:t>lemniscatus</w:t>
      </w:r>
      <w:proofErr w:type="spellEnd"/>
      <w:r w:rsidRPr="00162049">
        <w:rPr>
          <w:rFonts w:eastAsia="Calibri"/>
          <w:sz w:val="24"/>
          <w:lang w:eastAsia="en-US"/>
        </w:rPr>
        <w:t xml:space="preserve"> (pode alcançar 1,5m de comprimento, presente na Bacia Amazônica, cerrado central, litoral do Nordeste até o Rio de Janeiro); </w:t>
      </w:r>
      <w:proofErr w:type="spellStart"/>
      <w:r w:rsidRPr="00162049">
        <w:rPr>
          <w:rFonts w:eastAsia="Calibri"/>
          <w:sz w:val="24"/>
          <w:lang w:eastAsia="en-US"/>
        </w:rPr>
        <w:t>Micrurus</w:t>
      </w:r>
      <w:proofErr w:type="spellEnd"/>
      <w:r w:rsidRPr="00162049">
        <w:rPr>
          <w:rFonts w:eastAsia="Calibri"/>
          <w:sz w:val="24"/>
          <w:lang w:eastAsia="en-US"/>
        </w:rPr>
        <w:t xml:space="preserve"> </w:t>
      </w:r>
      <w:proofErr w:type="spellStart"/>
      <w:r w:rsidRPr="00162049">
        <w:rPr>
          <w:rFonts w:eastAsia="Calibri"/>
          <w:sz w:val="24"/>
          <w:lang w:eastAsia="en-US"/>
        </w:rPr>
        <w:t>spixii</w:t>
      </w:r>
      <w:proofErr w:type="spellEnd"/>
      <w:r w:rsidRPr="00162049">
        <w:rPr>
          <w:rFonts w:eastAsia="Calibri"/>
          <w:sz w:val="24"/>
          <w:lang w:eastAsia="en-US"/>
        </w:rPr>
        <w:t xml:space="preserve"> (bacia Amazônica) e </w:t>
      </w:r>
      <w:proofErr w:type="spellStart"/>
      <w:r w:rsidRPr="00162049">
        <w:rPr>
          <w:rFonts w:eastAsia="Calibri"/>
          <w:sz w:val="24"/>
          <w:lang w:eastAsia="en-US"/>
        </w:rPr>
        <w:t>Micrurus</w:t>
      </w:r>
      <w:proofErr w:type="spellEnd"/>
      <w:r w:rsidRPr="00162049">
        <w:rPr>
          <w:rFonts w:eastAsia="Calibri"/>
          <w:sz w:val="24"/>
          <w:lang w:eastAsia="en-US"/>
        </w:rPr>
        <w:t xml:space="preserve"> </w:t>
      </w:r>
      <w:proofErr w:type="spellStart"/>
      <w:r w:rsidRPr="00162049">
        <w:rPr>
          <w:rFonts w:eastAsia="Calibri"/>
          <w:sz w:val="24"/>
          <w:lang w:eastAsia="en-US"/>
        </w:rPr>
        <w:t>surinamensis</w:t>
      </w:r>
      <w:proofErr w:type="spellEnd"/>
      <w:r w:rsidRPr="00162049">
        <w:rPr>
          <w:rFonts w:eastAsia="Calibri"/>
          <w:sz w:val="24"/>
          <w:lang w:eastAsia="en-US"/>
        </w:rPr>
        <w:t xml:space="preserve"> (hábitos aquáticos, habita a bacia Amazônica). Os hábitos </w:t>
      </w:r>
      <w:proofErr w:type="spellStart"/>
      <w:r w:rsidRPr="00162049">
        <w:rPr>
          <w:rFonts w:eastAsia="Calibri"/>
          <w:sz w:val="24"/>
          <w:lang w:eastAsia="en-US"/>
        </w:rPr>
        <w:t>fossorais</w:t>
      </w:r>
      <w:proofErr w:type="spellEnd"/>
      <w:r w:rsidRPr="00162049">
        <w:rPr>
          <w:rFonts w:eastAsia="Calibri"/>
          <w:sz w:val="24"/>
          <w:lang w:eastAsia="en-US"/>
        </w:rPr>
        <w:t xml:space="preserve"> (vivem enterradas, habitando, preferencialmente, buracos), os reduzidos tamanhos das presas inoculadoras de veneno e a pequena abertura bucal podem explicar o reduzido número de acidentes registrados por esse gênero (MINISTÉRIO DA SAÚDE, 2009). </w:t>
      </w:r>
    </w:p>
    <w:p w14:paraId="240C2024" w14:textId="77777777" w:rsidR="00162049" w:rsidRPr="00162049" w:rsidRDefault="00162049" w:rsidP="00162049">
      <w:pPr>
        <w:spacing w:line="360" w:lineRule="auto"/>
        <w:ind w:left="170" w:right="113" w:firstLine="709"/>
        <w:contextualSpacing/>
        <w:jc w:val="both"/>
        <w:rPr>
          <w:rFonts w:eastAsia="Calibri"/>
          <w:sz w:val="24"/>
          <w:lang w:eastAsia="en-US"/>
        </w:rPr>
      </w:pPr>
      <w:r w:rsidRPr="00162049">
        <w:rPr>
          <w:rFonts w:eastAsia="Calibri"/>
          <w:sz w:val="24"/>
          <w:lang w:eastAsia="en-US"/>
        </w:rPr>
        <w:t xml:space="preserve">O gênero </w:t>
      </w:r>
      <w:proofErr w:type="spellStart"/>
      <w:r w:rsidRPr="00162049">
        <w:rPr>
          <w:rFonts w:eastAsia="Calibri"/>
          <w:sz w:val="24"/>
          <w:lang w:eastAsia="en-US"/>
        </w:rPr>
        <w:t>Micrurus</w:t>
      </w:r>
      <w:proofErr w:type="spellEnd"/>
      <w:r w:rsidRPr="00162049">
        <w:rPr>
          <w:rFonts w:eastAsia="Calibri"/>
          <w:sz w:val="24"/>
          <w:lang w:eastAsia="en-US"/>
        </w:rPr>
        <w:t xml:space="preserve"> compreende 18 espécies, distribuídas por todo o território nacional. São animais de pequeno e médio porte com tamanho em torno de 1,0 m, conhecidos popularmente por coral, coral verdadeira ou boicorá. Apresentam anéis vermelhos, pretos e brancos em qualquer tipo de combinação. Na região Amazônica e áreas limítrofes, são encontrados corais de cor marrom-escura (quase negra), com manchas avermelhadas na região ventral (FUNASA, 2001). </w:t>
      </w:r>
    </w:p>
    <w:p w14:paraId="0039D45B" w14:textId="77777777" w:rsidR="00162049" w:rsidRPr="00162049" w:rsidRDefault="00162049" w:rsidP="00162049">
      <w:pPr>
        <w:spacing w:line="360" w:lineRule="auto"/>
        <w:ind w:left="170" w:right="113" w:firstLine="709"/>
        <w:contextualSpacing/>
        <w:jc w:val="both"/>
        <w:rPr>
          <w:rFonts w:eastAsia="Calibri"/>
          <w:sz w:val="24"/>
          <w:lang w:eastAsia="en-US"/>
        </w:rPr>
      </w:pPr>
      <w:r w:rsidRPr="00162049">
        <w:rPr>
          <w:rFonts w:eastAsia="Calibri"/>
          <w:sz w:val="24"/>
          <w:lang w:eastAsia="en-US"/>
        </w:rPr>
        <w:t xml:space="preserve">O acidente </w:t>
      </w:r>
      <w:proofErr w:type="spellStart"/>
      <w:r w:rsidRPr="00162049">
        <w:rPr>
          <w:rFonts w:eastAsia="Calibri"/>
          <w:sz w:val="24"/>
          <w:lang w:eastAsia="en-US"/>
        </w:rPr>
        <w:t>elapídico</w:t>
      </w:r>
      <w:proofErr w:type="spellEnd"/>
      <w:r w:rsidRPr="00162049">
        <w:rPr>
          <w:rFonts w:eastAsia="Calibri"/>
          <w:sz w:val="24"/>
          <w:lang w:eastAsia="en-US"/>
        </w:rPr>
        <w:t xml:space="preserve"> corresponde a 0,4% dos acidentes por serpentes peçonhentas registrados no Brasil. Pode evoluir para insuficiência respiratória aguda, causa de óbito neste tipo de envenenamento. Os constituintes tóxicos do veneno são denominados neurotoxinas (</w:t>
      </w:r>
      <w:proofErr w:type="spellStart"/>
      <w:r w:rsidRPr="00162049">
        <w:rPr>
          <w:rFonts w:eastAsia="Calibri"/>
          <w:sz w:val="24"/>
          <w:lang w:eastAsia="en-US"/>
        </w:rPr>
        <w:t>NTXs</w:t>
      </w:r>
      <w:proofErr w:type="spellEnd"/>
      <w:r w:rsidRPr="00162049">
        <w:rPr>
          <w:rFonts w:eastAsia="Calibri"/>
          <w:sz w:val="24"/>
          <w:lang w:eastAsia="en-US"/>
        </w:rPr>
        <w:t xml:space="preserve">) (FUNASA, 2001). </w:t>
      </w:r>
    </w:p>
    <w:p w14:paraId="23884F56" w14:textId="15A398EE" w:rsidR="00717707" w:rsidRPr="00162049" w:rsidRDefault="00162049" w:rsidP="00717707">
      <w:pPr>
        <w:spacing w:line="360" w:lineRule="auto"/>
        <w:ind w:left="170" w:right="113" w:firstLine="709"/>
        <w:contextualSpacing/>
        <w:jc w:val="both"/>
        <w:rPr>
          <w:rFonts w:eastAsia="Calibri"/>
          <w:sz w:val="24"/>
          <w:lang w:eastAsia="en-US"/>
        </w:rPr>
      </w:pPr>
      <w:r w:rsidRPr="00162049">
        <w:rPr>
          <w:rFonts w:eastAsia="Calibri"/>
          <w:sz w:val="24"/>
          <w:lang w:eastAsia="en-US"/>
        </w:rPr>
        <w:t xml:space="preserve">A NTX de ação pós-sináptica existe em todos os venenos </w:t>
      </w:r>
      <w:proofErr w:type="spellStart"/>
      <w:r w:rsidRPr="00162049">
        <w:rPr>
          <w:rFonts w:eastAsia="Calibri"/>
          <w:sz w:val="24"/>
          <w:lang w:eastAsia="en-US"/>
        </w:rPr>
        <w:t>elapídicos</w:t>
      </w:r>
      <w:proofErr w:type="spellEnd"/>
      <w:r w:rsidRPr="00162049">
        <w:rPr>
          <w:rFonts w:eastAsia="Calibri"/>
          <w:sz w:val="24"/>
          <w:lang w:eastAsia="en-US"/>
        </w:rPr>
        <w:t xml:space="preserve"> até agora estudados. Em razão do seu baixo peso molecular podem ser rapidamente absorvidas para a circulação sistêmica, difundidas para os tecidos, explicando a precocidade dos sintomas de envenenamento. </w:t>
      </w:r>
    </w:p>
    <w:p w14:paraId="6864BFCD" w14:textId="0DCB86CB" w:rsidR="00162049" w:rsidRPr="00090AE0" w:rsidRDefault="00162049" w:rsidP="00735E2D">
      <w:pPr>
        <w:spacing w:line="360" w:lineRule="auto"/>
        <w:ind w:left="170" w:right="113" w:firstLine="709"/>
        <w:contextualSpacing/>
        <w:jc w:val="both"/>
        <w:rPr>
          <w:rFonts w:eastAsia="Calibri"/>
          <w:sz w:val="24"/>
          <w:lang w:eastAsia="en-US"/>
        </w:rPr>
      </w:pPr>
      <w:r w:rsidRPr="00162049">
        <w:rPr>
          <w:rFonts w:eastAsia="Calibri"/>
          <w:sz w:val="24"/>
          <w:lang w:eastAsia="en-US"/>
        </w:rPr>
        <w:t xml:space="preserve">As </w:t>
      </w:r>
      <w:proofErr w:type="spellStart"/>
      <w:r w:rsidRPr="00162049">
        <w:rPr>
          <w:rFonts w:eastAsia="Calibri"/>
          <w:sz w:val="24"/>
          <w:lang w:eastAsia="en-US"/>
        </w:rPr>
        <w:t>NTXs</w:t>
      </w:r>
      <w:proofErr w:type="spellEnd"/>
      <w:r w:rsidRPr="00162049">
        <w:rPr>
          <w:rFonts w:eastAsia="Calibri"/>
          <w:sz w:val="24"/>
          <w:lang w:eastAsia="en-US"/>
        </w:rPr>
        <w:t xml:space="preserve"> competem com a Acetilcolina (</w:t>
      </w:r>
      <w:proofErr w:type="spellStart"/>
      <w:r w:rsidRPr="00162049">
        <w:rPr>
          <w:rFonts w:eastAsia="Calibri"/>
          <w:sz w:val="24"/>
          <w:lang w:eastAsia="en-US"/>
        </w:rPr>
        <w:t>Ach</w:t>
      </w:r>
      <w:proofErr w:type="spellEnd"/>
      <w:r w:rsidRPr="00162049">
        <w:rPr>
          <w:rFonts w:eastAsia="Calibri"/>
          <w:sz w:val="24"/>
          <w:lang w:eastAsia="en-US"/>
        </w:rPr>
        <w:t xml:space="preserve">) pelos receptores colinérgicos da junção neuromuscular, atuando de modo semelhante ao </w:t>
      </w:r>
      <w:r w:rsidR="007C4F9A" w:rsidRPr="00090AE0">
        <w:rPr>
          <w:rFonts w:eastAsia="Calibri"/>
          <w:sz w:val="24"/>
          <w:lang w:eastAsia="en-US"/>
        </w:rPr>
        <w:t xml:space="preserve">curare (FUNASA, 2001). </w:t>
      </w:r>
      <w:proofErr w:type="gramStart"/>
      <w:r w:rsidR="007C4F9A" w:rsidRPr="00090AE0">
        <w:rPr>
          <w:rFonts w:eastAsia="Calibri"/>
          <w:sz w:val="24"/>
          <w:lang w:eastAsia="en-US"/>
        </w:rPr>
        <w:t xml:space="preserve">A NTX de </w:t>
      </w:r>
      <w:r w:rsidR="00E81380" w:rsidRPr="00090AE0">
        <w:rPr>
          <w:rFonts w:eastAsia="Calibri"/>
          <w:sz w:val="24"/>
          <w:lang w:eastAsia="en-US"/>
        </w:rPr>
        <w:t xml:space="preserve">ação pré-sináptica </w:t>
      </w:r>
      <w:r w:rsidRPr="00162049">
        <w:rPr>
          <w:rFonts w:eastAsia="Calibri"/>
          <w:sz w:val="24"/>
          <w:lang w:eastAsia="en-US"/>
        </w:rPr>
        <w:t>estão</w:t>
      </w:r>
      <w:proofErr w:type="gramEnd"/>
      <w:r w:rsidRPr="00162049">
        <w:rPr>
          <w:rFonts w:eastAsia="Calibri"/>
          <w:sz w:val="24"/>
          <w:lang w:eastAsia="en-US"/>
        </w:rPr>
        <w:t xml:space="preserve"> presentes em algumas corai</w:t>
      </w:r>
      <w:r w:rsidR="006C0317" w:rsidRPr="00090AE0">
        <w:rPr>
          <w:rFonts w:eastAsia="Calibri"/>
          <w:sz w:val="24"/>
          <w:lang w:eastAsia="en-US"/>
        </w:rPr>
        <w:t xml:space="preserve">s e também em alguns </w:t>
      </w:r>
      <w:proofErr w:type="spellStart"/>
      <w:r w:rsidR="006C0317" w:rsidRPr="00090AE0">
        <w:rPr>
          <w:rFonts w:eastAsia="Calibri"/>
          <w:sz w:val="24"/>
          <w:lang w:eastAsia="en-US"/>
        </w:rPr>
        <w:t>viperídeos</w:t>
      </w:r>
      <w:proofErr w:type="spellEnd"/>
      <w:r w:rsidR="006C0317" w:rsidRPr="00090AE0">
        <w:rPr>
          <w:rFonts w:eastAsia="Calibri"/>
          <w:sz w:val="24"/>
          <w:lang w:eastAsia="en-US"/>
        </w:rPr>
        <w:t>,</w:t>
      </w:r>
      <w:r w:rsidR="00735E2D" w:rsidRPr="00090AE0">
        <w:rPr>
          <w:rFonts w:eastAsia="Calibri"/>
          <w:sz w:val="24"/>
          <w:lang w:eastAsia="en-US"/>
        </w:rPr>
        <w:t xml:space="preserve"> </w:t>
      </w:r>
      <w:r w:rsidR="001B42A6" w:rsidRPr="00090AE0">
        <w:rPr>
          <w:rFonts w:eastAsia="Calibri"/>
          <w:sz w:val="24"/>
          <w:lang w:eastAsia="en-US"/>
        </w:rPr>
        <w:t>como</w:t>
      </w:r>
      <w:r w:rsidRPr="00162049">
        <w:rPr>
          <w:rFonts w:eastAsia="Calibri"/>
          <w:sz w:val="24"/>
          <w:lang w:eastAsia="en-US"/>
        </w:rPr>
        <w:t xml:space="preserve"> a cascavel sul-americana. Atuam na junção neuromuscular, bloqueando a liberação de </w:t>
      </w:r>
      <w:proofErr w:type="spellStart"/>
      <w:r w:rsidRPr="00162049">
        <w:rPr>
          <w:rFonts w:eastAsia="Calibri"/>
          <w:sz w:val="24"/>
          <w:lang w:eastAsia="en-US"/>
        </w:rPr>
        <w:lastRenderedPageBreak/>
        <w:t>Ach</w:t>
      </w:r>
      <w:proofErr w:type="spellEnd"/>
      <w:r w:rsidRPr="00162049">
        <w:rPr>
          <w:rFonts w:eastAsia="Calibri"/>
          <w:sz w:val="24"/>
          <w:lang w:eastAsia="en-US"/>
        </w:rPr>
        <w:t xml:space="preserve"> pelos impulsos nervosos, impedindo a deflagração do potencial de ação. Esse mecanismo não é antagonizado pelas substâncias </w:t>
      </w:r>
      <w:proofErr w:type="spellStart"/>
      <w:r w:rsidRPr="00162049">
        <w:rPr>
          <w:rFonts w:eastAsia="Calibri"/>
          <w:sz w:val="24"/>
          <w:lang w:eastAsia="en-US"/>
        </w:rPr>
        <w:t>anticolinesterásicas</w:t>
      </w:r>
      <w:proofErr w:type="spellEnd"/>
      <w:r w:rsidRPr="00162049">
        <w:rPr>
          <w:rFonts w:eastAsia="Calibri"/>
          <w:sz w:val="24"/>
          <w:lang w:eastAsia="en-US"/>
        </w:rPr>
        <w:t xml:space="preserve"> (FUNASA, 2001).</w:t>
      </w:r>
    </w:p>
    <w:p w14:paraId="435F4706" w14:textId="77777777" w:rsidR="003963A3" w:rsidRPr="00162049" w:rsidRDefault="003963A3" w:rsidP="00735E2D">
      <w:pPr>
        <w:spacing w:line="360" w:lineRule="auto"/>
        <w:ind w:left="170" w:right="113" w:firstLine="709"/>
        <w:contextualSpacing/>
        <w:jc w:val="both"/>
        <w:rPr>
          <w:rFonts w:eastAsia="Calibri"/>
          <w:sz w:val="24"/>
          <w:lang w:eastAsia="en-US"/>
        </w:rPr>
      </w:pPr>
    </w:p>
    <w:p w14:paraId="44B950EC" w14:textId="0B324479" w:rsidR="004071DD" w:rsidRPr="00090AE0" w:rsidRDefault="004071DD" w:rsidP="004071DD">
      <w:pPr>
        <w:spacing w:line="360" w:lineRule="auto"/>
        <w:rPr>
          <w:sz w:val="24"/>
          <w:szCs w:val="24"/>
        </w:rPr>
      </w:pPr>
      <w:r w:rsidRPr="00090AE0">
        <w:rPr>
          <w:rFonts w:eastAsia="Times New Roman"/>
          <w:b/>
          <w:bCs/>
          <w:sz w:val="24"/>
          <w:szCs w:val="24"/>
        </w:rPr>
        <w:t>2 OBJETIVO</w:t>
      </w:r>
    </w:p>
    <w:p w14:paraId="51048308" w14:textId="77777777" w:rsidR="00DF160F" w:rsidRPr="00DF160F" w:rsidRDefault="00DF160F" w:rsidP="00DF160F">
      <w:pPr>
        <w:spacing w:line="360" w:lineRule="auto"/>
        <w:ind w:left="170" w:right="113" w:firstLine="709"/>
        <w:contextualSpacing/>
        <w:jc w:val="both"/>
        <w:rPr>
          <w:rFonts w:eastAsia="Calibri"/>
          <w:sz w:val="24"/>
          <w:lang w:eastAsia="en-US"/>
        </w:rPr>
      </w:pPr>
      <w:r w:rsidRPr="00DF160F">
        <w:rPr>
          <w:rFonts w:eastAsia="Calibri"/>
          <w:sz w:val="24"/>
          <w:lang w:eastAsia="en-US"/>
        </w:rPr>
        <w:t xml:space="preserve">O trabalho presente, vem relatar caso de um acidente </w:t>
      </w:r>
      <w:proofErr w:type="spellStart"/>
      <w:r w:rsidRPr="00DF160F">
        <w:rPr>
          <w:rFonts w:eastAsia="Calibri"/>
          <w:sz w:val="24"/>
          <w:lang w:eastAsia="en-US"/>
        </w:rPr>
        <w:t>elapídico</w:t>
      </w:r>
      <w:proofErr w:type="spellEnd"/>
      <w:r w:rsidRPr="00DF160F">
        <w:rPr>
          <w:rFonts w:eastAsia="Calibri"/>
          <w:sz w:val="24"/>
          <w:lang w:eastAsia="en-US"/>
        </w:rPr>
        <w:t xml:space="preserve"> em espécie ovina, um borrego da raça santa </w:t>
      </w:r>
      <w:proofErr w:type="spellStart"/>
      <w:r w:rsidRPr="00DF160F">
        <w:rPr>
          <w:rFonts w:eastAsia="Calibri"/>
          <w:sz w:val="24"/>
          <w:lang w:eastAsia="en-US"/>
        </w:rPr>
        <w:t>inês</w:t>
      </w:r>
      <w:proofErr w:type="spellEnd"/>
      <w:r w:rsidRPr="00DF160F">
        <w:rPr>
          <w:rFonts w:eastAsia="Calibri"/>
          <w:sz w:val="24"/>
          <w:lang w:eastAsia="en-US"/>
        </w:rPr>
        <w:t>, macho, com 120 dias de vida, pesando 32kg. Não respondeu ao tratamento farmacêutico e foi a óbito e levado para fazer necropsia.</w:t>
      </w:r>
    </w:p>
    <w:p w14:paraId="3C98B021" w14:textId="77777777" w:rsidR="004071DD" w:rsidRPr="00090AE0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00221F63" w14:textId="7C1B56DF" w:rsidR="004071DD" w:rsidRPr="00090AE0" w:rsidRDefault="004071DD" w:rsidP="004071DD">
      <w:pPr>
        <w:spacing w:line="360" w:lineRule="auto"/>
        <w:rPr>
          <w:sz w:val="24"/>
          <w:szCs w:val="24"/>
        </w:rPr>
      </w:pPr>
      <w:r w:rsidRPr="00090AE0">
        <w:rPr>
          <w:rFonts w:eastAsia="Times New Roman"/>
          <w:b/>
          <w:bCs/>
          <w:sz w:val="24"/>
          <w:szCs w:val="24"/>
        </w:rPr>
        <w:t xml:space="preserve">3 </w:t>
      </w:r>
      <w:r w:rsidR="00592B28" w:rsidRPr="00090AE0">
        <w:rPr>
          <w:rFonts w:eastAsia="Times New Roman"/>
          <w:b/>
          <w:bCs/>
          <w:sz w:val="24"/>
          <w:szCs w:val="24"/>
        </w:rPr>
        <w:t>RELATO DE CASO</w:t>
      </w:r>
    </w:p>
    <w:p w14:paraId="19EC0982" w14:textId="77777777" w:rsidR="00D75AC9" w:rsidRPr="00D75AC9" w:rsidRDefault="00D75AC9" w:rsidP="00D75AC9">
      <w:pPr>
        <w:spacing w:line="360" w:lineRule="auto"/>
        <w:ind w:left="170" w:right="113" w:firstLine="709"/>
        <w:jc w:val="both"/>
        <w:rPr>
          <w:rFonts w:eastAsia="Calibri"/>
          <w:sz w:val="24"/>
          <w:lang w:eastAsia="en-US"/>
        </w:rPr>
      </w:pPr>
      <w:r w:rsidRPr="00D75AC9">
        <w:rPr>
          <w:rFonts w:eastAsia="Calibri"/>
          <w:sz w:val="24"/>
          <w:lang w:eastAsia="en-US"/>
        </w:rPr>
        <w:t xml:space="preserve">Um Borrego de raça santa </w:t>
      </w:r>
      <w:proofErr w:type="spellStart"/>
      <w:r w:rsidRPr="00D75AC9">
        <w:rPr>
          <w:rFonts w:eastAsia="Calibri"/>
          <w:sz w:val="24"/>
          <w:lang w:eastAsia="en-US"/>
        </w:rPr>
        <w:t>inês</w:t>
      </w:r>
      <w:proofErr w:type="spellEnd"/>
      <w:r w:rsidRPr="00D75AC9">
        <w:rPr>
          <w:rFonts w:eastAsia="Calibri"/>
          <w:sz w:val="24"/>
          <w:lang w:eastAsia="en-US"/>
        </w:rPr>
        <w:t xml:space="preserve"> macho, com 120 dias de vida, com 32 kg de peso vivo, picado por uma cobra, durante um horário de pastejo em um piquete de capim </w:t>
      </w:r>
      <w:proofErr w:type="spellStart"/>
      <w:r w:rsidRPr="00D75AC9">
        <w:rPr>
          <w:rFonts w:eastAsia="Calibri"/>
          <w:sz w:val="24"/>
          <w:lang w:eastAsia="en-US"/>
        </w:rPr>
        <w:t>tifton</w:t>
      </w:r>
      <w:proofErr w:type="spellEnd"/>
      <w:r w:rsidRPr="00D75AC9">
        <w:rPr>
          <w:rFonts w:eastAsia="Calibri"/>
          <w:sz w:val="24"/>
          <w:lang w:eastAsia="en-US"/>
        </w:rPr>
        <w:t xml:space="preserve"> 85 (</w:t>
      </w:r>
      <w:proofErr w:type="spellStart"/>
      <w:r w:rsidRPr="00D75AC9">
        <w:rPr>
          <w:rFonts w:eastAsia="Calibri"/>
          <w:i/>
          <w:sz w:val="24"/>
          <w:lang w:eastAsia="en-US"/>
        </w:rPr>
        <w:t>Cynodon</w:t>
      </w:r>
      <w:proofErr w:type="spellEnd"/>
      <w:r w:rsidRPr="00D75AC9">
        <w:rPr>
          <w:rFonts w:eastAsia="Calibri"/>
          <w:i/>
          <w:sz w:val="24"/>
          <w:lang w:eastAsia="en-US"/>
        </w:rPr>
        <w:t xml:space="preserve"> </w:t>
      </w:r>
      <w:proofErr w:type="spellStart"/>
      <w:r w:rsidRPr="00D75AC9">
        <w:rPr>
          <w:rFonts w:eastAsia="Calibri"/>
          <w:i/>
          <w:sz w:val="24"/>
          <w:lang w:eastAsia="en-US"/>
        </w:rPr>
        <w:t>ssp</w:t>
      </w:r>
      <w:proofErr w:type="spellEnd"/>
      <w:r w:rsidRPr="00D75AC9">
        <w:rPr>
          <w:rFonts w:eastAsia="Calibri"/>
          <w:i/>
          <w:sz w:val="24"/>
          <w:lang w:eastAsia="en-US"/>
        </w:rPr>
        <w:t>.</w:t>
      </w:r>
      <w:r w:rsidRPr="00D75AC9">
        <w:rPr>
          <w:rFonts w:eastAsia="Calibri"/>
          <w:sz w:val="24"/>
          <w:lang w:eastAsia="en-US"/>
        </w:rPr>
        <w:t>)</w:t>
      </w:r>
      <w:r w:rsidRPr="00D75AC9">
        <w:rPr>
          <w:rFonts w:eastAsia="Calibri"/>
          <w:i/>
          <w:sz w:val="24"/>
          <w:lang w:eastAsia="en-US"/>
        </w:rPr>
        <w:t xml:space="preserve"> </w:t>
      </w:r>
      <w:r w:rsidRPr="00D75AC9">
        <w:rPr>
          <w:rFonts w:eastAsia="Calibri"/>
          <w:sz w:val="24"/>
          <w:lang w:eastAsia="en-US"/>
        </w:rPr>
        <w:t xml:space="preserve">pelo turno da tarde entre as 17:00 horas, no dia 29 de fevereiro de 2024. Esse animal estava localizado na cidade de Brasileira, no </w:t>
      </w:r>
      <w:proofErr w:type="gramStart"/>
      <w:r w:rsidRPr="00D75AC9">
        <w:rPr>
          <w:rFonts w:eastAsia="Calibri"/>
          <w:sz w:val="24"/>
          <w:lang w:eastAsia="en-US"/>
        </w:rPr>
        <w:t>norte</w:t>
      </w:r>
      <w:proofErr w:type="gramEnd"/>
      <w:r w:rsidRPr="00D75AC9">
        <w:rPr>
          <w:rFonts w:eastAsia="Calibri"/>
          <w:sz w:val="24"/>
          <w:lang w:eastAsia="en-US"/>
        </w:rPr>
        <w:t xml:space="preserve"> estado do Piauí no momento que foi atacado, por uma serpente peçonhenta de espécie</w:t>
      </w:r>
      <w:r w:rsidRPr="00D75AC9">
        <w:rPr>
          <w:rFonts w:eastAsia="Calibri"/>
          <w:i/>
          <w:sz w:val="24"/>
          <w:lang w:eastAsia="en-US"/>
        </w:rPr>
        <w:t xml:space="preserve"> </w:t>
      </w:r>
      <w:proofErr w:type="spellStart"/>
      <w:r w:rsidRPr="00D75AC9">
        <w:rPr>
          <w:rFonts w:eastAsia="Calibri"/>
          <w:i/>
          <w:sz w:val="24"/>
          <w:lang w:eastAsia="en-US"/>
        </w:rPr>
        <w:t>Micrurus</w:t>
      </w:r>
      <w:proofErr w:type="spellEnd"/>
      <w:r w:rsidRPr="00D75AC9">
        <w:rPr>
          <w:rFonts w:eastAsia="Calibri"/>
          <w:i/>
          <w:sz w:val="24"/>
          <w:lang w:eastAsia="en-US"/>
        </w:rPr>
        <w:t xml:space="preserve"> </w:t>
      </w:r>
      <w:proofErr w:type="spellStart"/>
      <w:r w:rsidRPr="00D75AC9">
        <w:rPr>
          <w:rFonts w:eastAsia="Calibri"/>
          <w:i/>
          <w:sz w:val="24"/>
          <w:lang w:eastAsia="en-US"/>
        </w:rPr>
        <w:t>ibiboboca</w:t>
      </w:r>
      <w:proofErr w:type="spellEnd"/>
      <w:r w:rsidRPr="00D75AC9">
        <w:rPr>
          <w:rFonts w:eastAsia="Calibri"/>
          <w:i/>
          <w:sz w:val="24"/>
          <w:lang w:eastAsia="en-US"/>
        </w:rPr>
        <w:t>.</w:t>
      </w:r>
      <w:r w:rsidRPr="00D75AC9">
        <w:rPr>
          <w:rFonts w:eastAsia="Calibri"/>
          <w:sz w:val="24"/>
          <w:lang w:eastAsia="en-US"/>
        </w:rPr>
        <w:t xml:space="preserve"> Minutos após o ataque o animal apresentou um cansaço excessivo, apresentava apático, com </w:t>
      </w:r>
      <w:proofErr w:type="spellStart"/>
      <w:r w:rsidRPr="00D75AC9">
        <w:rPr>
          <w:rFonts w:eastAsia="Calibri"/>
          <w:sz w:val="24"/>
          <w:lang w:eastAsia="en-US"/>
        </w:rPr>
        <w:t>hiporexia</w:t>
      </w:r>
      <w:proofErr w:type="spellEnd"/>
      <w:r w:rsidRPr="00D75AC9">
        <w:rPr>
          <w:rFonts w:eastAsia="Calibri"/>
          <w:sz w:val="24"/>
          <w:lang w:eastAsia="en-US"/>
        </w:rPr>
        <w:t xml:space="preserve">, </w:t>
      </w:r>
      <w:proofErr w:type="spellStart"/>
      <w:r w:rsidRPr="00D75AC9">
        <w:rPr>
          <w:rFonts w:eastAsia="Calibri"/>
          <w:sz w:val="24"/>
          <w:lang w:eastAsia="en-US"/>
        </w:rPr>
        <w:t>sialorreia</w:t>
      </w:r>
      <w:proofErr w:type="spellEnd"/>
      <w:r w:rsidRPr="00D75AC9">
        <w:rPr>
          <w:rFonts w:eastAsia="Calibri"/>
          <w:sz w:val="24"/>
          <w:lang w:eastAsia="en-US"/>
        </w:rPr>
        <w:t xml:space="preserve">, </w:t>
      </w:r>
      <w:proofErr w:type="spellStart"/>
      <w:r w:rsidRPr="00D75AC9">
        <w:rPr>
          <w:rFonts w:eastAsia="Calibri"/>
          <w:sz w:val="24"/>
          <w:lang w:eastAsia="en-US"/>
        </w:rPr>
        <w:t>adipsia</w:t>
      </w:r>
      <w:proofErr w:type="spellEnd"/>
      <w:r w:rsidRPr="00D75AC9">
        <w:rPr>
          <w:rFonts w:eastAsia="Calibri"/>
          <w:sz w:val="24"/>
          <w:lang w:eastAsia="en-US"/>
        </w:rPr>
        <w:t xml:space="preserve">, dispneia, </w:t>
      </w:r>
      <w:proofErr w:type="spellStart"/>
      <w:r w:rsidRPr="00D75AC9">
        <w:rPr>
          <w:rFonts w:eastAsia="Calibri"/>
          <w:sz w:val="24"/>
          <w:lang w:eastAsia="en-US"/>
        </w:rPr>
        <w:t>epistaxe</w:t>
      </w:r>
      <w:proofErr w:type="spellEnd"/>
      <w:r w:rsidRPr="00D75AC9">
        <w:rPr>
          <w:rFonts w:eastAsia="Calibri"/>
          <w:sz w:val="24"/>
          <w:lang w:eastAsia="en-US"/>
        </w:rPr>
        <w:t xml:space="preserve"> e ataxia.</w:t>
      </w:r>
    </w:p>
    <w:p w14:paraId="4F15FBD2" w14:textId="617E595D" w:rsidR="00592B28" w:rsidRPr="00090AE0" w:rsidRDefault="00D75AC9" w:rsidP="0091529F">
      <w:pPr>
        <w:spacing w:line="360" w:lineRule="auto"/>
        <w:ind w:left="170" w:right="113" w:firstLine="709"/>
        <w:jc w:val="both"/>
        <w:rPr>
          <w:rFonts w:eastAsia="Calibri"/>
          <w:sz w:val="24"/>
          <w:lang w:eastAsia="en-US"/>
        </w:rPr>
      </w:pPr>
      <w:r w:rsidRPr="00D75AC9">
        <w:rPr>
          <w:rFonts w:eastAsia="Calibri"/>
          <w:sz w:val="24"/>
          <w:lang w:eastAsia="en-US"/>
        </w:rPr>
        <w:t xml:space="preserve">O tratamento específico é feito com o soro </w:t>
      </w:r>
      <w:proofErr w:type="spellStart"/>
      <w:r w:rsidRPr="00D75AC9">
        <w:rPr>
          <w:rFonts w:eastAsia="Calibri"/>
          <w:sz w:val="24"/>
          <w:lang w:eastAsia="en-US"/>
        </w:rPr>
        <w:t>antielapídico</w:t>
      </w:r>
      <w:proofErr w:type="spellEnd"/>
      <w:r w:rsidRPr="00D75AC9">
        <w:rPr>
          <w:rFonts w:eastAsia="Calibri"/>
          <w:sz w:val="24"/>
          <w:lang w:eastAsia="en-US"/>
        </w:rPr>
        <w:t xml:space="preserve">, entretanto, como este soro é difícil de ser encontrado para uso veterinário, é usual apenas o tratamento de suporte (BLANCO; MELO, 2014). Não foi utilizado o soro </w:t>
      </w:r>
      <w:proofErr w:type="spellStart"/>
      <w:r w:rsidRPr="00D75AC9">
        <w:rPr>
          <w:rFonts w:eastAsia="Calibri"/>
          <w:sz w:val="24"/>
          <w:lang w:eastAsia="en-US"/>
        </w:rPr>
        <w:t>antielapídico</w:t>
      </w:r>
      <w:proofErr w:type="spellEnd"/>
      <w:r w:rsidRPr="00D75AC9">
        <w:rPr>
          <w:rFonts w:eastAsia="Calibri"/>
          <w:sz w:val="24"/>
          <w:lang w:eastAsia="en-US"/>
        </w:rPr>
        <w:t xml:space="preserve"> e o animal foi submetido a fluidoterapia com Soro Ringer com Lactado endovenoso associado com um anti-flamatório </w:t>
      </w:r>
      <w:proofErr w:type="spellStart"/>
      <w:r w:rsidRPr="00D75AC9">
        <w:rPr>
          <w:rFonts w:eastAsia="Calibri"/>
          <w:sz w:val="24"/>
          <w:lang w:eastAsia="en-US"/>
        </w:rPr>
        <w:t>esteriodal</w:t>
      </w:r>
      <w:proofErr w:type="spellEnd"/>
      <w:r w:rsidRPr="00D75AC9">
        <w:rPr>
          <w:rFonts w:eastAsia="Calibri"/>
          <w:sz w:val="24"/>
          <w:lang w:eastAsia="en-US"/>
        </w:rPr>
        <w:t xml:space="preserve"> injetável </w:t>
      </w:r>
      <w:proofErr w:type="spellStart"/>
      <w:r w:rsidRPr="00D75AC9">
        <w:rPr>
          <w:rFonts w:eastAsia="Calibri"/>
          <w:sz w:val="24"/>
          <w:lang w:eastAsia="en-US"/>
        </w:rPr>
        <w:t>Cort-Trat</w:t>
      </w:r>
      <w:proofErr w:type="spellEnd"/>
      <w:r w:rsidRPr="00D75AC9">
        <w:rPr>
          <w:rFonts w:eastAsia="Calibri"/>
          <w:sz w:val="24"/>
          <w:lang w:eastAsia="en-US"/>
        </w:rPr>
        <w:t xml:space="preserve"> SM (4mg/ml), um analgésico D-500 (10mg/ml), antitóxico injetável </w:t>
      </w:r>
      <w:proofErr w:type="spellStart"/>
      <w:r w:rsidRPr="00D75AC9">
        <w:rPr>
          <w:rFonts w:eastAsia="Calibri"/>
          <w:sz w:val="24"/>
          <w:lang w:eastAsia="en-US"/>
        </w:rPr>
        <w:t>Mercepton</w:t>
      </w:r>
      <w:proofErr w:type="spellEnd"/>
      <w:r w:rsidRPr="00D75AC9">
        <w:rPr>
          <w:rFonts w:eastAsia="Calibri"/>
          <w:sz w:val="24"/>
          <w:lang w:eastAsia="en-US"/>
        </w:rPr>
        <w:t xml:space="preserve">, medicação usada durante 3 dias a cada 24 horas. </w:t>
      </w:r>
    </w:p>
    <w:p w14:paraId="47373EC5" w14:textId="77777777" w:rsidR="0091529F" w:rsidRDefault="0091529F" w:rsidP="0091529F">
      <w:pPr>
        <w:spacing w:line="360" w:lineRule="auto"/>
        <w:ind w:left="170" w:right="113" w:firstLine="709"/>
        <w:jc w:val="both"/>
        <w:rPr>
          <w:rFonts w:eastAsia="Calibri"/>
          <w:sz w:val="24"/>
          <w:lang w:eastAsia="en-US"/>
        </w:rPr>
      </w:pPr>
    </w:p>
    <w:p w14:paraId="30D74F9D" w14:textId="75DA8421" w:rsidR="00592B28" w:rsidRPr="00592B28" w:rsidRDefault="00592B28" w:rsidP="00592B28">
      <w:pPr>
        <w:spacing w:line="360" w:lineRule="auto"/>
        <w:ind w:left="170" w:right="113"/>
        <w:jc w:val="both"/>
        <w:rPr>
          <w:rFonts w:eastAsia="Calibri"/>
          <w:sz w:val="20"/>
          <w:lang w:eastAsia="en-US"/>
        </w:rPr>
      </w:pPr>
      <w:r w:rsidRPr="00592B28">
        <w:rPr>
          <w:rFonts w:eastAsia="Calibri"/>
          <w:b/>
          <w:sz w:val="20"/>
          <w:lang w:eastAsia="en-US"/>
        </w:rPr>
        <w:t>Figura 01:</w:t>
      </w:r>
      <w:r w:rsidRPr="00592B28">
        <w:rPr>
          <w:rFonts w:eastAsia="Calibri"/>
          <w:sz w:val="20"/>
          <w:lang w:eastAsia="en-US"/>
        </w:rPr>
        <w:t xml:space="preserve"> Animal momento antes de ser atacado por</w:t>
      </w:r>
      <w:r w:rsidRPr="00592B28">
        <w:rPr>
          <w:rFonts w:eastAsia="Calibri"/>
          <w:i/>
          <w:sz w:val="20"/>
          <w:lang w:eastAsia="en-US"/>
        </w:rPr>
        <w:t xml:space="preserve"> </w:t>
      </w:r>
      <w:proofErr w:type="spellStart"/>
      <w:r w:rsidRPr="00592B28">
        <w:rPr>
          <w:rFonts w:eastAsia="Calibri"/>
          <w:i/>
          <w:sz w:val="20"/>
          <w:lang w:eastAsia="en-US"/>
        </w:rPr>
        <w:t>Micrurus</w:t>
      </w:r>
      <w:proofErr w:type="spellEnd"/>
      <w:r w:rsidRPr="00592B28">
        <w:rPr>
          <w:rFonts w:eastAsia="Calibri"/>
          <w:i/>
          <w:sz w:val="20"/>
          <w:lang w:eastAsia="en-US"/>
        </w:rPr>
        <w:t xml:space="preserve"> </w:t>
      </w:r>
      <w:proofErr w:type="spellStart"/>
      <w:r w:rsidRPr="00592B28">
        <w:rPr>
          <w:rFonts w:eastAsia="Calibri"/>
          <w:i/>
          <w:sz w:val="20"/>
          <w:lang w:eastAsia="en-US"/>
        </w:rPr>
        <w:t>ibiboboca</w:t>
      </w:r>
      <w:proofErr w:type="spellEnd"/>
      <w:r w:rsidRPr="00592B28">
        <w:rPr>
          <w:rFonts w:eastAsia="Calibri"/>
          <w:i/>
          <w:sz w:val="20"/>
          <w:lang w:eastAsia="en-US"/>
        </w:rPr>
        <w:t xml:space="preserve">. </w:t>
      </w:r>
      <w:r w:rsidRPr="00592B28">
        <w:rPr>
          <w:rFonts w:eastAsia="Calibri"/>
          <w:sz w:val="20"/>
          <w:lang w:eastAsia="en-US"/>
        </w:rPr>
        <w:t xml:space="preserve">(A) Borrego Macho Santa Inês. (B) Momento de pastejo no </w:t>
      </w:r>
      <w:proofErr w:type="spellStart"/>
      <w:r w:rsidRPr="00592B28">
        <w:rPr>
          <w:rFonts w:eastAsia="Calibri"/>
          <w:sz w:val="20"/>
          <w:lang w:eastAsia="en-US"/>
        </w:rPr>
        <w:t>tifton</w:t>
      </w:r>
      <w:proofErr w:type="spellEnd"/>
      <w:r w:rsidRPr="00592B28">
        <w:rPr>
          <w:rFonts w:eastAsia="Calibri"/>
          <w:sz w:val="20"/>
          <w:lang w:eastAsia="en-US"/>
        </w:rPr>
        <w:t xml:space="preserve"> 85 com outros animais.</w:t>
      </w:r>
    </w:p>
    <w:p w14:paraId="2F92487A" w14:textId="265EF153" w:rsidR="004071DD" w:rsidRPr="00CD3E71" w:rsidRDefault="00075995" w:rsidP="00CD3E71">
      <w:pPr>
        <w:spacing w:line="360" w:lineRule="auto"/>
        <w:ind w:left="170" w:right="113"/>
        <w:jc w:val="center"/>
        <w:rPr>
          <w:rFonts w:eastAsia="Calibri"/>
          <w:sz w:val="24"/>
          <w:lang w:eastAsia="en-US"/>
        </w:rPr>
      </w:pPr>
      <w:r w:rsidRPr="00876C3D">
        <w:rPr>
          <w:rFonts w:eastAsia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FFFB2" wp14:editId="42E9A724">
                <wp:simplePos x="0" y="0"/>
                <wp:positionH relativeFrom="column">
                  <wp:posOffset>3177540</wp:posOffset>
                </wp:positionH>
                <wp:positionV relativeFrom="paragraph">
                  <wp:posOffset>10160</wp:posOffset>
                </wp:positionV>
                <wp:extent cx="266700" cy="238125"/>
                <wp:effectExtent l="0" t="0" r="19050" b="2857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40DEF2E" w14:textId="77777777" w:rsidR="00876C3D" w:rsidRPr="002673A5" w:rsidRDefault="00876C3D" w:rsidP="00876C3D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2673A5">
                              <w:rPr>
                                <w:b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FFFB2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250.2pt;margin-top:.8pt;width:21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" fillcolor="window" strokeweight=".5pt">
                <v:textbox>
                  <w:txbxContent>
                    <w:p w14:paraId="640DEF2E" w14:textId="77777777" w:rsidR="00876C3D" w:rsidRPr="002673A5" w:rsidRDefault="00876C3D" w:rsidP="00876C3D">
                      <w:pPr>
                        <w:rPr>
                          <w:b/>
                          <w:sz w:val="20"/>
                        </w:rPr>
                      </w:pPr>
                      <w:r w:rsidRPr="002673A5">
                        <w:rPr>
                          <w:b/>
                          <w:sz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26E78" w:rsidRPr="00876C3D">
        <w:rPr>
          <w:rFonts w:eastAsia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20562" wp14:editId="4A5635E5">
                <wp:simplePos x="0" y="0"/>
                <wp:positionH relativeFrom="column">
                  <wp:posOffset>1072515</wp:posOffset>
                </wp:positionH>
                <wp:positionV relativeFrom="paragraph">
                  <wp:posOffset>10160</wp:posOffset>
                </wp:positionV>
                <wp:extent cx="247650" cy="219075"/>
                <wp:effectExtent l="0" t="0" r="19050" b="2857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97260" w14:textId="77777777" w:rsidR="00876C3D" w:rsidRPr="002673A5" w:rsidRDefault="00876C3D" w:rsidP="00226E78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2673A5">
                              <w:rPr>
                                <w:b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0562" id="Caixa de texto 3" o:spid="_x0000_s1027" type="#_x0000_t202" style="position:absolute;left:0;text-align:left;margin-left:84.45pt;margin-top:.8pt;width:19.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" fillcolor="white [3201]" strokeweight=".5pt">
                <v:textbox>
                  <w:txbxContent>
                    <w:p w14:paraId="0CD97260" w14:textId="77777777" w:rsidR="00876C3D" w:rsidRPr="002673A5" w:rsidRDefault="00876C3D" w:rsidP="00226E78">
                      <w:pPr>
                        <w:rPr>
                          <w:b/>
                          <w:sz w:val="20"/>
                        </w:rPr>
                      </w:pPr>
                      <w:r w:rsidRPr="002673A5">
                        <w:rPr>
                          <w:b/>
                          <w:sz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76C3D" w:rsidRPr="00876C3D">
        <w:rPr>
          <w:rFonts w:eastAsia="Calibri"/>
          <w:noProof/>
          <w:sz w:val="24"/>
        </w:rPr>
        <w:drawing>
          <wp:inline distT="0" distB="0" distL="0" distR="0" wp14:anchorId="15B33EF0" wp14:editId="4153829D">
            <wp:extent cx="1952979" cy="1512000"/>
            <wp:effectExtent l="19050" t="19050" r="28575" b="1206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"/>
                    <a:stretch/>
                  </pic:blipFill>
                  <pic:spPr bwMode="auto">
                    <a:xfrm>
                      <a:off x="0" y="0"/>
                      <a:ext cx="1952979" cy="151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28B1">
        <w:rPr>
          <w:rFonts w:eastAsia="Calibri"/>
          <w:sz w:val="24"/>
          <w:lang w:eastAsia="en-US"/>
        </w:rPr>
        <w:t xml:space="preserve">   </w:t>
      </w:r>
      <w:r w:rsidR="00876C3D" w:rsidRPr="00876C3D">
        <w:rPr>
          <w:rFonts w:eastAsia="Calibri"/>
          <w:noProof/>
          <w:sz w:val="24"/>
        </w:rPr>
        <w:drawing>
          <wp:inline distT="0" distB="0" distL="0" distR="0" wp14:anchorId="58BF4255" wp14:editId="2699EC6D">
            <wp:extent cx="1551999" cy="1514475"/>
            <wp:effectExtent l="19050" t="19050" r="1016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99" cy="1514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2FBBD9" w14:textId="3934998E" w:rsidR="00DF3A7A" w:rsidRPr="00D444B1" w:rsidRDefault="00D444B1" w:rsidP="003963A3">
      <w:pPr>
        <w:spacing w:line="360" w:lineRule="auto"/>
        <w:ind w:left="170" w:right="113"/>
        <w:jc w:val="center"/>
        <w:rPr>
          <w:sz w:val="20"/>
        </w:rPr>
      </w:pPr>
      <w:r w:rsidRPr="00D444B1">
        <w:rPr>
          <w:b/>
          <w:sz w:val="20"/>
        </w:rPr>
        <w:t xml:space="preserve">Fonte: </w:t>
      </w:r>
      <w:r w:rsidRPr="00D444B1">
        <w:rPr>
          <w:sz w:val="20"/>
        </w:rPr>
        <w:t xml:space="preserve">Próprio Autor - </w:t>
      </w:r>
      <w:proofErr w:type="spellStart"/>
      <w:r w:rsidRPr="00D444B1">
        <w:rPr>
          <w:sz w:val="20"/>
        </w:rPr>
        <w:t>Cabanha</w:t>
      </w:r>
      <w:proofErr w:type="spellEnd"/>
      <w:r w:rsidRPr="00D444B1">
        <w:rPr>
          <w:sz w:val="20"/>
        </w:rPr>
        <w:t xml:space="preserve"> CBM – Brasileira, 2024.</w:t>
      </w:r>
    </w:p>
    <w:p w14:paraId="719B4183" w14:textId="77777777" w:rsidR="00722621" w:rsidRPr="00722621" w:rsidRDefault="00722621" w:rsidP="007F05FC">
      <w:pPr>
        <w:spacing w:line="360" w:lineRule="auto"/>
        <w:ind w:left="170" w:right="113"/>
        <w:rPr>
          <w:sz w:val="24"/>
        </w:rPr>
      </w:pPr>
    </w:p>
    <w:p w14:paraId="2D436259" w14:textId="77777777" w:rsidR="00722621" w:rsidRPr="00722621" w:rsidRDefault="00722621" w:rsidP="00722621">
      <w:pPr>
        <w:spacing w:line="360" w:lineRule="auto"/>
        <w:ind w:left="170" w:right="113" w:firstLine="709"/>
        <w:jc w:val="both"/>
        <w:rPr>
          <w:rFonts w:eastAsia="Calibri"/>
          <w:sz w:val="24"/>
          <w:lang w:eastAsia="en-US"/>
        </w:rPr>
      </w:pPr>
      <w:r w:rsidRPr="00722621">
        <w:rPr>
          <w:rFonts w:eastAsia="Calibri"/>
          <w:sz w:val="24"/>
          <w:lang w:eastAsia="en-US"/>
        </w:rPr>
        <w:t xml:space="preserve">Após três dias do acidente acontecido, não se obteve bons resultados de melhora, o paciente apresentou uma piora no quadro clínico com convulsões e depois de seis horas, ficou em decúbito lateral apresentando uma rigidez muscular, animal não apresentou melhora e foi a óbito no período de doze horas depois. </w:t>
      </w:r>
      <w:r w:rsidRPr="00722621">
        <w:rPr>
          <w:rFonts w:eastAsia="Calibri"/>
          <w:sz w:val="24"/>
          <w:szCs w:val="24"/>
          <w:lang w:eastAsia="en-US"/>
        </w:rPr>
        <w:t>A morte pode ocorrer por falência respiratória, em decorrência da paralisia da musculatura torácica intercostal e por acúmulo de secreções, evoluindo para paralisia diafragmática (BLANCO; MELO, 2014).</w:t>
      </w:r>
    </w:p>
    <w:p w14:paraId="0D20B652" w14:textId="77777777" w:rsidR="00722621" w:rsidRPr="00722621" w:rsidRDefault="00722621" w:rsidP="00722621">
      <w:pPr>
        <w:spacing w:line="360" w:lineRule="auto"/>
        <w:ind w:left="170" w:right="113" w:firstLine="709"/>
        <w:jc w:val="both"/>
        <w:rPr>
          <w:rFonts w:eastAsia="Calibri"/>
          <w:i/>
          <w:sz w:val="24"/>
          <w:lang w:eastAsia="en-US"/>
        </w:rPr>
      </w:pPr>
      <w:r w:rsidRPr="00722621">
        <w:rPr>
          <w:rFonts w:eastAsia="Calibri"/>
          <w:sz w:val="24"/>
          <w:lang w:eastAsia="en-US"/>
        </w:rPr>
        <w:t xml:space="preserve">Cadáver foi levado para anexo de Medicina Veterinária da Christus Faculdade do Piauí, com o fim de estudo e achados cadavéricos na disciplina de Patologia Especial e Diagnóstico </w:t>
      </w:r>
      <w:r w:rsidRPr="00722621">
        <w:rPr>
          <w:rFonts w:eastAsia="Calibri"/>
          <w:i/>
          <w:sz w:val="24"/>
          <w:lang w:eastAsia="en-US"/>
        </w:rPr>
        <w:t>Post-Mortem.</w:t>
      </w:r>
    </w:p>
    <w:p w14:paraId="625267F3" w14:textId="0E6ABDA8" w:rsidR="009C359F" w:rsidRDefault="00722621" w:rsidP="009C359F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722621">
        <w:rPr>
          <w:rFonts w:eastAsia="Calibri"/>
          <w:sz w:val="24"/>
          <w:szCs w:val="24"/>
          <w:lang w:eastAsia="en-US"/>
        </w:rPr>
        <w:t xml:space="preserve">No procedimento de necropsia foi possível identificar o local da picada de cobra, no pescoço do animal foi realizada a tricotomia. A região da picada apresentava edema e coágulo. A serpente foi identificada como sendo de gênero/espécie </w:t>
      </w:r>
      <w:proofErr w:type="spellStart"/>
      <w:r w:rsidRPr="00722621">
        <w:rPr>
          <w:rFonts w:eastAsia="Calibri"/>
          <w:i/>
          <w:sz w:val="24"/>
          <w:szCs w:val="24"/>
          <w:lang w:eastAsia="en-US"/>
        </w:rPr>
        <w:t>Micrurus</w:t>
      </w:r>
      <w:proofErr w:type="spellEnd"/>
      <w:r w:rsidRPr="00722621">
        <w:rPr>
          <w:rFonts w:eastAsia="Calibri"/>
          <w:i/>
          <w:sz w:val="24"/>
          <w:szCs w:val="24"/>
          <w:lang w:eastAsia="en-US"/>
        </w:rPr>
        <w:t xml:space="preserve"> </w:t>
      </w:r>
      <w:proofErr w:type="spellStart"/>
      <w:r w:rsidRPr="00722621">
        <w:rPr>
          <w:rFonts w:eastAsia="Calibri"/>
          <w:i/>
          <w:sz w:val="24"/>
          <w:szCs w:val="24"/>
          <w:lang w:eastAsia="en-US"/>
        </w:rPr>
        <w:t>ibiboboca</w:t>
      </w:r>
      <w:proofErr w:type="spellEnd"/>
      <w:r w:rsidRPr="00722621">
        <w:rPr>
          <w:rFonts w:eastAsia="Calibri"/>
          <w:i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>a</w:t>
      </w:r>
      <w:r w:rsidR="0012046F">
        <w:rPr>
          <w:rFonts w:eastAsia="Calibri"/>
          <w:sz w:val="24"/>
          <w:szCs w:val="24"/>
          <w:lang w:eastAsia="en-US"/>
        </w:rPr>
        <w:t xml:space="preserve"> </w:t>
      </w:r>
      <w:r w:rsidRPr="00722621">
        <w:rPr>
          <w:rFonts w:eastAsia="Calibri"/>
          <w:sz w:val="24"/>
          <w:szCs w:val="24"/>
          <w:lang w:eastAsia="en-US"/>
        </w:rPr>
        <w:t>qual possui presas inoculadoras de veneno na parte anterior da boca. Os sinais clínicos locais</w:t>
      </w:r>
      <w:r w:rsidR="00CD3E71">
        <w:rPr>
          <w:rFonts w:eastAsia="Calibri"/>
          <w:sz w:val="24"/>
          <w:szCs w:val="24"/>
          <w:lang w:eastAsia="en-US"/>
        </w:rPr>
        <w:t xml:space="preserve"> </w:t>
      </w:r>
      <w:r w:rsidRPr="00722621">
        <w:rPr>
          <w:rFonts w:eastAsia="Calibri"/>
          <w:sz w:val="24"/>
          <w:szCs w:val="24"/>
          <w:lang w:eastAsia="en-US"/>
        </w:rPr>
        <w:t xml:space="preserve">são a </w:t>
      </w:r>
      <w:proofErr w:type="spellStart"/>
      <w:r w:rsidRPr="00722621">
        <w:rPr>
          <w:rFonts w:eastAsia="Calibri"/>
          <w:sz w:val="24"/>
          <w:szCs w:val="24"/>
          <w:lang w:eastAsia="en-US"/>
        </w:rPr>
        <w:t>parestesia</w:t>
      </w:r>
      <w:proofErr w:type="spellEnd"/>
      <w:r w:rsidRPr="00722621">
        <w:rPr>
          <w:rFonts w:eastAsia="Calibri"/>
          <w:sz w:val="24"/>
          <w:szCs w:val="24"/>
          <w:lang w:eastAsia="en-US"/>
        </w:rPr>
        <w:t xml:space="preserve"> e dor, o local da </w:t>
      </w:r>
      <w:r w:rsidR="009C359F">
        <w:rPr>
          <w:rFonts w:eastAsia="Calibri"/>
          <w:sz w:val="24"/>
          <w:szCs w:val="24"/>
          <w:lang w:eastAsia="en-US"/>
        </w:rPr>
        <w:t>picada pode não ser encontrado.</w:t>
      </w:r>
    </w:p>
    <w:p w14:paraId="568B7C3E" w14:textId="654C23BD" w:rsidR="00293F06" w:rsidRDefault="002673A5" w:rsidP="007F05FC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2673A5">
        <w:rPr>
          <w:rFonts w:eastAsia="Calibri"/>
          <w:sz w:val="24"/>
          <w:szCs w:val="24"/>
          <w:lang w:eastAsia="en-US"/>
        </w:rPr>
        <w:t xml:space="preserve">Os sinais sistêmicos observados são vômitos, face </w:t>
      </w:r>
      <w:proofErr w:type="spellStart"/>
      <w:r w:rsidRPr="002673A5">
        <w:rPr>
          <w:rFonts w:eastAsia="Calibri"/>
          <w:sz w:val="24"/>
          <w:szCs w:val="24"/>
          <w:lang w:eastAsia="en-US"/>
        </w:rPr>
        <w:t>miastênica</w:t>
      </w:r>
      <w:proofErr w:type="spellEnd"/>
      <w:r w:rsidRPr="002673A5">
        <w:rPr>
          <w:rFonts w:eastAsia="Calibri"/>
          <w:sz w:val="24"/>
          <w:szCs w:val="24"/>
          <w:lang w:eastAsia="en-US"/>
        </w:rPr>
        <w:t xml:space="preserve"> com ptose palpebral bilateral simétrica ou assimétrica, flacidez dos músculos da face, turvação visual, diplopia, </w:t>
      </w:r>
      <w:proofErr w:type="spellStart"/>
      <w:r w:rsidRPr="002673A5">
        <w:rPr>
          <w:rFonts w:eastAsia="Calibri"/>
          <w:sz w:val="24"/>
          <w:szCs w:val="24"/>
          <w:lang w:eastAsia="en-US"/>
        </w:rPr>
        <w:t>oftalmoplegia</w:t>
      </w:r>
      <w:proofErr w:type="spellEnd"/>
      <w:r w:rsidRPr="002673A5">
        <w:rPr>
          <w:rFonts w:eastAsia="Calibri"/>
          <w:sz w:val="24"/>
          <w:szCs w:val="24"/>
          <w:lang w:eastAsia="en-US"/>
        </w:rPr>
        <w:t xml:space="preserve">, </w:t>
      </w:r>
      <w:proofErr w:type="spellStart"/>
      <w:r w:rsidRPr="002673A5">
        <w:rPr>
          <w:rFonts w:eastAsia="Calibri"/>
          <w:sz w:val="24"/>
          <w:szCs w:val="24"/>
          <w:lang w:eastAsia="en-US"/>
        </w:rPr>
        <w:t>anisocoria</w:t>
      </w:r>
      <w:proofErr w:type="spellEnd"/>
      <w:r w:rsidRPr="002673A5">
        <w:rPr>
          <w:rFonts w:eastAsia="Calibri"/>
          <w:sz w:val="24"/>
          <w:szCs w:val="24"/>
          <w:lang w:eastAsia="en-US"/>
        </w:rPr>
        <w:t xml:space="preserve">, dificuldade para deglutição e mastigação, </w:t>
      </w:r>
      <w:proofErr w:type="spellStart"/>
      <w:r w:rsidRPr="002673A5">
        <w:rPr>
          <w:rFonts w:eastAsia="Calibri"/>
          <w:sz w:val="24"/>
          <w:szCs w:val="24"/>
          <w:lang w:eastAsia="en-US"/>
        </w:rPr>
        <w:t>sialorreia</w:t>
      </w:r>
      <w:proofErr w:type="spellEnd"/>
      <w:r w:rsidRPr="002673A5">
        <w:rPr>
          <w:rFonts w:eastAsia="Calibri"/>
          <w:sz w:val="24"/>
          <w:szCs w:val="24"/>
          <w:lang w:eastAsia="en-US"/>
        </w:rPr>
        <w:t xml:space="preserve">, ptose mandibular, mialgia generalizada e dispneia restritiva e obstrutiva (BLANCO; MELO, 2014). </w:t>
      </w:r>
    </w:p>
    <w:p w14:paraId="3504036B" w14:textId="77777777" w:rsidR="007F05FC" w:rsidRPr="007F05FC" w:rsidRDefault="007F05FC" w:rsidP="007F05FC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</w:p>
    <w:p w14:paraId="0E4875B5" w14:textId="7708980B" w:rsidR="004071DD" w:rsidRPr="00090AE0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 w:rsidRPr="00090AE0">
        <w:rPr>
          <w:rFonts w:eastAsia="Times New Roman"/>
          <w:b/>
          <w:bCs/>
          <w:sz w:val="24"/>
          <w:szCs w:val="24"/>
        </w:rPr>
        <w:t>4 RESULTADOS E DISCUSSÃO</w:t>
      </w:r>
    </w:p>
    <w:p w14:paraId="6D3959BF" w14:textId="103E7878" w:rsidR="00D90323" w:rsidRPr="00D90323" w:rsidRDefault="00D90323" w:rsidP="00D90323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Os acidentes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elapídicos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no Brasil possuem Baixa incidência. O veneno dessas serpentes possui mais de 100 toxinas diferentes além de peptídeos e proteínas não toxicas. A grande quantidade e variedade de toxinas se dá para que a ação desses venenos seja em diversos tipos de tecidos e diferentes grupos de animais. </w:t>
      </w:r>
      <w:r w:rsidR="00D4694E" w:rsidRPr="00D90323">
        <w:rPr>
          <w:rFonts w:eastAsia="Calibri"/>
          <w:sz w:val="24"/>
          <w:szCs w:val="24"/>
          <w:lang w:eastAsia="en-US"/>
        </w:rPr>
        <w:t>G</w:t>
      </w:r>
      <w:r w:rsidRPr="00D90323">
        <w:rPr>
          <w:rFonts w:eastAsia="Calibri"/>
          <w:sz w:val="24"/>
          <w:szCs w:val="24"/>
          <w:lang w:eastAsia="en-US"/>
        </w:rPr>
        <w:t>eralmente o efeito dessas toxinas age nos sistemas cardiovascular, hemostático e necrose de tecidos (CANTINHO, 2016).</w:t>
      </w:r>
    </w:p>
    <w:p w14:paraId="4C34E215" w14:textId="77777777" w:rsidR="00D90323" w:rsidRPr="00D90323" w:rsidRDefault="00D90323" w:rsidP="00D90323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Em veterinária os dados em relação a acidentes ofídicos são escassos, tendo em vista que não há obrigatoriedade de notificação quando há acidentes com animais. A quantidade do veneno inoculado por essas serpentes depende de vários fatores, entre eles o tempo, o local da picada, o tamanho da serpente ou até mesmo a idade do animal. A sensibilidade ao </w:t>
      </w:r>
      <w:r w:rsidRPr="00D90323">
        <w:rPr>
          <w:rFonts w:eastAsia="Calibri"/>
          <w:sz w:val="24"/>
          <w:szCs w:val="24"/>
          <w:lang w:eastAsia="en-US"/>
        </w:rPr>
        <w:lastRenderedPageBreak/>
        <w:t>veneno nas diversas espécies domesticas varia, sabendo-se que ovinos, bovinos e equinos são os mais sensíveis (NOGUEIRA, 2011).</w:t>
      </w:r>
    </w:p>
    <w:p w14:paraId="23D21679" w14:textId="05D00553" w:rsidR="00D90323" w:rsidRPr="00D90323" w:rsidRDefault="00D90323" w:rsidP="00D90323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A dose letal para um animal pode variar, pois os acidentes com essas cobras podem ser triviais ou até extremamente graves. Por exemplo a dose letal para um humano adulto é cerca de 4 a 5 mg de peçonha injetada, no entanto uma serpente adulta é capaz de injetar até 20mg de veneno por picada. Os estudos sobre a peçonha desses animais são poucos, no entanto sabe-se que eles possuem atividade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neurotóxica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, hemolítica, e pro </w:t>
      </w:r>
      <w:r w:rsidR="00D4694E">
        <w:rPr>
          <w:rFonts w:eastAsia="Calibri"/>
          <w:sz w:val="24"/>
          <w:szCs w:val="24"/>
          <w:lang w:eastAsia="en-US"/>
        </w:rPr>
        <w:t xml:space="preserve">– </w:t>
      </w:r>
      <w:r w:rsidRPr="00D90323">
        <w:rPr>
          <w:rFonts w:eastAsia="Calibri"/>
          <w:sz w:val="24"/>
          <w:szCs w:val="24"/>
          <w:lang w:eastAsia="en-US"/>
        </w:rPr>
        <w:t xml:space="preserve">inflamatória, além de ações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cardiotóxicas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e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miotóxicas</w:t>
      </w:r>
      <w:proofErr w:type="spellEnd"/>
      <w:r w:rsidRPr="00D90323">
        <w:rPr>
          <w:rFonts w:eastAsia="Calibri"/>
          <w:sz w:val="24"/>
          <w:szCs w:val="24"/>
          <w:lang w:eastAsia="en-US"/>
        </w:rPr>
        <w:t>, podendo levar a consequências respiratórias e renais no paciente (DONATO, 2009).</w:t>
      </w:r>
    </w:p>
    <w:p w14:paraId="4DB4E770" w14:textId="6EADB0FB" w:rsidR="00D90323" w:rsidRPr="00D90323" w:rsidRDefault="00D90323" w:rsidP="00090AE0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Os efeitos do veneno de serpentes do gênero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micrurus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sp. Podem ser localizados e sistêmicos, dentre os efeitos localizados inicialmente ocorre edema mínimo no local e inflamação das marcas das presas podendo ocorrer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parestesia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local. Dentre os efeitos sistêmicos o animal pode apresentar fraqueza muscular,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oftalmoplegia</w:t>
      </w:r>
      <w:proofErr w:type="spellEnd"/>
      <w:r w:rsidRPr="00D90323">
        <w:rPr>
          <w:rFonts w:eastAsia="Calibri"/>
          <w:sz w:val="24"/>
          <w:szCs w:val="24"/>
          <w:lang w:eastAsia="en-US"/>
        </w:rPr>
        <w:t>, paralisia flácida do</w:t>
      </w:r>
      <w:r w:rsidR="00090AE0" w:rsidRPr="00090AE0">
        <w:rPr>
          <w:rFonts w:eastAsia="Calibri"/>
          <w:sz w:val="24"/>
          <w:szCs w:val="24"/>
          <w:lang w:eastAsia="en-US"/>
        </w:rPr>
        <w:t xml:space="preserve"> </w:t>
      </w:r>
      <w:r w:rsidRPr="00D90323">
        <w:rPr>
          <w:rFonts w:eastAsia="Calibri"/>
          <w:sz w:val="24"/>
          <w:szCs w:val="24"/>
          <w:lang w:eastAsia="en-US"/>
        </w:rPr>
        <w:t>diafragma, com dispneia seguida de morte por parada respiratória, esses efeitos começam a aparecer em poucas horas ou até mesmo se atrasar e iniciar por até 12 horas ou mais (OLSON, 2014).</w:t>
      </w:r>
    </w:p>
    <w:p w14:paraId="301F9878" w14:textId="77777777" w:rsidR="00D90323" w:rsidRPr="00D90323" w:rsidRDefault="00D90323" w:rsidP="00D90323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Os venenos inoculados pelas serpentes do gênero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micrurus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tem ação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neurotóxica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, e sua ação é bastante rápida pois possuem moléculas com baixo peso molecular que são rapidamente absorvidas. Sua ação é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pos-sináptica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competindo com a acetilcolina pelos receptores colinérgicos na junção neuromuscular. Sua ação pré-sináptica bloqueia a liberação de acetilcolina, impedindo o potencial de ação (SPINOSA, 2008).</w:t>
      </w:r>
    </w:p>
    <w:p w14:paraId="4728F2D5" w14:textId="55728C2C" w:rsidR="00D90323" w:rsidRPr="00D90323" w:rsidRDefault="004A0F66" w:rsidP="00D90323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As toxinas dos venenos</w:t>
      </w:r>
      <w:r w:rsidR="00D90323" w:rsidRPr="00D90323">
        <w:rPr>
          <w:rFonts w:eastAsia="Calibri"/>
          <w:sz w:val="24"/>
          <w:szCs w:val="24"/>
          <w:lang w:eastAsia="en-US"/>
        </w:rPr>
        <w:t xml:space="preserve"> de serpentes </w:t>
      </w:r>
      <w:proofErr w:type="spellStart"/>
      <w:r w:rsidR="00D90323" w:rsidRPr="00D90323">
        <w:rPr>
          <w:rFonts w:eastAsia="Calibri"/>
          <w:sz w:val="24"/>
          <w:szCs w:val="24"/>
          <w:lang w:eastAsia="en-US"/>
        </w:rPr>
        <w:t>elapídicos</w:t>
      </w:r>
      <w:proofErr w:type="spellEnd"/>
      <w:r w:rsidR="00D90323" w:rsidRPr="00D90323">
        <w:rPr>
          <w:rFonts w:eastAsia="Calibri"/>
          <w:sz w:val="24"/>
          <w:szCs w:val="24"/>
          <w:lang w:eastAsia="en-US"/>
        </w:rPr>
        <w:t xml:space="preserve"> tem ações que atuam nos canais iônicos e receptores das membranas das células nervosas e musculares, o que afeta a transmissão dos impulsos nervosos. Em decorrência disso o animal pode apresentar paralisia, fácies </w:t>
      </w:r>
      <w:proofErr w:type="spellStart"/>
      <w:r w:rsidR="00D90323" w:rsidRPr="00D90323">
        <w:rPr>
          <w:rFonts w:eastAsia="Calibri"/>
          <w:sz w:val="24"/>
          <w:szCs w:val="24"/>
          <w:lang w:eastAsia="en-US"/>
        </w:rPr>
        <w:t>miastênicas</w:t>
      </w:r>
      <w:proofErr w:type="spellEnd"/>
      <w:r w:rsidR="00D90323" w:rsidRPr="00D90323">
        <w:rPr>
          <w:rFonts w:eastAsia="Calibri"/>
          <w:sz w:val="24"/>
          <w:szCs w:val="24"/>
          <w:lang w:eastAsia="en-US"/>
        </w:rPr>
        <w:t xml:space="preserve">, a problemas respiratórios e em casos graves, à morte por asfixia. O veneno desses animais ainda apresenta efeitos </w:t>
      </w:r>
      <w:proofErr w:type="spellStart"/>
      <w:r w:rsidR="00D90323" w:rsidRPr="00D90323">
        <w:rPr>
          <w:rFonts w:eastAsia="Calibri"/>
          <w:sz w:val="24"/>
          <w:szCs w:val="24"/>
          <w:lang w:eastAsia="en-US"/>
        </w:rPr>
        <w:t>cardiotóxicos</w:t>
      </w:r>
      <w:proofErr w:type="spellEnd"/>
      <w:r w:rsidR="00D90323" w:rsidRPr="00D90323">
        <w:rPr>
          <w:rFonts w:eastAsia="Calibri"/>
          <w:sz w:val="24"/>
          <w:szCs w:val="24"/>
          <w:lang w:eastAsia="en-US"/>
        </w:rPr>
        <w:t>, provocando arritmias e insuficiência cardíaca podendo levar a problemas cardíacos. As ações toxicas do veneno podem variar, mas pode causar hipotensão e insuficiência renal (DIAS, 2023).</w:t>
      </w:r>
    </w:p>
    <w:p w14:paraId="08F8BAE9" w14:textId="77777777" w:rsidR="00D90323" w:rsidRPr="00D90323" w:rsidRDefault="00D90323" w:rsidP="00D90323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As serpentes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Micrurus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ibiboboca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apresentam em sua peçonha atividade hemolítica, o que eleva a permeabilidade e possui componentes que são capazes de interferir nos fatores humorais associados a respostas pró inflamatórias. (Correia, 2011). Esta espécie possui peçonha capaz de induzir alta atividade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acetilcolinesterase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, L aminoácido oxidase,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lastRenderedPageBreak/>
        <w:t>hialuronidase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,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fosfodiesterase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, 5'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nucleotidase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,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fosfolipásica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e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mionecrótica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, porém ausência das atividades hemorrágica, fibrinolítica, trombina símile e proteolítica sobre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calicreína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,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plasmina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e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catepsina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C (CASAIS E SILVA, 1995).</w:t>
      </w:r>
    </w:p>
    <w:p w14:paraId="492734D7" w14:textId="1868F1DC" w:rsidR="00D90323" w:rsidRPr="00D90323" w:rsidRDefault="00D90323" w:rsidP="00D90323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O veneno dessa espécie é composto por 25% de sólidos totais, onde 70% a 90% são proteínas de alto peso molecular e o restante carboidratos, aminoácidos, pequenos peptídeos, aminas biogenias e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metaloproteinases</w:t>
      </w:r>
      <w:proofErr w:type="spellEnd"/>
      <w:r w:rsidRPr="00D90323">
        <w:rPr>
          <w:rFonts w:eastAsia="Calibri"/>
          <w:sz w:val="24"/>
          <w:szCs w:val="24"/>
          <w:lang w:eastAsia="en-US"/>
        </w:rPr>
        <w:t>. É valido ressaltar que os estudos bioquímico</w:t>
      </w:r>
      <w:r w:rsidR="00D4694E">
        <w:rPr>
          <w:rFonts w:eastAsia="Calibri"/>
          <w:sz w:val="24"/>
          <w:szCs w:val="24"/>
          <w:lang w:eastAsia="en-US"/>
        </w:rPr>
        <w:t>s</w:t>
      </w:r>
      <w:r w:rsidRPr="00D90323">
        <w:rPr>
          <w:rFonts w:eastAsia="Calibri"/>
          <w:sz w:val="24"/>
          <w:szCs w:val="24"/>
          <w:lang w:eastAsia="en-US"/>
        </w:rPr>
        <w:t xml:space="preserve"> desse veneno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elapídico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são escassos devido a quantidade que é obtida, dificuldade de coleta, e a manutenção da cobra-coral em cativeiro onde ela permanece para realização desses estudos (RIBOLDI, 2010).</w:t>
      </w:r>
    </w:p>
    <w:p w14:paraId="251425DC" w14:textId="7E5AB8B7" w:rsidR="00D90323" w:rsidRPr="00090AE0" w:rsidRDefault="00D4694E" w:rsidP="00FB2799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A </w:t>
      </w:r>
      <w:proofErr w:type="spellStart"/>
      <w:r>
        <w:rPr>
          <w:rFonts w:eastAsia="Calibri"/>
          <w:sz w:val="24"/>
          <w:szCs w:val="24"/>
          <w:lang w:eastAsia="en-US"/>
        </w:rPr>
        <w:t>neurotoxicidade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</w:t>
      </w:r>
      <w:proofErr w:type="gramStart"/>
      <w:r>
        <w:rPr>
          <w:rFonts w:eastAsia="Calibri"/>
          <w:sz w:val="24"/>
          <w:szCs w:val="24"/>
          <w:lang w:eastAsia="en-US"/>
        </w:rPr>
        <w:t xml:space="preserve">pré – </w:t>
      </w:r>
      <w:r w:rsidR="00D90323" w:rsidRPr="00D90323">
        <w:rPr>
          <w:rFonts w:eastAsia="Calibri"/>
          <w:sz w:val="24"/>
          <w:szCs w:val="24"/>
          <w:lang w:eastAsia="en-US"/>
        </w:rPr>
        <w:t>sináptica</w:t>
      </w:r>
      <w:proofErr w:type="gramEnd"/>
      <w:r w:rsidR="00D90323" w:rsidRPr="00D90323">
        <w:rPr>
          <w:rFonts w:eastAsia="Calibri"/>
          <w:sz w:val="24"/>
          <w:szCs w:val="24"/>
          <w:lang w:eastAsia="en-US"/>
        </w:rPr>
        <w:t xml:space="preserve"> atuam nos axônios e impedem a liberação de acetilcolina (</w:t>
      </w:r>
      <w:proofErr w:type="spellStart"/>
      <w:r w:rsidR="00D90323" w:rsidRPr="00D90323">
        <w:rPr>
          <w:rFonts w:eastAsia="Calibri"/>
          <w:sz w:val="24"/>
          <w:szCs w:val="24"/>
          <w:lang w:eastAsia="en-US"/>
        </w:rPr>
        <w:t>ACh</w:t>
      </w:r>
      <w:proofErr w:type="spellEnd"/>
      <w:r w:rsidR="00D90323" w:rsidRPr="00D90323">
        <w:rPr>
          <w:rFonts w:eastAsia="Calibri"/>
          <w:sz w:val="24"/>
          <w:szCs w:val="24"/>
          <w:lang w:eastAsia="en-US"/>
        </w:rPr>
        <w:t xml:space="preserve">) na junção neuromuscular dos nervos motores e é causada por proteínas com atividade </w:t>
      </w:r>
      <w:proofErr w:type="spellStart"/>
      <w:r w:rsidR="00D90323" w:rsidRPr="00D90323">
        <w:rPr>
          <w:rFonts w:eastAsia="Calibri"/>
          <w:sz w:val="24"/>
          <w:szCs w:val="24"/>
          <w:lang w:eastAsia="en-US"/>
        </w:rPr>
        <w:t>fosfolipásica</w:t>
      </w:r>
      <w:proofErr w:type="spellEnd"/>
      <w:r w:rsidR="00D90323" w:rsidRPr="00D90323">
        <w:rPr>
          <w:rFonts w:eastAsia="Calibri"/>
          <w:sz w:val="24"/>
          <w:szCs w:val="24"/>
          <w:lang w:eastAsia="en-US"/>
        </w:rPr>
        <w:t xml:space="preserve">. Já a </w:t>
      </w:r>
      <w:proofErr w:type="spellStart"/>
      <w:r w:rsidR="00D90323" w:rsidRPr="00D90323">
        <w:rPr>
          <w:rFonts w:eastAsia="Calibri"/>
          <w:sz w:val="24"/>
          <w:szCs w:val="24"/>
          <w:lang w:eastAsia="en-US"/>
        </w:rPr>
        <w:t>neurotoxicidade</w:t>
      </w:r>
      <w:proofErr w:type="spellEnd"/>
      <w:r w:rsidR="00D90323" w:rsidRPr="00D90323">
        <w:rPr>
          <w:rFonts w:eastAsia="Calibri"/>
          <w:sz w:val="24"/>
          <w:szCs w:val="24"/>
          <w:lang w:eastAsia="en-US"/>
        </w:rPr>
        <w:t xml:space="preserve"> pós </w:t>
      </w:r>
      <w:proofErr w:type="spellStart"/>
      <w:r w:rsidR="00D90323" w:rsidRPr="00D90323">
        <w:rPr>
          <w:rFonts w:eastAsia="Calibri"/>
          <w:sz w:val="24"/>
          <w:szCs w:val="24"/>
          <w:lang w:eastAsia="en-US"/>
        </w:rPr>
        <w:t>sinptica</w:t>
      </w:r>
      <w:proofErr w:type="spellEnd"/>
      <w:r w:rsidR="00D90323" w:rsidRPr="00D90323">
        <w:rPr>
          <w:rFonts w:eastAsia="Calibri"/>
          <w:sz w:val="24"/>
          <w:szCs w:val="24"/>
          <w:lang w:eastAsia="en-US"/>
        </w:rPr>
        <w:t xml:space="preserve"> é causada por proteínas de 3</w:t>
      </w:r>
    </w:p>
    <w:p w14:paraId="0022FECA" w14:textId="3277DB3E" w:rsidR="00D90323" w:rsidRPr="00D90323" w:rsidRDefault="00D4694E" w:rsidP="00D90323">
      <w:pPr>
        <w:spacing w:line="360" w:lineRule="auto"/>
        <w:ind w:left="170" w:right="113"/>
        <w:jc w:val="both"/>
        <w:rPr>
          <w:rFonts w:eastAsia="Calibri"/>
          <w:sz w:val="24"/>
          <w:szCs w:val="24"/>
          <w:lang w:eastAsia="en-US"/>
        </w:rPr>
      </w:pPr>
      <w:proofErr w:type="gramStart"/>
      <w:r>
        <w:rPr>
          <w:rFonts w:eastAsia="Calibri"/>
          <w:sz w:val="24"/>
          <w:szCs w:val="24"/>
          <w:lang w:eastAsia="en-US"/>
        </w:rPr>
        <w:t>dígitos</w:t>
      </w:r>
      <w:proofErr w:type="gramEnd"/>
      <w:r>
        <w:rPr>
          <w:rFonts w:eastAsia="Calibri"/>
          <w:sz w:val="24"/>
          <w:szCs w:val="24"/>
          <w:lang w:eastAsia="en-US"/>
        </w:rPr>
        <w:t xml:space="preserve"> </w:t>
      </w:r>
      <w:r w:rsidR="00D90323" w:rsidRPr="00D90323">
        <w:rPr>
          <w:rFonts w:eastAsia="Calibri"/>
          <w:sz w:val="24"/>
          <w:szCs w:val="24"/>
          <w:lang w:eastAsia="en-US"/>
        </w:rPr>
        <w:t xml:space="preserve">(2FTx) e não possui ação enzimática, atuando por fixação nos receptores colinérgicos das membranas pós-sinápticas da junção dos nervos motores. A ação </w:t>
      </w:r>
      <w:proofErr w:type="spellStart"/>
      <w:r w:rsidR="00D90323" w:rsidRPr="00D90323">
        <w:rPr>
          <w:rFonts w:eastAsia="Calibri"/>
          <w:sz w:val="24"/>
          <w:szCs w:val="24"/>
          <w:lang w:eastAsia="en-US"/>
        </w:rPr>
        <w:t>neurotóxica</w:t>
      </w:r>
      <w:proofErr w:type="spellEnd"/>
      <w:r w:rsidR="00D90323" w:rsidRPr="00D90323">
        <w:rPr>
          <w:rFonts w:eastAsia="Calibri"/>
          <w:sz w:val="24"/>
          <w:szCs w:val="24"/>
          <w:lang w:eastAsia="en-US"/>
        </w:rPr>
        <w:t xml:space="preserve"> desse veneno pose estar relacionado com a ação </w:t>
      </w:r>
      <w:proofErr w:type="spellStart"/>
      <w:r w:rsidR="00D90323" w:rsidRPr="00D90323">
        <w:rPr>
          <w:rFonts w:eastAsia="Calibri"/>
          <w:sz w:val="24"/>
          <w:szCs w:val="24"/>
          <w:lang w:eastAsia="en-US"/>
        </w:rPr>
        <w:t>neurotóxica</w:t>
      </w:r>
      <w:proofErr w:type="spellEnd"/>
      <w:r w:rsidR="00D90323" w:rsidRPr="00D90323">
        <w:rPr>
          <w:rFonts w:eastAsia="Calibri"/>
          <w:sz w:val="24"/>
          <w:szCs w:val="24"/>
          <w:lang w:eastAsia="en-US"/>
        </w:rPr>
        <w:t xml:space="preserve"> (MOREIRA, 2022).</w:t>
      </w:r>
    </w:p>
    <w:p w14:paraId="59954753" w14:textId="77777777" w:rsidR="00D90323" w:rsidRPr="00D90323" w:rsidRDefault="00D90323" w:rsidP="00D90323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Como já dito anteriormente o envenenamento pelas serpentes do gênero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micrurus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é caracterizado por apresentar manifestações locais e sistêmicas. O paciente pode sofrer um acidente e apresentar sintomas relacionados a toxicidade cardíaca, neural, muscular, renal e vascular. Após o diagnostico o paciente deve ter seu estado respiratório monitorado com cautela, afim de evitar o agravamento do caso (OLIVEIRA, 2017). Os acidentes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elapídicos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são considerados mais graves que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crotálicos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e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botrópicos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pelo quadro de insuficiência respiratória restritiva por paralisia diafragmática e musculaturas torácicas (CINTRA, 2014).</w:t>
      </w:r>
    </w:p>
    <w:p w14:paraId="4EDE20FB" w14:textId="77777777" w:rsidR="00D90323" w:rsidRPr="00D90323" w:rsidRDefault="00D90323" w:rsidP="00D90323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Alguns grupos de proteínas presentes nas toxinas dos venenos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elapídicos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podem induzir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cardiotoxicidade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. Apesar de não tão comum, existem casos de compostos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cardiotóxicos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juntamente com proteínas que impactam na hemóstase dos indivíduos que foram envenenados podem levar o paciente </w:t>
      </w:r>
      <w:proofErr w:type="gramStart"/>
      <w:r w:rsidRPr="00D90323">
        <w:rPr>
          <w:rFonts w:eastAsia="Calibri"/>
          <w:sz w:val="24"/>
          <w:szCs w:val="24"/>
          <w:lang w:eastAsia="en-US"/>
        </w:rPr>
        <w:t>à</w:t>
      </w:r>
      <w:proofErr w:type="gramEnd"/>
      <w:r w:rsidRPr="00D90323">
        <w:rPr>
          <w:rFonts w:eastAsia="Calibri"/>
          <w:sz w:val="24"/>
          <w:szCs w:val="24"/>
          <w:lang w:eastAsia="en-US"/>
        </w:rPr>
        <w:t xml:space="preserve"> sofrer infarto do miocárdio, além de outras lesões como falência renal (RINCON FILHO, 2020).</w:t>
      </w:r>
    </w:p>
    <w:p w14:paraId="3AA41FA4" w14:textId="77777777" w:rsidR="00D90323" w:rsidRPr="00D90323" w:rsidRDefault="00D90323" w:rsidP="00D90323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As citotoxinas são proteínas básicas, desprovidas de ação enzimática e capazes de causar hemólise,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citólise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, despolarização de membranas musculares e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cardiotoxicidade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especifica. As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cardiotoxinas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são componentes que se ligam a receptores de membrana das fibras musculares cardíacas e produzem despolarização da fibra e paralisia irreversível, com parada cardíaca. Pode ocorrer o bloqueio da transmissão de sinais entre nervos e os </w:t>
      </w:r>
      <w:r w:rsidRPr="00D90323">
        <w:rPr>
          <w:rFonts w:eastAsia="Calibri"/>
          <w:sz w:val="24"/>
          <w:szCs w:val="24"/>
          <w:lang w:eastAsia="en-US"/>
        </w:rPr>
        <w:lastRenderedPageBreak/>
        <w:t>músculos, inclusive o musculo cardíaco, podendo levar o animal a bradicardia, arritmias e insuficiência cardíaca congestiva e ainda ter efeitos diretamente no miocárdio levando a cardiomiopatia e miocardite (LEÃO, 2008).</w:t>
      </w:r>
    </w:p>
    <w:p w14:paraId="42DD87E8" w14:textId="1E737073" w:rsidR="00D90323" w:rsidRPr="00090AE0" w:rsidRDefault="00D90323" w:rsidP="00FB2799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>A insuficiência cardíaca é a incapacidade do coração de bombear o sangue necessário para atender às demandas metabólicas do organismo. O coração torna-se insuficiente devido à falha na sua capacidade contrátil ou por aumento na demanda de trabalho (SANTOS, 2016). A diminuição súbita da contratilidade ventricular é pouco comum em Medicina Veterinária, embora o número de animais apresentado a consulta com sinais de IC aguda, é significativo, provavelmente pelo fato de os proprietários não identificarem os sinais clínicos mais sutis até que estes se tornem muito graves (PEREIRA, 2014).</w:t>
      </w:r>
    </w:p>
    <w:p w14:paraId="5AC5A002" w14:textId="6FA1F115" w:rsidR="00D90323" w:rsidRPr="00D90323" w:rsidRDefault="00D90323" w:rsidP="00D90323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A insuficiência cardíaca pode ser classificada como aguda ou crônica, onde a aguda é resultado de uma perda súbita da contração efetiva do coração, com diminuição acentuada do débito cardíaco e hipóxia nos órgãos vitais, inicialmente o encéfalo, ocasionando a morte do animal. Como o evento é rápido não dá tempo os mecanismos compensatórios atuarem. Causas comuns de insuficiência aguda são: tamponamento cardíaco, </w:t>
      </w:r>
      <w:proofErr w:type="gramStart"/>
      <w:r w:rsidRPr="00D90323">
        <w:rPr>
          <w:rFonts w:eastAsia="Calibri"/>
          <w:sz w:val="24"/>
          <w:szCs w:val="24"/>
          <w:lang w:eastAsia="en-US"/>
        </w:rPr>
        <w:t>necroses, arritmias e desequilíbrio eletrolítico</w:t>
      </w:r>
      <w:proofErr w:type="gramEnd"/>
      <w:r w:rsidRPr="00D90323">
        <w:rPr>
          <w:rFonts w:eastAsia="Calibri"/>
          <w:sz w:val="24"/>
          <w:szCs w:val="24"/>
          <w:lang w:eastAsia="en-US"/>
        </w:rPr>
        <w:t xml:space="preserve"> (SANTOS, 2016).</w:t>
      </w:r>
    </w:p>
    <w:p w14:paraId="6A986608" w14:textId="77777777" w:rsidR="00D90323" w:rsidRPr="00D90323" w:rsidRDefault="00D90323" w:rsidP="00D90323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>A patogenia da insuficiência cardíaca congestiva é iniciada por cardiopatia (miocárdica, valvular, congênita, etc.) ou pelo aumento da carga de trabalho associada a doenças pulmonares, renais ou vasculares. Ocorre perda da reserva cardíaca e redução do fluxo sanguíneo aos tecidos periféricos (insuficiência projetada) e acumulação de sangue antes do coração insuficiente (insuficiência retrógrada) (CARLTON, 1998).</w:t>
      </w:r>
    </w:p>
    <w:p w14:paraId="738F4407" w14:textId="77777777" w:rsidR="00D90323" w:rsidRPr="00D90323" w:rsidRDefault="00D90323" w:rsidP="00D90323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>A Insuficiência cardíaca congestiva é um processo em consequência da perda gradual da eficiência cardíaca de bombeamento. As causas de ICC são cardiomiopatias, lesões inflamatórias ou degenerativas do miocárdio, alterações cardíacas congênitas, doenças pulmonares, estenoses e insuficiências valvulares. Na ICC esquerda é observado hipertrofia ou dilatação do ventrículo esquerdo, congestão e edemas pulmonares (SANTOS, 2016).</w:t>
      </w:r>
    </w:p>
    <w:p w14:paraId="5A31BBCC" w14:textId="77777777" w:rsidR="00D90323" w:rsidRPr="00D90323" w:rsidRDefault="00D90323" w:rsidP="00D90323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Entre as manifestações sistêmicas podem surgir mialgia localizada ou generalizada, dificuldade para se manter na posição ereta, dificuldade de deglutir devido à paralisia do véu palatino. A paralisia flácida da musculatura respiratória compromete a ventilação, podendo evoluir para insuficiência respiratória aguda e apneia, semelhante ao que ocorrem no acidente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crotálico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(ARÊA LEÃO DE OLIVEIRA, 2018).</w:t>
      </w:r>
    </w:p>
    <w:p w14:paraId="47B3B5EF" w14:textId="4DAD9D01" w:rsidR="00D90323" w:rsidRPr="00090AE0" w:rsidRDefault="00D90323" w:rsidP="00FB2799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lastRenderedPageBreak/>
        <w:t xml:space="preserve">As neurotoxinas no veneno podem causa insuficiência renal aguda, decorrente de danos nos túbulos renais o que impede a filtragem do sangue, chegando a causar falência renal. Segundo Xavier 2008 a insuficiência renal aguda (IRA) pode ser definida como declínio abrupto e sustentado na filtração glomerular, daí o resultando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azotemia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. A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azotemia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pré-renal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pode resultar de qualquer distúrbio que diminua a perfusão renal ou que resulte em aumento da produção de ureia. A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azotemia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renal é causada por insuficiência renal e ocorre quando 75% dos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néfrons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ficam não funcionais. Comumente as causas da IRA, são associadas a um evento isquêmico, ou pela exposição a agentes nefrotóxicos, ou outras condições que causem lesões nas células epiteliais dos túbulos proximal e o ramo ascendente da alça de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Henle</w:t>
      </w:r>
      <w:proofErr w:type="spellEnd"/>
      <w:r w:rsidRPr="00D90323">
        <w:rPr>
          <w:rFonts w:eastAsia="Calibri"/>
          <w:sz w:val="24"/>
          <w:szCs w:val="24"/>
          <w:lang w:eastAsia="en-US"/>
        </w:rPr>
        <w:t>, causando deficiência na regulação eletrolítica (XAVIER, 2008).</w:t>
      </w:r>
    </w:p>
    <w:p w14:paraId="186D162B" w14:textId="77777777" w:rsidR="00FB2799" w:rsidRPr="00090AE0" w:rsidRDefault="00FB2799" w:rsidP="00FB2799">
      <w:pPr>
        <w:spacing w:line="360" w:lineRule="auto"/>
        <w:ind w:left="170" w:right="113" w:firstLine="709"/>
        <w:jc w:val="both"/>
        <w:rPr>
          <w:rFonts w:eastAsia="Calibri"/>
          <w:sz w:val="24"/>
          <w:szCs w:val="24"/>
          <w:lang w:eastAsia="en-US"/>
        </w:rPr>
      </w:pPr>
    </w:p>
    <w:p w14:paraId="53EAE99D" w14:textId="4F0FA666" w:rsidR="004071DD" w:rsidRPr="00090AE0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 w:rsidRPr="00090AE0">
        <w:rPr>
          <w:rFonts w:eastAsia="Times New Roman"/>
          <w:b/>
          <w:bCs/>
          <w:sz w:val="24"/>
          <w:szCs w:val="24"/>
        </w:rPr>
        <w:t xml:space="preserve">5 </w:t>
      </w:r>
      <w:r w:rsidR="00CC3AC7" w:rsidRPr="00090AE0">
        <w:rPr>
          <w:rFonts w:eastAsia="Times New Roman"/>
          <w:b/>
          <w:bCs/>
          <w:sz w:val="24"/>
          <w:szCs w:val="24"/>
        </w:rPr>
        <w:t>CONSIDERAÇÕES FINAIS</w:t>
      </w:r>
    </w:p>
    <w:p w14:paraId="7BDCB61A" w14:textId="77777777" w:rsidR="00D90323" w:rsidRDefault="00D90323" w:rsidP="00D90323">
      <w:pPr>
        <w:spacing w:line="360" w:lineRule="auto"/>
        <w:ind w:left="170" w:right="113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Acidentes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elapídicos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em animais produção se torna de grande viabilidade, devido não ser tão comum a morte de ruminantes por picada de cobra. Os casos de acidentes por animais peçonhentos ocorrem, devido a consequência de proximidade ao habitat natural, sendo as serpentes do gênero </w:t>
      </w:r>
      <w:proofErr w:type="spellStart"/>
      <w:r w:rsidRPr="00D90323">
        <w:rPr>
          <w:rFonts w:eastAsia="Calibri"/>
          <w:i/>
          <w:sz w:val="24"/>
          <w:szCs w:val="24"/>
          <w:lang w:eastAsia="en-US"/>
        </w:rPr>
        <w:t>Micrurus</w:t>
      </w:r>
      <w:proofErr w:type="spellEnd"/>
      <w:r w:rsidRPr="00D90323">
        <w:rPr>
          <w:rFonts w:eastAsia="Calibri"/>
          <w:i/>
          <w:sz w:val="24"/>
          <w:szCs w:val="24"/>
          <w:lang w:eastAsia="en-US"/>
        </w:rPr>
        <w:t xml:space="preserve"> </w:t>
      </w:r>
      <w:proofErr w:type="spellStart"/>
      <w:r w:rsidRPr="00D90323">
        <w:rPr>
          <w:rFonts w:eastAsia="Calibri"/>
          <w:i/>
          <w:sz w:val="24"/>
          <w:szCs w:val="24"/>
          <w:lang w:eastAsia="en-US"/>
        </w:rPr>
        <w:t>ssp</w:t>
      </w:r>
      <w:proofErr w:type="spellEnd"/>
      <w:r w:rsidRPr="00D90323">
        <w:rPr>
          <w:rFonts w:eastAsia="Calibri"/>
          <w:i/>
          <w:sz w:val="24"/>
          <w:szCs w:val="24"/>
          <w:lang w:eastAsia="en-US"/>
        </w:rPr>
        <w:t xml:space="preserve">. </w:t>
      </w:r>
      <w:r w:rsidRPr="00D90323">
        <w:rPr>
          <w:rFonts w:eastAsia="Calibri"/>
          <w:sz w:val="24"/>
          <w:szCs w:val="24"/>
          <w:lang w:eastAsia="en-US"/>
        </w:rPr>
        <w:t xml:space="preserve">de maior frequência na região do acontecido acidente. </w:t>
      </w:r>
    </w:p>
    <w:p w14:paraId="33123A70" w14:textId="631FFB73" w:rsidR="004071DD" w:rsidRPr="00090AE0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66E9FA03" w14:textId="3DB3C0AD" w:rsidR="0014789D" w:rsidRPr="00090AE0" w:rsidRDefault="004071DD" w:rsidP="009140D1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  <w:r w:rsidRPr="00090AE0">
        <w:rPr>
          <w:rFonts w:eastAsia="Times New Roman"/>
          <w:b/>
          <w:bCs/>
          <w:sz w:val="24"/>
          <w:szCs w:val="24"/>
        </w:rPr>
        <w:t>REFERÊNCIAS</w:t>
      </w:r>
    </w:p>
    <w:p w14:paraId="5DD5323D" w14:textId="77777777" w:rsidR="00D90323" w:rsidRPr="00090AE0" w:rsidRDefault="00D90323" w:rsidP="009140D1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  <w:bookmarkStart w:id="1" w:name="_GoBack"/>
      <w:bookmarkEnd w:id="1"/>
    </w:p>
    <w:p w14:paraId="7217218D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ARÊA LEÃO DE OLIVEIRA, A. T., Pacheco Barbosa de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Sousau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, A. F., de Castro Leite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Alcantra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, I., Teixeira Nunes de Miranda, I., &amp;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Brandim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Marques, R. (2018). </w:t>
      </w:r>
      <w:r w:rsidRPr="00D90323">
        <w:rPr>
          <w:rFonts w:eastAsia="Calibri"/>
          <w:b/>
          <w:sz w:val="24"/>
          <w:szCs w:val="24"/>
          <w:lang w:eastAsia="en-US"/>
        </w:rPr>
        <w:t>Acidentes com animais peçonhentos no Brasil</w:t>
      </w:r>
      <w:r w:rsidRPr="00D90323">
        <w:rPr>
          <w:rFonts w:eastAsia="Calibri"/>
          <w:sz w:val="24"/>
          <w:szCs w:val="24"/>
          <w:lang w:eastAsia="en-US"/>
        </w:rPr>
        <w:t>: revisão de literatura. </w:t>
      </w:r>
      <w:proofErr w:type="spellStart"/>
      <w:r w:rsidRPr="00D90323">
        <w:rPr>
          <w:rFonts w:eastAsia="Calibri"/>
          <w:i/>
          <w:iCs/>
          <w:sz w:val="24"/>
          <w:szCs w:val="24"/>
          <w:lang w:eastAsia="en-US"/>
        </w:rPr>
        <w:t>Revinter</w:t>
      </w:r>
      <w:proofErr w:type="spellEnd"/>
      <w:r w:rsidRPr="00D90323">
        <w:rPr>
          <w:rFonts w:eastAsia="Calibri"/>
          <w:sz w:val="24"/>
          <w:szCs w:val="24"/>
          <w:lang w:eastAsia="en-US"/>
        </w:rPr>
        <w:t>, </w:t>
      </w:r>
      <w:r w:rsidRPr="00D90323">
        <w:rPr>
          <w:rFonts w:eastAsia="Calibri"/>
          <w:i/>
          <w:iCs/>
          <w:sz w:val="24"/>
          <w:szCs w:val="24"/>
          <w:lang w:eastAsia="en-US"/>
        </w:rPr>
        <w:t>11</w:t>
      </w:r>
      <w:r w:rsidRPr="00D90323">
        <w:rPr>
          <w:rFonts w:eastAsia="Calibri"/>
          <w:sz w:val="24"/>
          <w:szCs w:val="24"/>
          <w:lang w:eastAsia="en-US"/>
        </w:rPr>
        <w:t>(3).</w:t>
      </w:r>
    </w:p>
    <w:p w14:paraId="7C6F052C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4A265900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BLANCO, B.S.; MELO, M.M. Animais peçonhentos. </w:t>
      </w:r>
      <w:r w:rsidRPr="00D90323">
        <w:rPr>
          <w:rFonts w:eastAsia="Calibri"/>
          <w:b/>
          <w:sz w:val="24"/>
          <w:szCs w:val="24"/>
          <w:lang w:eastAsia="en-US"/>
        </w:rPr>
        <w:t>Cadernos Técnicos de Veterinária e Zootecnia</w:t>
      </w:r>
      <w:r w:rsidRPr="00D90323">
        <w:rPr>
          <w:rFonts w:eastAsia="Calibri"/>
          <w:sz w:val="24"/>
          <w:szCs w:val="24"/>
          <w:lang w:eastAsia="en-US"/>
        </w:rPr>
        <w:t>, Minas Gerais, v.1, n.75, p.1-77, dez 2014.Brasília. p.120, 2001.</w:t>
      </w:r>
    </w:p>
    <w:p w14:paraId="3C31441F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490F1B0C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BRASIL. Ministério da Saúde. </w:t>
      </w:r>
      <w:r w:rsidRPr="00D90323">
        <w:rPr>
          <w:rFonts w:eastAsia="Calibri"/>
          <w:b/>
          <w:sz w:val="24"/>
          <w:szCs w:val="24"/>
          <w:lang w:eastAsia="en-US"/>
        </w:rPr>
        <w:t>Guia de vigilância epidemiológica</w:t>
      </w:r>
      <w:r w:rsidRPr="00D90323">
        <w:rPr>
          <w:rFonts w:eastAsia="Calibri"/>
          <w:sz w:val="24"/>
          <w:szCs w:val="24"/>
          <w:lang w:eastAsia="en-US"/>
        </w:rPr>
        <w:t>. 7. ed. Brasília: Ministério da Saúde, 2009.</w:t>
      </w:r>
    </w:p>
    <w:p w14:paraId="638D87A1" w14:textId="77777777" w:rsidR="00D90323" w:rsidRPr="00D90323" w:rsidRDefault="00D90323" w:rsidP="00D90323">
      <w:pPr>
        <w:ind w:right="113"/>
        <w:rPr>
          <w:rFonts w:eastAsia="Calibri"/>
          <w:sz w:val="24"/>
          <w:szCs w:val="24"/>
          <w:lang w:eastAsia="en-US"/>
        </w:rPr>
      </w:pPr>
    </w:p>
    <w:p w14:paraId="47991763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>CANTINHO JÚNIOR, João de Jesus. Acidentes por animais peçonhentos no estado do Piauí entre 2007 até 2014: uma série de casos. 2016. 69 f. Dissertação (Mestrado em Medicina Tropical) - Instituto Oswaldo Cruz, Fundação Oswaldo Cruz, Teresina, 2016.</w:t>
      </w:r>
    </w:p>
    <w:p w14:paraId="5722FA05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73DE6F79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>CASAIS E SILVA, Luciana Lyra. 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Caracterizacao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das atividades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biologicas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e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enzimaticas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do veneno de duas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especies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de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micrurus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(serpentes;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elapidae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) do estado </w:t>
      </w:r>
      <w:r w:rsidRPr="00D90323">
        <w:rPr>
          <w:rFonts w:eastAsia="Calibri"/>
          <w:b/>
          <w:bCs/>
          <w:sz w:val="24"/>
          <w:szCs w:val="24"/>
          <w:lang w:eastAsia="en-US"/>
        </w:rPr>
        <w:lastRenderedPageBreak/>
        <w:t xml:space="preserve">da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bahia</w:t>
      </w:r>
      <w:proofErr w:type="spellEnd"/>
      <w:r w:rsidRPr="00D90323">
        <w:rPr>
          <w:rFonts w:eastAsia="Calibri"/>
          <w:sz w:val="24"/>
          <w:szCs w:val="24"/>
          <w:lang w:eastAsia="en-US"/>
        </w:rPr>
        <w:t>. 1995. Dissertação (Mestrado) – Universidade de São Paulo, São Paulo, 1995. Acesso em: 03 jun. 2024.</w:t>
      </w:r>
    </w:p>
    <w:p w14:paraId="3767771C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17513448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>CARLTON, W.W.; Mc GAVIN, M.C. Patologia Veterinária Especial de Thomson. Porto Alegre: Artmed, 2ed, 1998.</w:t>
      </w:r>
    </w:p>
    <w:p w14:paraId="214F7018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7F8C1C8F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CINTRA, </w:t>
      </w:r>
      <w:proofErr w:type="gramStart"/>
      <w:r w:rsidRPr="00D90323">
        <w:rPr>
          <w:rFonts w:eastAsia="Calibri"/>
          <w:sz w:val="24"/>
          <w:szCs w:val="24"/>
          <w:lang w:eastAsia="en-US"/>
        </w:rPr>
        <w:t>C..</w:t>
      </w:r>
      <w:proofErr w:type="gramEnd"/>
      <w:r w:rsidRPr="00D90323">
        <w:rPr>
          <w:rFonts w:eastAsia="Calibri"/>
          <w:sz w:val="24"/>
          <w:szCs w:val="24"/>
          <w:lang w:eastAsia="en-US"/>
        </w:rPr>
        <w:t>; PAULINO JÚNIOR, D..; DIAS, L. G..; PEREIRA, L..; DIAS, F. ACIDENTES OFÍDICOS EM ANIMAIS DOMÉSTICOS. </w:t>
      </w:r>
      <w:r w:rsidRPr="00D90323">
        <w:rPr>
          <w:rFonts w:eastAsia="Calibri"/>
          <w:b/>
          <w:bCs/>
          <w:sz w:val="24"/>
          <w:szCs w:val="24"/>
          <w:lang w:eastAsia="en-US"/>
        </w:rPr>
        <w:t>ENCICLOPEDIA BIOSFERA</w:t>
      </w:r>
      <w:r w:rsidRPr="00D90323">
        <w:rPr>
          <w:rFonts w:eastAsia="Calibri"/>
          <w:sz w:val="24"/>
          <w:szCs w:val="24"/>
          <w:lang w:eastAsia="en-US"/>
        </w:rPr>
        <w:t>, </w:t>
      </w:r>
      <w:r w:rsidRPr="00D90323">
        <w:rPr>
          <w:rFonts w:eastAsia="Calibri"/>
          <w:i/>
          <w:iCs/>
          <w:sz w:val="24"/>
          <w:szCs w:val="24"/>
          <w:lang w:eastAsia="en-US"/>
        </w:rPr>
        <w:t>[S. l.]</w:t>
      </w:r>
      <w:r w:rsidRPr="00D90323">
        <w:rPr>
          <w:rFonts w:eastAsia="Calibri"/>
          <w:sz w:val="24"/>
          <w:szCs w:val="24"/>
          <w:lang w:eastAsia="en-US"/>
        </w:rPr>
        <w:t>, v. 10, n. 18, 2014. Disponível em: https://www.conhecer.org.br/ojs/index.php/biosfera/article/view/2643. Acesso em: 3 jun. 2024.</w:t>
      </w:r>
    </w:p>
    <w:p w14:paraId="3D30A3F8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0E0F2B0D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>CORREIA, Juliana Mendes. 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Ofidismo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no Estado de Pernambuco: uma abordagem epidemiológica histórica e caracterização molecular de uma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metaloprotease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da glândula de peçonha de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viperídeos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sul americanos</w:t>
      </w:r>
      <w:r w:rsidRPr="00D90323">
        <w:rPr>
          <w:rFonts w:eastAsia="Calibri"/>
          <w:sz w:val="24"/>
          <w:szCs w:val="24"/>
          <w:lang w:eastAsia="en-US"/>
        </w:rPr>
        <w:t>. 2011. Tese de doutorado (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Ciencias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Biológicas) - Universidade Federal de Pernambuco, [</w:t>
      </w:r>
      <w:r w:rsidRPr="00D90323">
        <w:rPr>
          <w:rFonts w:eastAsia="Calibri"/>
          <w:i/>
          <w:iCs/>
          <w:sz w:val="24"/>
          <w:szCs w:val="24"/>
          <w:lang w:eastAsia="en-US"/>
        </w:rPr>
        <w:t>S. l.</w:t>
      </w:r>
      <w:r w:rsidRPr="00D90323">
        <w:rPr>
          <w:rFonts w:eastAsia="Calibri"/>
          <w:sz w:val="24"/>
          <w:szCs w:val="24"/>
          <w:lang w:eastAsia="en-US"/>
        </w:rPr>
        <w:t>], 2011. Disponível em: https://repositorio.ufpe.br/handle/123456789/34601. Acesso em: 1 jun. 2024.</w:t>
      </w:r>
    </w:p>
    <w:p w14:paraId="11B10D72" w14:textId="77777777" w:rsidR="00D90323" w:rsidRPr="00090AE0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6F4D94B4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>DIAS, J. A.; VASCONCELOS, R. M.; DUMONT, M. F.; DE SOUZA, I. F.; NASCIMENTO, M. D.; MAPPA, L. S. A. B.; BITARÃES, G. R.; OLIVEIRA, R. P. Acidentes por animais ofídicos: repercussões sistêmicas e prognóstico. 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Brazilian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Journal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of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Health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Review</w:t>
      </w:r>
      <w:proofErr w:type="spellEnd"/>
      <w:r w:rsidRPr="00D90323">
        <w:rPr>
          <w:rFonts w:eastAsia="Calibri"/>
          <w:sz w:val="24"/>
          <w:szCs w:val="24"/>
          <w:lang w:eastAsia="en-US"/>
        </w:rPr>
        <w:t>, </w:t>
      </w:r>
      <w:r w:rsidRPr="00D90323">
        <w:rPr>
          <w:rFonts w:eastAsia="Calibri"/>
          <w:i/>
          <w:iCs/>
          <w:sz w:val="24"/>
          <w:szCs w:val="24"/>
          <w:lang w:eastAsia="en-US"/>
        </w:rPr>
        <w:t>[S. l.]</w:t>
      </w:r>
      <w:r w:rsidRPr="00D90323">
        <w:rPr>
          <w:rFonts w:eastAsia="Calibri"/>
          <w:sz w:val="24"/>
          <w:szCs w:val="24"/>
          <w:lang w:eastAsia="en-US"/>
        </w:rPr>
        <w:t>, v. 6, n. 3, p. 12520–12531, 2023. DOI: 10.34119/bjhrv6n3-321. Disponível em: https://ojs.brazilianjournals.com.br/ojs/index.php/BJHR/article/view/60638. Acesso em: 1 jun. 2024.</w:t>
      </w:r>
    </w:p>
    <w:p w14:paraId="0E4EAF5C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7BAA1A89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DONATO,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Micheline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Freire. </w:t>
      </w:r>
      <w:r w:rsidRPr="00D90323">
        <w:rPr>
          <w:rFonts w:eastAsia="Calibri"/>
          <w:b/>
          <w:sz w:val="24"/>
          <w:szCs w:val="24"/>
          <w:lang w:eastAsia="en-US"/>
        </w:rPr>
        <w:t xml:space="preserve">Purificação, caracterização bioquímica e eletrofisiológica da toxina Mic6c7NTX da Peçonha da Serpente </w:t>
      </w:r>
      <w:proofErr w:type="spellStart"/>
      <w:r w:rsidRPr="00D90323">
        <w:rPr>
          <w:rFonts w:eastAsia="Calibri"/>
          <w:b/>
          <w:sz w:val="24"/>
          <w:szCs w:val="24"/>
          <w:lang w:eastAsia="en-US"/>
        </w:rPr>
        <w:t>Micrurus</w:t>
      </w:r>
      <w:proofErr w:type="spellEnd"/>
      <w:r w:rsidRPr="00D90323">
        <w:rPr>
          <w:rFonts w:eastAsia="Calibri"/>
          <w:b/>
          <w:sz w:val="24"/>
          <w:szCs w:val="24"/>
          <w:lang w:eastAsia="en-US"/>
        </w:rPr>
        <w:t xml:space="preserve"> </w:t>
      </w:r>
      <w:proofErr w:type="spellStart"/>
      <w:r w:rsidRPr="00D90323">
        <w:rPr>
          <w:rFonts w:eastAsia="Calibri"/>
          <w:b/>
          <w:sz w:val="24"/>
          <w:szCs w:val="24"/>
          <w:lang w:eastAsia="en-US"/>
        </w:rPr>
        <w:t>ibiboboca</w:t>
      </w:r>
      <w:proofErr w:type="spellEnd"/>
      <w:r w:rsidRPr="00D90323">
        <w:rPr>
          <w:rFonts w:eastAsia="Calibri"/>
          <w:b/>
          <w:sz w:val="24"/>
          <w:szCs w:val="24"/>
          <w:lang w:eastAsia="en-US"/>
        </w:rPr>
        <w:t xml:space="preserve"> </w:t>
      </w:r>
      <w:r w:rsidRPr="00D90323">
        <w:rPr>
          <w:rFonts w:eastAsia="Calibri"/>
          <w:sz w:val="24"/>
          <w:szCs w:val="24"/>
          <w:lang w:eastAsia="en-US"/>
        </w:rPr>
        <w:t>(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Merrem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, 1820) /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Micheline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Freire Donato. - - João Pessoa: [s.n.], 2009.</w:t>
      </w:r>
    </w:p>
    <w:p w14:paraId="47C8E9DD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01C092F0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>FUNASA (Ministério da Saúde - Fundação Nacional de Saúde).</w:t>
      </w:r>
      <w:r w:rsidRPr="00D90323">
        <w:rPr>
          <w:rFonts w:eastAsia="Calibri"/>
          <w:b/>
          <w:sz w:val="24"/>
          <w:szCs w:val="24"/>
          <w:lang w:eastAsia="en-US"/>
        </w:rPr>
        <w:t xml:space="preserve"> Manual de Diagnóstico e Tratamento de Acidentes por Animais Peçonhentos</w:t>
      </w:r>
      <w:r w:rsidRPr="00D90323">
        <w:rPr>
          <w:rFonts w:eastAsia="Calibri"/>
          <w:sz w:val="24"/>
          <w:szCs w:val="24"/>
          <w:lang w:eastAsia="en-US"/>
        </w:rPr>
        <w:t>. 2 ed. Brasília. p.120, 2001.</w:t>
      </w:r>
    </w:p>
    <w:p w14:paraId="53D1B7E2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2F8849DF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LEÃO, Luciana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Iwanaga</w:t>
      </w:r>
      <w:proofErr w:type="spellEnd"/>
      <w:r w:rsidRPr="00D90323">
        <w:rPr>
          <w:rFonts w:eastAsia="Calibri"/>
          <w:sz w:val="24"/>
          <w:szCs w:val="24"/>
          <w:lang w:eastAsia="en-US"/>
        </w:rPr>
        <w:t>. </w:t>
      </w:r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Análise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transcriptômica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das glândulas de veneno de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Micrurus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corallinus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(cobra-coral) e identificação de candidatos antigênicos para um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anti-soro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alternativo</w:t>
      </w:r>
      <w:r w:rsidRPr="00D90323">
        <w:rPr>
          <w:rFonts w:eastAsia="Calibri"/>
          <w:sz w:val="24"/>
          <w:szCs w:val="24"/>
          <w:lang w:eastAsia="en-US"/>
        </w:rPr>
        <w:t xml:space="preserve">. 2008. Dissertação (Biologia) -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Institudo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de Biociências, [</w:t>
      </w:r>
      <w:r w:rsidRPr="00D90323">
        <w:rPr>
          <w:rFonts w:eastAsia="Calibri"/>
          <w:i/>
          <w:iCs/>
          <w:sz w:val="24"/>
          <w:szCs w:val="24"/>
          <w:lang w:eastAsia="en-US"/>
        </w:rPr>
        <w:t>S. l.</w:t>
      </w:r>
      <w:r w:rsidRPr="00D90323">
        <w:rPr>
          <w:rFonts w:eastAsia="Calibri"/>
          <w:sz w:val="24"/>
          <w:szCs w:val="24"/>
          <w:lang w:eastAsia="en-US"/>
        </w:rPr>
        <w:t>], 2008. DOI https://doi.org/10.11606/D.41.2008.tde-02122008-143754. Disponível em: https://www.teses.usp.br/teses/disponiveis/41/41131/tde-02122008-143754/en.php. Acesso em: 1 jun. 2024.</w:t>
      </w:r>
    </w:p>
    <w:p w14:paraId="1A86C8A8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3FCC83F0" w14:textId="77777777" w:rsidR="00D90323" w:rsidRPr="00D90323" w:rsidRDefault="00D90323" w:rsidP="00D90323">
      <w:pPr>
        <w:ind w:left="170" w:right="113"/>
        <w:rPr>
          <w:rFonts w:eastAsia="Calibri"/>
          <w:b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MINISTÉRIO DA SAÚDE. </w:t>
      </w:r>
      <w:r w:rsidRPr="00D90323">
        <w:rPr>
          <w:rFonts w:eastAsia="Calibri"/>
          <w:b/>
          <w:sz w:val="24"/>
          <w:szCs w:val="24"/>
          <w:lang w:eastAsia="en-US"/>
        </w:rPr>
        <w:t>Manual de diagnóstico e Tratamento de</w:t>
      </w:r>
    </w:p>
    <w:p w14:paraId="23EE5CCA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b/>
          <w:sz w:val="24"/>
          <w:szCs w:val="24"/>
          <w:lang w:eastAsia="en-US"/>
        </w:rPr>
        <w:t>Acidentes por Animais peçonhentos</w:t>
      </w:r>
      <w:r w:rsidRPr="00D90323">
        <w:rPr>
          <w:rFonts w:eastAsia="Calibri"/>
          <w:sz w:val="24"/>
          <w:szCs w:val="24"/>
          <w:lang w:eastAsia="en-US"/>
        </w:rPr>
        <w:t>. 2. ed. Brasília, Brasil, 2001. 120p.</w:t>
      </w:r>
    </w:p>
    <w:p w14:paraId="0A6A799E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31C859C6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MOREIRA,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Kimberli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de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Olieira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. </w:t>
      </w:r>
      <w:r w:rsidRPr="00D90323">
        <w:rPr>
          <w:rFonts w:eastAsia="Calibri"/>
          <w:b/>
          <w:sz w:val="24"/>
          <w:szCs w:val="24"/>
          <w:lang w:eastAsia="en-US"/>
        </w:rPr>
        <w:t xml:space="preserve">Estudo sobre espécies de </w:t>
      </w:r>
      <w:proofErr w:type="spellStart"/>
      <w:r w:rsidRPr="00D90323">
        <w:rPr>
          <w:rFonts w:eastAsia="Calibri"/>
          <w:b/>
          <w:sz w:val="24"/>
          <w:szCs w:val="24"/>
          <w:lang w:eastAsia="en-US"/>
        </w:rPr>
        <w:t>Micrurus</w:t>
      </w:r>
      <w:proofErr w:type="spellEnd"/>
      <w:r w:rsidRPr="00D90323">
        <w:rPr>
          <w:rFonts w:eastAsia="Calibri"/>
          <w:b/>
          <w:sz w:val="24"/>
          <w:szCs w:val="24"/>
          <w:lang w:eastAsia="en-US"/>
        </w:rPr>
        <w:t xml:space="preserve"> Brasileiras</w:t>
      </w:r>
      <w:r w:rsidRPr="00D90323">
        <w:rPr>
          <w:rFonts w:eastAsia="Calibri"/>
          <w:sz w:val="24"/>
          <w:szCs w:val="24"/>
          <w:lang w:eastAsia="en-US"/>
        </w:rPr>
        <w:t xml:space="preserve">: uma revisão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sobreaspectos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biológicos, veneno e anti-veneno.2022. 40p. Trabalho de conclusão de curso (Curso de Ciências Biológicas Bacharelado). Universidade Federal do Pampa. Campus São Gabriel, São Gabriel, 2022</w:t>
      </w:r>
    </w:p>
    <w:p w14:paraId="6E28BD52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2BF3DC11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NOGUEIRA, Rosa Maria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Barilli</w:t>
      </w:r>
      <w:proofErr w:type="spellEnd"/>
      <w:r w:rsidRPr="00D90323">
        <w:rPr>
          <w:rFonts w:eastAsia="Calibri"/>
          <w:sz w:val="24"/>
          <w:szCs w:val="24"/>
          <w:lang w:eastAsia="en-US"/>
        </w:rPr>
        <w:t>; ANDRADE, Silvia Franco. </w:t>
      </w:r>
      <w:r w:rsidRPr="00D90323">
        <w:rPr>
          <w:rFonts w:eastAsia="Calibri"/>
          <w:b/>
          <w:bCs/>
          <w:sz w:val="24"/>
          <w:szCs w:val="24"/>
          <w:lang w:eastAsia="en-US"/>
        </w:rPr>
        <w:t>Manual de toxicologia veterinária.</w:t>
      </w:r>
      <w:r w:rsidRPr="00D90323">
        <w:rPr>
          <w:rFonts w:eastAsia="Calibri"/>
          <w:sz w:val="24"/>
          <w:szCs w:val="24"/>
          <w:lang w:eastAsia="en-US"/>
        </w:rPr>
        <w:t xml:space="preserve"> São Paulo: Roca, c2011, 323. p.</w:t>
      </w:r>
      <w:r w:rsidRPr="00D90323">
        <w:rPr>
          <w:rFonts w:eastAsia="Calibri"/>
          <w:sz w:val="24"/>
          <w:szCs w:val="24"/>
          <w:lang w:eastAsia="en-US"/>
        </w:rPr>
        <w:tab/>
      </w:r>
    </w:p>
    <w:p w14:paraId="454E3398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641E29A1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OLIVEIRA,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Daysiane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de. </w:t>
      </w:r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Caracterização bioquímica e imunológica do veneno da serpente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Micrurus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surinamensis</w:t>
      </w:r>
      <w:proofErr w:type="spellEnd"/>
      <w:r w:rsidRPr="00D90323">
        <w:rPr>
          <w:rFonts w:eastAsia="Calibri"/>
          <w:sz w:val="24"/>
          <w:szCs w:val="24"/>
          <w:lang w:eastAsia="en-US"/>
        </w:rPr>
        <w:t>. 2017. Dissertação de Mestrado (Pós-Graduação em Ciências da Saúde) - Universidade do Extremo Sul Catarinense, UNESC, [</w:t>
      </w:r>
      <w:r w:rsidRPr="00D90323">
        <w:rPr>
          <w:rFonts w:eastAsia="Calibri"/>
          <w:i/>
          <w:iCs/>
          <w:sz w:val="24"/>
          <w:szCs w:val="24"/>
          <w:lang w:eastAsia="en-US"/>
        </w:rPr>
        <w:t>S. l.</w:t>
      </w:r>
      <w:r w:rsidRPr="00D90323">
        <w:rPr>
          <w:rFonts w:eastAsia="Calibri"/>
          <w:sz w:val="24"/>
          <w:szCs w:val="24"/>
          <w:lang w:eastAsia="en-US"/>
        </w:rPr>
        <w:t>], 2017. Disponível em: http://repositorio.unesc.net/handle/1/5198. Acesso em: 1 jun. 2024.</w:t>
      </w:r>
    </w:p>
    <w:p w14:paraId="3FED3CB2" w14:textId="77777777" w:rsidR="00FB2799" w:rsidRPr="00D90323" w:rsidRDefault="00FB2799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6F0CC35A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OLSON, Kent R. (Org.). </w:t>
      </w:r>
      <w:r w:rsidRPr="00D90323">
        <w:rPr>
          <w:rFonts w:eastAsia="Calibri"/>
          <w:b/>
          <w:bCs/>
          <w:sz w:val="24"/>
          <w:szCs w:val="24"/>
          <w:lang w:eastAsia="en-US"/>
        </w:rPr>
        <w:t>Manual de toxicologia clínica</w:t>
      </w:r>
      <w:r w:rsidRPr="00D90323">
        <w:rPr>
          <w:rFonts w:eastAsia="Calibri"/>
          <w:sz w:val="24"/>
          <w:szCs w:val="24"/>
          <w:lang w:eastAsia="en-US"/>
        </w:rPr>
        <w:t>. Porto Alegre: AMGH, 2014.</w:t>
      </w:r>
    </w:p>
    <w:p w14:paraId="57AF504D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7BA87681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PEREIRA,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Andrezza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Gomes. </w:t>
      </w:r>
      <w:r w:rsidRPr="00D90323">
        <w:rPr>
          <w:rFonts w:eastAsia="Calibri"/>
          <w:b/>
          <w:bCs/>
          <w:sz w:val="24"/>
          <w:szCs w:val="24"/>
          <w:lang w:eastAsia="en-US"/>
        </w:rPr>
        <w:t>Insuficiência cardíaca em cães - revisão de literatura</w:t>
      </w:r>
      <w:r w:rsidRPr="00D90323">
        <w:rPr>
          <w:rFonts w:eastAsia="Calibri"/>
          <w:sz w:val="24"/>
          <w:szCs w:val="24"/>
          <w:lang w:eastAsia="en-US"/>
        </w:rPr>
        <w:t xml:space="preserve">. 2014.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Traballho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de conclusão de curso (Bacharelado em medicina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veterinaria</w:t>
      </w:r>
      <w:proofErr w:type="spellEnd"/>
      <w:r w:rsidRPr="00D90323">
        <w:rPr>
          <w:rFonts w:eastAsia="Calibri"/>
          <w:sz w:val="24"/>
          <w:szCs w:val="24"/>
          <w:lang w:eastAsia="en-US"/>
        </w:rPr>
        <w:t>) - Universidade Federal da Paraíba, [</w:t>
      </w:r>
      <w:r w:rsidRPr="00D90323">
        <w:rPr>
          <w:rFonts w:eastAsia="Calibri"/>
          <w:i/>
          <w:iCs/>
          <w:sz w:val="24"/>
          <w:szCs w:val="24"/>
          <w:lang w:eastAsia="en-US"/>
        </w:rPr>
        <w:t>S. l.</w:t>
      </w:r>
      <w:r w:rsidRPr="00D90323">
        <w:rPr>
          <w:rFonts w:eastAsia="Calibri"/>
          <w:sz w:val="24"/>
          <w:szCs w:val="24"/>
          <w:lang w:eastAsia="en-US"/>
        </w:rPr>
        <w:t>], 2014. Disponível em: http://dspace.sti.ufcg.edu.br:8080/jspui/handle/riufcg/23964. Acesso em: 3 jun. 2024.</w:t>
      </w:r>
    </w:p>
    <w:p w14:paraId="505D778D" w14:textId="77777777" w:rsidR="00D90323" w:rsidRPr="00090AE0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RIBOLDI,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Emeline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de Oliveira. </w:t>
      </w:r>
      <w:r w:rsidRPr="00D90323">
        <w:rPr>
          <w:rFonts w:eastAsia="Calibri"/>
          <w:b/>
          <w:bCs/>
          <w:sz w:val="24"/>
          <w:szCs w:val="24"/>
          <w:lang w:eastAsia="en-US"/>
        </w:rPr>
        <w:t>Intoxicações em pequenos animais: uma revisão</w:t>
      </w:r>
      <w:r w:rsidRPr="00D90323">
        <w:rPr>
          <w:rFonts w:eastAsia="Calibri"/>
          <w:sz w:val="24"/>
          <w:szCs w:val="24"/>
          <w:lang w:eastAsia="en-US"/>
        </w:rPr>
        <w:t xml:space="preserve">. 2010.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Traballho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de conclusão de curso (Bacharelado em medicina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veterinaria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) - Universidade </w:t>
      </w:r>
    </w:p>
    <w:p w14:paraId="15289412" w14:textId="77777777" w:rsidR="00D90323" w:rsidRPr="00090AE0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08D73F95" w14:textId="2CC02B59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>Federal do Rio Grande do Sul, [</w:t>
      </w:r>
      <w:r w:rsidRPr="00D90323">
        <w:rPr>
          <w:rFonts w:eastAsia="Calibri"/>
          <w:i/>
          <w:iCs/>
          <w:sz w:val="24"/>
          <w:szCs w:val="24"/>
          <w:lang w:eastAsia="en-US"/>
        </w:rPr>
        <w:t>S. l.</w:t>
      </w:r>
      <w:r w:rsidRPr="00D90323">
        <w:rPr>
          <w:rFonts w:eastAsia="Calibri"/>
          <w:sz w:val="24"/>
          <w:szCs w:val="24"/>
          <w:lang w:eastAsia="en-US"/>
        </w:rPr>
        <w:t>], 2010. Disponível em: https://lume.ufrgs.br/handle/10183/39019. Acesso em: 1 jun. 2024.</w:t>
      </w:r>
    </w:p>
    <w:p w14:paraId="44AEEF66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062305B5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>RINCON FILHO, Silvio. </w:t>
      </w:r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Identificação de componente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cardiotóxico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do veneno da serpente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Micrurus</w:t>
      </w:r>
      <w:proofErr w:type="spellEnd"/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surinamensis</w:t>
      </w:r>
      <w:proofErr w:type="spellEnd"/>
      <w:r w:rsidRPr="00D90323">
        <w:rPr>
          <w:rFonts w:eastAsia="Calibri"/>
          <w:sz w:val="24"/>
          <w:szCs w:val="24"/>
          <w:lang w:eastAsia="en-US"/>
        </w:rPr>
        <w:t>. 2020. Dissertação (Programa de Pós-Graduação em Bioquímica e Imunologia) - Universidade Federal de Minas Gerais, [</w:t>
      </w:r>
      <w:r w:rsidRPr="00D90323">
        <w:rPr>
          <w:rFonts w:eastAsia="Calibri"/>
          <w:i/>
          <w:iCs/>
          <w:sz w:val="24"/>
          <w:szCs w:val="24"/>
          <w:lang w:eastAsia="en-US"/>
        </w:rPr>
        <w:t>S. l.</w:t>
      </w:r>
      <w:r w:rsidRPr="00D90323">
        <w:rPr>
          <w:rFonts w:eastAsia="Calibri"/>
          <w:sz w:val="24"/>
          <w:szCs w:val="24"/>
          <w:lang w:eastAsia="en-US"/>
        </w:rPr>
        <w:t>], 2020. Disponível em: http://hdl.handle.net/1843/38685. Acesso em: 1 jun. 2024.</w:t>
      </w:r>
    </w:p>
    <w:p w14:paraId="089EA894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49B5F59B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SANTOS, R.L.; ALESSI, A.C. </w:t>
      </w:r>
      <w:r w:rsidRPr="00D90323">
        <w:rPr>
          <w:rFonts w:eastAsia="Calibri"/>
          <w:b/>
          <w:sz w:val="24"/>
          <w:szCs w:val="24"/>
          <w:lang w:eastAsia="en-US"/>
        </w:rPr>
        <w:t>Patologia Veterinária</w:t>
      </w:r>
      <w:r w:rsidRPr="00D90323">
        <w:rPr>
          <w:rFonts w:eastAsia="Calibri"/>
          <w:sz w:val="24"/>
          <w:szCs w:val="24"/>
          <w:lang w:eastAsia="en-US"/>
        </w:rPr>
        <w:t xml:space="preserve">, </w:t>
      </w:r>
      <w:proofErr w:type="gramStart"/>
      <w:r w:rsidRPr="00D90323">
        <w:rPr>
          <w:rFonts w:eastAsia="Calibri"/>
          <w:sz w:val="24"/>
          <w:szCs w:val="24"/>
          <w:lang w:eastAsia="en-US"/>
        </w:rPr>
        <w:t>2 ed.</w:t>
      </w:r>
      <w:proofErr w:type="gramEnd"/>
      <w:r w:rsidRPr="00D90323">
        <w:rPr>
          <w:rFonts w:eastAsia="Calibri"/>
          <w:sz w:val="24"/>
          <w:szCs w:val="24"/>
          <w:lang w:eastAsia="en-US"/>
        </w:rPr>
        <w:t>, Rio de janeiro: ROCA, 842pp., 2016.</w:t>
      </w:r>
    </w:p>
    <w:p w14:paraId="649C0BDB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517FB483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SPINOSA,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Helenice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de Souza e GÓRNIAK, Silvana Lima e PALERMO-NETO, João. </w:t>
      </w:r>
      <w:r w:rsidRPr="00D90323">
        <w:rPr>
          <w:rFonts w:eastAsia="Calibri"/>
          <w:b/>
          <w:bCs/>
          <w:sz w:val="24"/>
          <w:szCs w:val="24"/>
          <w:lang w:eastAsia="en-US"/>
        </w:rPr>
        <w:t>Toxicologia aplicada à medicina veterinária</w:t>
      </w:r>
      <w:proofErr w:type="gramStart"/>
      <w:r w:rsidRPr="00D90323">
        <w:rPr>
          <w:rFonts w:eastAsia="Calibri"/>
          <w:sz w:val="24"/>
          <w:szCs w:val="24"/>
          <w:lang w:eastAsia="en-US"/>
        </w:rPr>
        <w:t>. .</w:t>
      </w:r>
      <w:proofErr w:type="gramEnd"/>
      <w:r w:rsidRPr="00D90323">
        <w:rPr>
          <w:rFonts w:eastAsia="Calibri"/>
          <w:sz w:val="24"/>
          <w:szCs w:val="24"/>
          <w:lang w:eastAsia="en-US"/>
        </w:rPr>
        <w:t xml:space="preserve"> Barueri: Manole. Acesso em: 03 jun. </w:t>
      </w:r>
      <w:proofErr w:type="gramStart"/>
      <w:r w:rsidRPr="00D90323">
        <w:rPr>
          <w:rFonts w:eastAsia="Calibri"/>
          <w:sz w:val="24"/>
          <w:szCs w:val="24"/>
          <w:lang w:eastAsia="en-US"/>
        </w:rPr>
        <w:t>2024.,</w:t>
      </w:r>
      <w:proofErr w:type="gramEnd"/>
      <w:r w:rsidRPr="00D90323">
        <w:rPr>
          <w:rFonts w:eastAsia="Calibri"/>
          <w:sz w:val="24"/>
          <w:szCs w:val="24"/>
          <w:lang w:eastAsia="en-US"/>
        </w:rPr>
        <w:t xml:space="preserve"> 2008.</w:t>
      </w:r>
    </w:p>
    <w:p w14:paraId="2B3CEB45" w14:textId="77777777" w:rsidR="00D90323" w:rsidRPr="00D90323" w:rsidRDefault="00D90323" w:rsidP="00D90323">
      <w:pPr>
        <w:ind w:right="113"/>
        <w:rPr>
          <w:rFonts w:eastAsia="Calibri"/>
          <w:sz w:val="24"/>
          <w:szCs w:val="24"/>
          <w:lang w:eastAsia="en-US"/>
        </w:rPr>
      </w:pPr>
    </w:p>
    <w:p w14:paraId="5B1A7C33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Vital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Brazil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,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Osvald</w:t>
      </w:r>
      <w:proofErr w:type="spellEnd"/>
      <w:r w:rsidRPr="00D90323">
        <w:rPr>
          <w:rFonts w:eastAsia="Calibri"/>
          <w:sz w:val="24"/>
          <w:szCs w:val="24"/>
          <w:lang w:eastAsia="en-US"/>
        </w:rPr>
        <w:t>. FONTANA, M. Dias. Ações pré-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juncionais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e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pósjuncionais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da peçonha da cobra coral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Micrurus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corallinus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 na junção neuromuscular. </w:t>
      </w:r>
      <w:r w:rsidRPr="00D90323">
        <w:rPr>
          <w:rFonts w:eastAsia="Calibri"/>
          <w:b/>
          <w:bCs/>
          <w:sz w:val="24"/>
          <w:szCs w:val="24"/>
          <w:lang w:eastAsia="en-US"/>
        </w:rPr>
        <w:t xml:space="preserve">Memórias do Instituto </w:t>
      </w:r>
      <w:proofErr w:type="spellStart"/>
      <w:r w:rsidRPr="00D90323">
        <w:rPr>
          <w:rFonts w:eastAsia="Calibri"/>
          <w:b/>
          <w:bCs/>
          <w:sz w:val="24"/>
          <w:szCs w:val="24"/>
          <w:lang w:eastAsia="en-US"/>
        </w:rPr>
        <w:t>Butantan</w:t>
      </w:r>
      <w:proofErr w:type="spellEnd"/>
      <w:r w:rsidRPr="00D90323">
        <w:rPr>
          <w:rFonts w:eastAsia="Calibri"/>
          <w:sz w:val="24"/>
          <w:szCs w:val="24"/>
          <w:lang w:eastAsia="en-US"/>
        </w:rPr>
        <w:t>, v. 47, p. 48, 1984.</w:t>
      </w:r>
    </w:p>
    <w:p w14:paraId="221B8AF8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15AF08CA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  <w:r w:rsidRPr="00D90323">
        <w:rPr>
          <w:rFonts w:eastAsia="Calibri"/>
          <w:sz w:val="24"/>
          <w:szCs w:val="24"/>
          <w:lang w:eastAsia="en-US"/>
        </w:rPr>
        <w:t xml:space="preserve">Xavier, A., Puzzi, B. M.,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Polizer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, K., </w:t>
      </w:r>
      <w:proofErr w:type="spellStart"/>
      <w:r w:rsidRPr="00D90323">
        <w:rPr>
          <w:rFonts w:eastAsia="Calibri"/>
          <w:sz w:val="24"/>
          <w:szCs w:val="24"/>
          <w:lang w:eastAsia="en-US"/>
        </w:rPr>
        <w:t>Litfalla</w:t>
      </w:r>
      <w:proofErr w:type="spellEnd"/>
      <w:r w:rsidRPr="00D90323">
        <w:rPr>
          <w:rFonts w:eastAsia="Calibri"/>
          <w:sz w:val="24"/>
          <w:szCs w:val="24"/>
          <w:lang w:eastAsia="en-US"/>
        </w:rPr>
        <w:t xml:space="preserve">, F., &amp; PENA, S. B. (2008). </w:t>
      </w:r>
      <w:r w:rsidRPr="00D90323">
        <w:rPr>
          <w:rFonts w:eastAsia="Calibri"/>
          <w:b/>
          <w:sz w:val="24"/>
          <w:szCs w:val="24"/>
          <w:lang w:eastAsia="en-US"/>
        </w:rPr>
        <w:t>Insuficiência renal aguda</w:t>
      </w:r>
      <w:r w:rsidRPr="00D90323">
        <w:rPr>
          <w:rFonts w:eastAsia="Calibri"/>
          <w:sz w:val="24"/>
          <w:szCs w:val="24"/>
          <w:lang w:eastAsia="en-US"/>
        </w:rPr>
        <w:t>. Revista Científica Eletrônica de Medicina Veterinária da Faculdade de Medicina Veterinária e Zootecnia de Garça, 10, 1-4.</w:t>
      </w:r>
    </w:p>
    <w:p w14:paraId="76F0E5CD" w14:textId="77777777" w:rsidR="00D90323" w:rsidRPr="00D90323" w:rsidRDefault="00D90323" w:rsidP="00D90323">
      <w:pPr>
        <w:ind w:left="170" w:right="113"/>
        <w:rPr>
          <w:rFonts w:eastAsia="Calibri"/>
          <w:sz w:val="24"/>
          <w:szCs w:val="24"/>
          <w:lang w:eastAsia="en-US"/>
        </w:rPr>
      </w:pPr>
    </w:p>
    <w:p w14:paraId="06781D8C" w14:textId="77777777" w:rsidR="009944CE" w:rsidRPr="003933B9" w:rsidRDefault="009944CE" w:rsidP="009944CE">
      <w:pPr>
        <w:pStyle w:val="Rodap"/>
      </w:pPr>
    </w:p>
    <w:sectPr w:rsidR="009944CE" w:rsidRPr="003933B9" w:rsidSect="00735E2D">
      <w:headerReference w:type="default" r:id="rId10"/>
      <w:footerReference w:type="default" r:id="rId11"/>
      <w:pgSz w:w="11906" w:h="16840"/>
      <w:pgMar w:top="2410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8FCBF8" w14:textId="77777777" w:rsidR="00DB4546" w:rsidRDefault="00DB4546" w:rsidP="004071DD">
      <w:r>
        <w:separator/>
      </w:r>
    </w:p>
  </w:endnote>
  <w:endnote w:type="continuationSeparator" w:id="0">
    <w:p w14:paraId="590BD710" w14:textId="77777777" w:rsidR="00DB4546" w:rsidRDefault="00DB4546" w:rsidP="00407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06E4C" w14:textId="2B7E3224" w:rsidR="00552968" w:rsidRDefault="005E0BCE" w:rsidP="00CB1ECB">
    <w:pPr>
      <w:pStyle w:val="Rodap"/>
      <w:ind w:hanging="1418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E73F09B" wp14:editId="704F47CB">
          <wp:simplePos x="0" y="0"/>
          <wp:positionH relativeFrom="page">
            <wp:align>center</wp:align>
          </wp:positionH>
          <wp:positionV relativeFrom="paragraph">
            <wp:posOffset>-359410</wp:posOffset>
          </wp:positionV>
          <wp:extent cx="6161461" cy="1467724"/>
          <wp:effectExtent l="0" t="0" r="0" b="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1461" cy="1467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8D52DE" w14:textId="4A0135EA" w:rsidR="00CB1ECB" w:rsidRDefault="005E0BCE" w:rsidP="005E0BCE">
    <w:pPr>
      <w:pStyle w:val="Rodap"/>
      <w:tabs>
        <w:tab w:val="clear" w:pos="4252"/>
        <w:tab w:val="clear" w:pos="8504"/>
        <w:tab w:val="left" w:pos="1290"/>
      </w:tabs>
      <w:ind w:hanging="1418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592529" w14:textId="77777777" w:rsidR="00DB4546" w:rsidRDefault="00DB4546" w:rsidP="004071DD">
      <w:r>
        <w:separator/>
      </w:r>
    </w:p>
  </w:footnote>
  <w:footnote w:type="continuationSeparator" w:id="0">
    <w:p w14:paraId="7B294FEE" w14:textId="77777777" w:rsidR="00DB4546" w:rsidRDefault="00DB4546" w:rsidP="004071DD">
      <w:r>
        <w:continuationSeparator/>
      </w:r>
    </w:p>
  </w:footnote>
  <w:footnote w:id="1">
    <w:p w14:paraId="0401465B" w14:textId="77777777" w:rsidR="004367B7" w:rsidRPr="00C67586" w:rsidRDefault="004367B7" w:rsidP="004367B7">
      <w:pPr>
        <w:pStyle w:val="Textodenotaderodap"/>
        <w:jc w:val="both"/>
        <w:rPr>
          <w:rFonts w:ascii="Times New Roman" w:hAnsi="Times New Roman"/>
          <w:szCs w:val="16"/>
        </w:rPr>
      </w:pPr>
      <w:r w:rsidRPr="00C67586">
        <w:rPr>
          <w:rStyle w:val="Refdenotaderodap"/>
          <w:rFonts w:ascii="Times New Roman" w:hAnsi="Times New Roman"/>
          <w:szCs w:val="16"/>
        </w:rPr>
        <w:footnoteRef/>
      </w:r>
      <w:r w:rsidRPr="00C67586">
        <w:rPr>
          <w:rFonts w:ascii="Times New Roman" w:hAnsi="Times New Roman"/>
          <w:szCs w:val="16"/>
        </w:rPr>
        <w:t xml:space="preserve"> Discente do Curso de Bacharelado em Medicina Veterinária – Christus Faculdade do Piauí.</w:t>
      </w:r>
    </w:p>
  </w:footnote>
  <w:footnote w:id="2">
    <w:p w14:paraId="3FF4C1C3" w14:textId="77777777" w:rsidR="004367B7" w:rsidRDefault="004367B7" w:rsidP="004367B7">
      <w:pPr>
        <w:pStyle w:val="Textodenotaderodap"/>
        <w:jc w:val="both"/>
      </w:pPr>
      <w:r w:rsidRPr="00C67586">
        <w:rPr>
          <w:rStyle w:val="Refdenotaderodap"/>
          <w:rFonts w:ascii="Times New Roman" w:hAnsi="Times New Roman"/>
          <w:szCs w:val="16"/>
        </w:rPr>
        <w:footnoteRef/>
      </w:r>
      <w:r w:rsidRPr="00C67586">
        <w:rPr>
          <w:rFonts w:ascii="Times New Roman" w:hAnsi="Times New Roman"/>
          <w:szCs w:val="16"/>
        </w:rPr>
        <w:t xml:space="preserve"> Médica Veterinária – UFPI. Docente do curso em Bacharelado em Medicina Veterinária – Christus Faculdade do Piauí. Pós-Graduação em clínica Médica e Cirúrgica de Pequenos animais – QUALITTAS. Pós-Graduação em Saúde Pública – IEMS. Pós-Graduação em Docência do Ensino Superior – IEMS. E-mail: isllamedeiros91@gmail.com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5C556" w14:textId="46B56690" w:rsidR="00CB1ECB" w:rsidRDefault="000148E8" w:rsidP="00044CF3">
    <w:pPr>
      <w:pStyle w:val="Cabealho"/>
      <w:tabs>
        <w:tab w:val="clear" w:pos="4252"/>
        <w:tab w:val="clear" w:pos="8504"/>
        <w:tab w:val="left" w:pos="2595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484287FB" wp14:editId="1ECBC886">
          <wp:simplePos x="0" y="0"/>
          <wp:positionH relativeFrom="page">
            <wp:align>left</wp:align>
          </wp:positionH>
          <wp:positionV relativeFrom="paragraph">
            <wp:posOffset>-640080</wp:posOffset>
          </wp:positionV>
          <wp:extent cx="7572375" cy="1666875"/>
          <wp:effectExtent l="0" t="0" r="9525" b="9525"/>
          <wp:wrapNone/>
          <wp:docPr id="4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3242062" name="Imagem 16132420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6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4CF3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63E54"/>
    <w:multiLevelType w:val="hybridMultilevel"/>
    <w:tmpl w:val="01D6B5EC"/>
    <w:lvl w:ilvl="0" w:tplc="F8C2C736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240BF"/>
    <w:multiLevelType w:val="hybridMultilevel"/>
    <w:tmpl w:val="A05A2E16"/>
    <w:lvl w:ilvl="0" w:tplc="A022AFD8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4673A"/>
    <w:multiLevelType w:val="hybridMultilevel"/>
    <w:tmpl w:val="7B144A60"/>
    <w:lvl w:ilvl="0" w:tplc="6AD01824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C9869"/>
    <w:multiLevelType w:val="hybridMultilevel"/>
    <w:tmpl w:val="09AE99D8"/>
    <w:lvl w:ilvl="0" w:tplc="5CEAE41A">
      <w:start w:val="1"/>
      <w:numFmt w:val="bullet"/>
      <w:lvlText w:val="¹"/>
      <w:lvlJc w:val="left"/>
      <w:pPr>
        <w:ind w:left="0" w:firstLine="0"/>
      </w:pPr>
    </w:lvl>
    <w:lvl w:ilvl="1" w:tplc="6DB4F350">
      <w:numFmt w:val="decimal"/>
      <w:lvlText w:val=""/>
      <w:lvlJc w:val="left"/>
      <w:pPr>
        <w:ind w:left="0" w:firstLine="0"/>
      </w:pPr>
    </w:lvl>
    <w:lvl w:ilvl="2" w:tplc="E5C660A6">
      <w:numFmt w:val="decimal"/>
      <w:lvlText w:val=""/>
      <w:lvlJc w:val="left"/>
      <w:pPr>
        <w:ind w:left="0" w:firstLine="0"/>
      </w:pPr>
    </w:lvl>
    <w:lvl w:ilvl="3" w:tplc="26F6F536">
      <w:numFmt w:val="decimal"/>
      <w:lvlText w:val=""/>
      <w:lvlJc w:val="left"/>
      <w:pPr>
        <w:ind w:left="0" w:firstLine="0"/>
      </w:pPr>
    </w:lvl>
    <w:lvl w:ilvl="4" w:tplc="A3B49EF2">
      <w:numFmt w:val="decimal"/>
      <w:lvlText w:val=""/>
      <w:lvlJc w:val="left"/>
      <w:pPr>
        <w:ind w:left="0" w:firstLine="0"/>
      </w:pPr>
    </w:lvl>
    <w:lvl w:ilvl="5" w:tplc="16F4F19A">
      <w:numFmt w:val="decimal"/>
      <w:lvlText w:val=""/>
      <w:lvlJc w:val="left"/>
      <w:pPr>
        <w:ind w:left="0" w:firstLine="0"/>
      </w:pPr>
    </w:lvl>
    <w:lvl w:ilvl="6" w:tplc="39363B72">
      <w:numFmt w:val="decimal"/>
      <w:lvlText w:val=""/>
      <w:lvlJc w:val="left"/>
      <w:pPr>
        <w:ind w:left="0" w:firstLine="0"/>
      </w:pPr>
    </w:lvl>
    <w:lvl w:ilvl="7" w:tplc="FA46E39E">
      <w:numFmt w:val="decimal"/>
      <w:lvlText w:val=""/>
      <w:lvlJc w:val="left"/>
      <w:pPr>
        <w:ind w:left="0" w:firstLine="0"/>
      </w:pPr>
    </w:lvl>
    <w:lvl w:ilvl="8" w:tplc="E28CC8DA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66334873"/>
    <w:multiLevelType w:val="hybridMultilevel"/>
    <w:tmpl w:val="D9BEECD4"/>
    <w:lvl w:ilvl="0" w:tplc="251AC41E">
      <w:start w:val="1"/>
      <w:numFmt w:val="bullet"/>
      <w:lvlText w:val="5"/>
      <w:lvlJc w:val="left"/>
      <w:pPr>
        <w:ind w:left="0" w:firstLine="0"/>
      </w:pPr>
    </w:lvl>
    <w:lvl w:ilvl="1" w:tplc="4CCECCC8">
      <w:numFmt w:val="decimal"/>
      <w:lvlText w:val=""/>
      <w:lvlJc w:val="left"/>
      <w:pPr>
        <w:ind w:left="0" w:firstLine="0"/>
      </w:pPr>
    </w:lvl>
    <w:lvl w:ilvl="2" w:tplc="991A0902">
      <w:numFmt w:val="decimal"/>
      <w:lvlText w:val=""/>
      <w:lvlJc w:val="left"/>
      <w:pPr>
        <w:ind w:left="0" w:firstLine="0"/>
      </w:pPr>
    </w:lvl>
    <w:lvl w:ilvl="3" w:tplc="FED01570">
      <w:numFmt w:val="decimal"/>
      <w:lvlText w:val=""/>
      <w:lvlJc w:val="left"/>
      <w:pPr>
        <w:ind w:left="0" w:firstLine="0"/>
      </w:pPr>
    </w:lvl>
    <w:lvl w:ilvl="4" w:tplc="D682EF96">
      <w:numFmt w:val="decimal"/>
      <w:lvlText w:val=""/>
      <w:lvlJc w:val="left"/>
      <w:pPr>
        <w:ind w:left="0" w:firstLine="0"/>
      </w:pPr>
    </w:lvl>
    <w:lvl w:ilvl="5" w:tplc="FED26B58">
      <w:numFmt w:val="decimal"/>
      <w:lvlText w:val=""/>
      <w:lvlJc w:val="left"/>
      <w:pPr>
        <w:ind w:left="0" w:firstLine="0"/>
      </w:pPr>
    </w:lvl>
    <w:lvl w:ilvl="6" w:tplc="A9CC9432">
      <w:numFmt w:val="decimal"/>
      <w:lvlText w:val=""/>
      <w:lvlJc w:val="left"/>
      <w:pPr>
        <w:ind w:left="0" w:firstLine="0"/>
      </w:pPr>
    </w:lvl>
    <w:lvl w:ilvl="7" w:tplc="EE4A10AA">
      <w:numFmt w:val="decimal"/>
      <w:lvlText w:val=""/>
      <w:lvlJc w:val="left"/>
      <w:pPr>
        <w:ind w:left="0" w:firstLine="0"/>
      </w:pPr>
    </w:lvl>
    <w:lvl w:ilvl="8" w:tplc="A68835C8">
      <w:numFmt w:val="decimal"/>
      <w:lvlText w:val=""/>
      <w:lvlJc w:val="left"/>
      <w:pPr>
        <w:ind w:left="0" w:firstLine="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1DD"/>
    <w:rsid w:val="00000B78"/>
    <w:rsid w:val="000148E8"/>
    <w:rsid w:val="00044CF3"/>
    <w:rsid w:val="00075995"/>
    <w:rsid w:val="00090AE0"/>
    <w:rsid w:val="00093079"/>
    <w:rsid w:val="000D472D"/>
    <w:rsid w:val="0012046F"/>
    <w:rsid w:val="00146632"/>
    <w:rsid w:val="0014789D"/>
    <w:rsid w:val="00162049"/>
    <w:rsid w:val="001B42A6"/>
    <w:rsid w:val="001E1496"/>
    <w:rsid w:val="001F2AD1"/>
    <w:rsid w:val="00203270"/>
    <w:rsid w:val="00226E78"/>
    <w:rsid w:val="00244D73"/>
    <w:rsid w:val="002673A5"/>
    <w:rsid w:val="00280A8C"/>
    <w:rsid w:val="00293F06"/>
    <w:rsid w:val="002A1E6B"/>
    <w:rsid w:val="00321602"/>
    <w:rsid w:val="0036755F"/>
    <w:rsid w:val="003933B9"/>
    <w:rsid w:val="003963A3"/>
    <w:rsid w:val="004071DD"/>
    <w:rsid w:val="00415ACB"/>
    <w:rsid w:val="004220E9"/>
    <w:rsid w:val="004367B7"/>
    <w:rsid w:val="00440EE6"/>
    <w:rsid w:val="004961DC"/>
    <w:rsid w:val="004A0F66"/>
    <w:rsid w:val="004F4C82"/>
    <w:rsid w:val="004F6EA9"/>
    <w:rsid w:val="00552968"/>
    <w:rsid w:val="00592B28"/>
    <w:rsid w:val="005C4F4F"/>
    <w:rsid w:val="005D196C"/>
    <w:rsid w:val="005E0BCE"/>
    <w:rsid w:val="006407B5"/>
    <w:rsid w:val="006C0317"/>
    <w:rsid w:val="00715E15"/>
    <w:rsid w:val="00717707"/>
    <w:rsid w:val="00722621"/>
    <w:rsid w:val="007242CD"/>
    <w:rsid w:val="00735E2D"/>
    <w:rsid w:val="00764FA5"/>
    <w:rsid w:val="00770C83"/>
    <w:rsid w:val="00780760"/>
    <w:rsid w:val="00783E9A"/>
    <w:rsid w:val="007B7E36"/>
    <w:rsid w:val="007C4F9A"/>
    <w:rsid w:val="007F05FC"/>
    <w:rsid w:val="0081177A"/>
    <w:rsid w:val="008433A9"/>
    <w:rsid w:val="00846ACF"/>
    <w:rsid w:val="00846C17"/>
    <w:rsid w:val="00876C3D"/>
    <w:rsid w:val="008865CE"/>
    <w:rsid w:val="008C7C9C"/>
    <w:rsid w:val="009140D1"/>
    <w:rsid w:val="0091529F"/>
    <w:rsid w:val="00950149"/>
    <w:rsid w:val="009944CE"/>
    <w:rsid w:val="009C359F"/>
    <w:rsid w:val="00A07A10"/>
    <w:rsid w:val="00A628B1"/>
    <w:rsid w:val="00A6315A"/>
    <w:rsid w:val="00A63618"/>
    <w:rsid w:val="00A72088"/>
    <w:rsid w:val="00AD0FF1"/>
    <w:rsid w:val="00B512D1"/>
    <w:rsid w:val="00B7370E"/>
    <w:rsid w:val="00B761A1"/>
    <w:rsid w:val="00C20C04"/>
    <w:rsid w:val="00C43042"/>
    <w:rsid w:val="00C67586"/>
    <w:rsid w:val="00CB1ECB"/>
    <w:rsid w:val="00CC3AC7"/>
    <w:rsid w:val="00CD3E71"/>
    <w:rsid w:val="00CF1AD2"/>
    <w:rsid w:val="00D43F87"/>
    <w:rsid w:val="00D444B1"/>
    <w:rsid w:val="00D4694E"/>
    <w:rsid w:val="00D54F79"/>
    <w:rsid w:val="00D75AC9"/>
    <w:rsid w:val="00D90323"/>
    <w:rsid w:val="00DB1935"/>
    <w:rsid w:val="00DB4546"/>
    <w:rsid w:val="00DE4F4F"/>
    <w:rsid w:val="00DF160F"/>
    <w:rsid w:val="00DF3A7A"/>
    <w:rsid w:val="00E1448D"/>
    <w:rsid w:val="00E81380"/>
    <w:rsid w:val="00E94362"/>
    <w:rsid w:val="00FA4973"/>
    <w:rsid w:val="00FB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44064A"/>
  <w15:chartTrackingRefBased/>
  <w15:docId w15:val="{7687038F-503C-4854-B95C-29B581EF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1DD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1D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71DD"/>
    <w:rPr>
      <w:rFonts w:ascii="Times New Roman" w:eastAsiaTheme="minorEastAsia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71DD"/>
    <w:rPr>
      <w:rFonts w:ascii="Times New Roman" w:eastAsiaTheme="minorEastAsia" w:hAnsi="Times New Roman" w:cs="Times New Roma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367B7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367B7"/>
    <w:rPr>
      <w:rFonts w:ascii="Calibri" w:eastAsia="Calibri" w:hAnsi="Calibri" w:cs="Times New Roman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4367B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39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4326E-60D6-4252-A3B1-B96C05D18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10</Pages>
  <Words>3251</Words>
  <Characters>19345</Characters>
  <Application>Microsoft Office Word</Application>
  <DocSecurity>0</DocSecurity>
  <Lines>339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Ágatha Aila</dc:creator>
  <cp:keywords/>
  <dc:description/>
  <cp:lastModifiedBy>Conta da Microsoft</cp:lastModifiedBy>
  <cp:revision>10</cp:revision>
  <cp:lastPrinted>2024-09-05T17:00:00Z</cp:lastPrinted>
  <dcterms:created xsi:type="dcterms:W3CDTF">2024-05-31T00:14:00Z</dcterms:created>
  <dcterms:modified xsi:type="dcterms:W3CDTF">2024-09-05T17:15:00Z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7e05e0602689fa7fd8dda184c018b00cd0f24dd8e4ad09404bdc5c6d9f31e5b8</vt:lpwstr>
  </property>
</Properties>
</file>