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2058" w14:textId="4D9C0D21" w:rsidR="00CF2E54" w:rsidRPr="007A4285" w:rsidRDefault="00C30EEF">
      <w:pPr>
        <w:pStyle w:val="Ttulo"/>
        <w:rPr>
          <w:iCs/>
          <w:lang w:val="pt-BR"/>
        </w:rPr>
      </w:pPr>
      <w:r w:rsidRPr="007A4285">
        <w:rPr>
          <w:iCs/>
          <w:lang w:val="pt-BR"/>
        </w:rPr>
        <w:t>LIGHT FUELS MARKET IN BRAZIL</w:t>
      </w:r>
    </w:p>
    <w:p w14:paraId="6BF1410B" w14:textId="77777777" w:rsidR="00CF2E54" w:rsidRPr="007A4285" w:rsidRDefault="00000000">
      <w:pPr>
        <w:pStyle w:val="Corpodetexto"/>
        <w:rPr>
          <w:sz w:val="24"/>
          <w:lang w:val="pt-BR"/>
        </w:rPr>
      </w:pPr>
      <w:r w:rsidRPr="007A4285">
        <w:rPr>
          <w:lang w:val="pt-BR"/>
        </w:rPr>
        <w:br w:type="column"/>
      </w:r>
    </w:p>
    <w:p w14:paraId="215927C7" w14:textId="77777777" w:rsidR="00CF2E54" w:rsidRPr="007A4285" w:rsidRDefault="00CF2E54">
      <w:pPr>
        <w:pStyle w:val="Corpodetexto"/>
        <w:rPr>
          <w:sz w:val="24"/>
          <w:lang w:val="pt-BR"/>
        </w:rPr>
      </w:pPr>
    </w:p>
    <w:p w14:paraId="0C5C33D9" w14:textId="3522F940" w:rsidR="00C30EEF" w:rsidRPr="00256A05" w:rsidRDefault="00C30EEF">
      <w:pPr>
        <w:pStyle w:val="Corpodetexto"/>
        <w:spacing w:before="1"/>
        <w:ind w:left="112" w:right="103" w:firstLine="64"/>
        <w:jc w:val="right"/>
        <w:rPr>
          <w:lang w:val="pt-BR"/>
        </w:rPr>
      </w:pPr>
      <w:r w:rsidRPr="00256A05">
        <w:rPr>
          <w:lang w:val="pt-BR"/>
        </w:rPr>
        <w:t>Laura Rodrigues Alves Soares, Agência Nacional do Petróleo</w:t>
      </w:r>
      <w:r w:rsidR="00256A05">
        <w:rPr>
          <w:lang w:val="pt-BR"/>
        </w:rPr>
        <w:t>,</w:t>
      </w:r>
      <w:r w:rsidRPr="00256A05">
        <w:rPr>
          <w:lang w:val="pt-BR"/>
        </w:rPr>
        <w:t xml:space="preserve"> Gás Natural e Biocombustíveis</w:t>
      </w:r>
      <w:r w:rsidR="009A3AB4">
        <w:rPr>
          <w:lang w:val="pt-BR"/>
        </w:rPr>
        <w:t xml:space="preserve"> (ANP)</w:t>
      </w:r>
      <w:r w:rsidRPr="00256A05">
        <w:rPr>
          <w:lang w:val="pt-BR"/>
        </w:rPr>
        <w:t xml:space="preserve">, </w:t>
      </w:r>
      <w:r w:rsidR="00256A05" w:rsidRPr="00256A05">
        <w:rPr>
          <w:lang w:val="pt-BR"/>
        </w:rPr>
        <w:t>(3</w:t>
      </w:r>
      <w:r w:rsidR="00256A05">
        <w:rPr>
          <w:lang w:val="pt-BR"/>
        </w:rPr>
        <w:t>1) 997693257</w:t>
      </w:r>
      <w:r w:rsidRPr="00256A05">
        <w:rPr>
          <w:lang w:val="pt-BR"/>
        </w:rPr>
        <w:t xml:space="preserve">, </w:t>
      </w:r>
      <w:r w:rsidR="00256A05">
        <w:rPr>
          <w:lang w:val="pt-BR"/>
        </w:rPr>
        <w:t>lsoares@anp.gov.br</w:t>
      </w:r>
    </w:p>
    <w:p w14:paraId="64EB72CE" w14:textId="72A08575" w:rsidR="00CF2E54" w:rsidRDefault="00256A05">
      <w:pPr>
        <w:pStyle w:val="Corpodetexto"/>
        <w:spacing w:before="1"/>
        <w:ind w:left="112" w:right="103" w:firstLine="64"/>
        <w:jc w:val="right"/>
        <w:rPr>
          <w:lang w:val="pt-BR"/>
        </w:rPr>
      </w:pPr>
      <w:r w:rsidRPr="00256A05">
        <w:rPr>
          <w:lang w:val="pt-BR"/>
        </w:rPr>
        <w:t xml:space="preserve">André </w:t>
      </w:r>
      <w:proofErr w:type="spellStart"/>
      <w:r w:rsidRPr="00256A05">
        <w:rPr>
          <w:lang w:val="pt-BR"/>
        </w:rPr>
        <w:t>Suriane</w:t>
      </w:r>
      <w:proofErr w:type="spellEnd"/>
      <w:r w:rsidRPr="00256A05">
        <w:rPr>
          <w:lang w:val="pt-BR"/>
        </w:rPr>
        <w:t xml:space="preserve"> da Silva, </w:t>
      </w:r>
      <w:r w:rsidR="009A3AB4">
        <w:rPr>
          <w:lang w:val="pt-BR"/>
        </w:rPr>
        <w:t>ANP</w:t>
      </w:r>
      <w:r w:rsidRPr="00256A05">
        <w:rPr>
          <w:lang w:val="pt-BR"/>
        </w:rPr>
        <w:t xml:space="preserve">, </w:t>
      </w:r>
      <w:r w:rsidR="00267512">
        <w:rPr>
          <w:lang w:val="pt-BR"/>
        </w:rPr>
        <w:t>(32) 98848-7923</w:t>
      </w:r>
      <w:r w:rsidRPr="00256A05">
        <w:rPr>
          <w:lang w:val="pt-BR"/>
        </w:rPr>
        <w:t xml:space="preserve">, </w:t>
      </w:r>
      <w:r w:rsidR="00267512">
        <w:rPr>
          <w:lang w:val="pt-BR"/>
        </w:rPr>
        <w:t>asuriane@anp.gov.br</w:t>
      </w:r>
    </w:p>
    <w:p w14:paraId="06C09B00" w14:textId="3D2EBBEB" w:rsidR="007A4285" w:rsidRPr="00256A05" w:rsidRDefault="007A4285">
      <w:pPr>
        <w:pStyle w:val="Corpodetexto"/>
        <w:spacing w:before="1"/>
        <w:ind w:left="112" w:right="103" w:firstLine="64"/>
        <w:jc w:val="right"/>
        <w:rPr>
          <w:sz w:val="22"/>
          <w:lang w:val="pt-BR"/>
        </w:rPr>
      </w:pPr>
      <w:r>
        <w:rPr>
          <w:lang w:val="pt-BR"/>
        </w:rPr>
        <w:t>Joana</w:t>
      </w:r>
      <w:r w:rsidR="00267512">
        <w:rPr>
          <w:lang w:val="pt-BR"/>
        </w:rPr>
        <w:t xml:space="preserve"> Duarte Ouro Alves, </w:t>
      </w:r>
      <w:r w:rsidR="009A3AB4">
        <w:rPr>
          <w:lang w:val="pt-BR"/>
        </w:rPr>
        <w:t>ANP</w:t>
      </w:r>
      <w:r w:rsidR="00267512">
        <w:rPr>
          <w:lang w:val="pt-BR"/>
        </w:rPr>
        <w:t>, (</w:t>
      </w:r>
      <w:r w:rsidR="007545BE">
        <w:rPr>
          <w:lang w:val="pt-BR"/>
        </w:rPr>
        <w:t>21</w:t>
      </w:r>
      <w:r w:rsidR="00267512">
        <w:rPr>
          <w:lang w:val="pt-BR"/>
        </w:rPr>
        <w:t>)</w:t>
      </w:r>
      <w:r w:rsidR="007545BE">
        <w:rPr>
          <w:lang w:val="pt-BR"/>
        </w:rPr>
        <w:t xml:space="preserve"> 98188-2266</w:t>
      </w:r>
      <w:r w:rsidR="00267512">
        <w:rPr>
          <w:lang w:val="pt-BR"/>
        </w:rPr>
        <w:t xml:space="preserve">, jalves@anp.gov.br </w:t>
      </w:r>
      <w:r>
        <w:rPr>
          <w:lang w:val="pt-BR"/>
        </w:rPr>
        <w:t xml:space="preserve"> </w:t>
      </w:r>
    </w:p>
    <w:p w14:paraId="37A02346" w14:textId="77777777" w:rsidR="00CF2E54" w:rsidRPr="00256A05" w:rsidRDefault="00CF2E54">
      <w:pPr>
        <w:jc w:val="right"/>
        <w:rPr>
          <w:lang w:val="pt-BR"/>
        </w:rPr>
        <w:sectPr w:rsidR="00CF2E54" w:rsidRPr="00256A05" w:rsidSect="00E86F9D">
          <w:type w:val="continuous"/>
          <w:pgSz w:w="12240" w:h="15840"/>
          <w:pgMar w:top="1247" w:right="624" w:bottom="1247" w:left="624" w:header="720" w:footer="720" w:gutter="0"/>
          <w:cols w:num="2" w:space="720" w:equalWidth="0">
            <w:col w:w="6754" w:space="49"/>
            <w:col w:w="4189"/>
          </w:cols>
        </w:sectPr>
      </w:pPr>
    </w:p>
    <w:p w14:paraId="6E6FCED4" w14:textId="77777777" w:rsidR="00CF2E54" w:rsidRPr="00256A05" w:rsidRDefault="00CF2E54">
      <w:pPr>
        <w:pStyle w:val="Corpodetexto"/>
        <w:rPr>
          <w:lang w:val="pt-BR"/>
        </w:rPr>
      </w:pPr>
    </w:p>
    <w:p w14:paraId="0EF35EF4" w14:textId="367CC40B" w:rsidR="00CF2E54" w:rsidRDefault="00000000">
      <w:pPr>
        <w:pStyle w:val="Ttulo1"/>
      </w:pPr>
      <w:r>
        <w:t>Overview</w:t>
      </w:r>
    </w:p>
    <w:p w14:paraId="0424845A" w14:textId="29534C24" w:rsidR="00CF2E54" w:rsidRPr="007545BE" w:rsidRDefault="00C30EEF" w:rsidP="007545BE">
      <w:pPr>
        <w:pStyle w:val="Corpodetexto"/>
        <w:ind w:left="851"/>
        <w:jc w:val="both"/>
      </w:pPr>
      <w:r w:rsidRPr="007545BE">
        <w:t xml:space="preserve">The growing urgency </w:t>
      </w:r>
      <w:r w:rsidR="007A4285" w:rsidRPr="007545BE">
        <w:t>to accelerate</w:t>
      </w:r>
      <w:r w:rsidRPr="007545BE">
        <w:t xml:space="preserve"> the energy transition has been pressuring governments and policymakers to present effective plans for a sustained </w:t>
      </w:r>
      <w:r w:rsidR="00085EC5">
        <w:t>long-term</w:t>
      </w:r>
      <w:r w:rsidRPr="007545BE">
        <w:t xml:space="preserve"> decrease in greenhouse gas emissions. In Brazil, some </w:t>
      </w:r>
      <w:r w:rsidR="007A4285" w:rsidRPr="007545BE">
        <w:t xml:space="preserve">general </w:t>
      </w:r>
      <w:r w:rsidRPr="007545BE">
        <w:t xml:space="preserve">bills aimed at </w:t>
      </w:r>
      <w:r w:rsidR="007A4285" w:rsidRPr="007545BE">
        <w:t xml:space="preserve">fossil </w:t>
      </w:r>
      <w:r w:rsidRPr="007545BE">
        <w:t xml:space="preserve">fuel </w:t>
      </w:r>
      <w:r w:rsidR="007A4285" w:rsidRPr="007545BE">
        <w:t>replacement with sustainable alternative fuels</w:t>
      </w:r>
      <w:r w:rsidRPr="007545BE">
        <w:t xml:space="preserve"> have been proposed by congressmen and by the government</w:t>
      </w:r>
      <w:r w:rsidR="009A3AB4">
        <w:t xml:space="preserve"> [1]</w:t>
      </w:r>
      <w:r w:rsidRPr="007545BE">
        <w:t xml:space="preserve">. All of them consider ethanol to remain an important </w:t>
      </w:r>
      <w:r w:rsidR="007A4285" w:rsidRPr="007545BE">
        <w:t>component</w:t>
      </w:r>
      <w:r w:rsidRPr="007545BE">
        <w:t xml:space="preserve"> of the Brazilian transition. Therefore, a constant revisitation of the </w:t>
      </w:r>
      <w:r w:rsidR="00085EC5">
        <w:t>policies'</w:t>
      </w:r>
      <w:r w:rsidRPr="007545BE">
        <w:t xml:space="preserve"> effects is needed to </w:t>
      </w:r>
      <w:r w:rsidR="007A4285" w:rsidRPr="007545BE">
        <w:t xml:space="preserve">assure market competitiveness and </w:t>
      </w:r>
      <w:r w:rsidRPr="007545BE">
        <w:t>further enhance consumer switching to ethanol. In this context, fuel demand elasticities are an important input for policymakers. Although the subject has been explored in literature</w:t>
      </w:r>
      <w:r w:rsidR="009A3AB4">
        <w:t xml:space="preserve"> [2-5]</w:t>
      </w:r>
      <w:r w:rsidRPr="007545BE">
        <w:t>, our work use</w:t>
      </w:r>
      <w:r w:rsidR="000D041A" w:rsidRPr="007545BE">
        <w:t>s</w:t>
      </w:r>
      <w:r w:rsidRPr="007545BE">
        <w:t xml:space="preserve"> a new database with much greater granularity, containing fuel consumption per municipality per month in the 459 municipalities for which retail prices are available. We find own-price elasticities to be </w:t>
      </w:r>
      <w:r w:rsidR="000D041A" w:rsidRPr="007545BE">
        <w:t>1.2 for gasoline and 1.7 for ethanol</w:t>
      </w:r>
      <w:r w:rsidRPr="007545BE">
        <w:t>, higher than</w:t>
      </w:r>
      <w:r w:rsidR="000D041A" w:rsidRPr="007545BE">
        <w:t xml:space="preserve"> values found in</w:t>
      </w:r>
      <w:r w:rsidRPr="007545BE">
        <w:t xml:space="preserve"> previous </w:t>
      </w:r>
      <w:r w:rsidR="000D041A" w:rsidRPr="007545BE">
        <w:t>research, indicating that Brazilian</w:t>
      </w:r>
      <w:r w:rsidR="00085EC5">
        <w:t xml:space="preserve"> consumers</w:t>
      </w:r>
      <w:r w:rsidR="000D041A" w:rsidRPr="007545BE">
        <w:t xml:space="preserve"> may be more </w:t>
      </w:r>
      <w:r w:rsidR="00085EC5">
        <w:t>price-sensitive</w:t>
      </w:r>
      <w:r w:rsidR="000D041A" w:rsidRPr="007545BE">
        <w:t xml:space="preserve"> than previously thought</w:t>
      </w:r>
      <w:r w:rsidRPr="007545BE">
        <w:t xml:space="preserve">. </w:t>
      </w:r>
      <w:r w:rsidR="000D041A" w:rsidRPr="007545BE">
        <w:t xml:space="preserve">Cross-price elasticities were positive and significant for both fuels </w:t>
      </w:r>
      <w:proofErr w:type="gramStart"/>
      <w:r w:rsidR="000D041A" w:rsidRPr="007545BE">
        <w:t>and also</w:t>
      </w:r>
      <w:proofErr w:type="gramEnd"/>
      <w:r w:rsidR="000D041A" w:rsidRPr="007545BE">
        <w:t xml:space="preserve"> higher than previous results.</w:t>
      </w:r>
    </w:p>
    <w:p w14:paraId="07F6211A" w14:textId="77777777" w:rsidR="00CF2E54" w:rsidRDefault="00CF2E54">
      <w:pPr>
        <w:pStyle w:val="Corpodetexto"/>
        <w:rPr>
          <w:rFonts w:ascii="Arial"/>
          <w:b/>
          <w:sz w:val="23"/>
        </w:rPr>
      </w:pPr>
    </w:p>
    <w:p w14:paraId="0860A2F6" w14:textId="29AD3F04" w:rsidR="00CF2E54" w:rsidRDefault="00000000">
      <w:pPr>
        <w:ind w:left="840"/>
        <w:rPr>
          <w:rFonts w:ascii="Arial"/>
          <w:b/>
          <w:sz w:val="24"/>
        </w:rPr>
      </w:pPr>
      <w:r>
        <w:rPr>
          <w:rFonts w:ascii="Arial"/>
          <w:b/>
          <w:sz w:val="24"/>
        </w:rPr>
        <w:t>Methods</w:t>
      </w:r>
    </w:p>
    <w:p w14:paraId="7A938A96" w14:textId="59F72D65" w:rsidR="00136D20" w:rsidRPr="007545BE" w:rsidRDefault="00136D20" w:rsidP="007545BE">
      <w:pPr>
        <w:pStyle w:val="Corpodetexto"/>
        <w:ind w:left="851"/>
        <w:jc w:val="both"/>
        <w:rPr>
          <w:lang w:val="en-GB"/>
        </w:rPr>
      </w:pPr>
      <w:r w:rsidRPr="007545BE">
        <w:rPr>
          <w:lang w:val="en-GB"/>
        </w:rPr>
        <w:t>To estimate fuel demand, we used a time series approach with both time and individual fixed effects, accounting for constant non-observed heterogeneity between municipalities. The models were estimated using as explanatory variables fuel prices, and income. We did not include the fleet, as it is common in the literature because it was accounted for in the individual fixed effects.</w:t>
      </w:r>
      <w:r w:rsidR="00353A6E" w:rsidRPr="007545BE">
        <w:rPr>
          <w:lang w:val="en-GB"/>
        </w:rPr>
        <w:t xml:space="preserve"> Our estimations used a </w:t>
      </w:r>
      <w:r w:rsidR="00353A6E" w:rsidRPr="007545BE">
        <w:t>database containing fuel consumption per municipality per month in the 459 municipalities for which retail prices are available for the 36 months of the years 2019, 2020, and 2021. The panel is unbalanced because due to technical problems, the retail price survey was not carried out in all municipalities in all months.</w:t>
      </w:r>
    </w:p>
    <w:p w14:paraId="7F1F34B7" w14:textId="56C184F3" w:rsidR="00136D20" w:rsidRPr="007545BE" w:rsidRDefault="00136D20" w:rsidP="007545BE">
      <w:pPr>
        <w:pStyle w:val="Corpodetexto"/>
        <w:ind w:left="851" w:firstLine="720"/>
        <w:jc w:val="both"/>
        <w:rPr>
          <w:lang w:val="en-GB"/>
        </w:rPr>
      </w:pPr>
      <w:r w:rsidRPr="007545BE">
        <w:rPr>
          <w:lang w:val="en-GB"/>
        </w:rPr>
        <w:t>Volumetric consumption data was provided by ANP and is extracted from the declared total sales by fuel distributors to gas stations per municipality per month. Income was represented by GDP</w:t>
      </w:r>
      <w:r w:rsidR="00353A6E" w:rsidRPr="007545BE">
        <w:rPr>
          <w:lang w:val="en-GB"/>
        </w:rPr>
        <w:t xml:space="preserve"> per capita</w:t>
      </w:r>
      <w:r w:rsidRPr="007545BE">
        <w:rPr>
          <w:lang w:val="en-GB"/>
        </w:rPr>
        <w:t xml:space="preserve"> provided by IBGE per municipality per year.</w:t>
      </w:r>
      <w:r w:rsidR="007545BE">
        <w:rPr>
          <w:lang w:val="en-GB"/>
        </w:rPr>
        <w:t xml:space="preserve"> Despite the lack of </w:t>
      </w:r>
      <w:r w:rsidR="00085EC5">
        <w:rPr>
          <w:lang w:val="en-GB"/>
        </w:rPr>
        <w:t>monthly</w:t>
      </w:r>
      <w:r w:rsidR="007545BE">
        <w:rPr>
          <w:lang w:val="en-GB"/>
        </w:rPr>
        <w:t xml:space="preserve"> variability, GDP was considered the best variable because it is uncorrelated with fuel demand.</w:t>
      </w:r>
      <w:r w:rsidR="00085EC5">
        <w:rPr>
          <w:lang w:val="en-GB"/>
        </w:rPr>
        <w:t xml:space="preserve"> Other research used the amount of collected taxes per state (ICMS), for instance. However, this variable is not available per municipality and is closely correlated with fuel consumption because a significant share of those taxes comes from fuel.</w:t>
      </w:r>
    </w:p>
    <w:p w14:paraId="00DFDDF9" w14:textId="636D29C5" w:rsidR="00353A6E" w:rsidRDefault="00136D20" w:rsidP="007545BE">
      <w:pPr>
        <w:pStyle w:val="Corpodetexto"/>
        <w:ind w:left="851" w:firstLine="720"/>
        <w:jc w:val="both"/>
        <w:rPr>
          <w:lang w:val="en-GB"/>
        </w:rPr>
      </w:pPr>
      <w:r w:rsidRPr="007545BE">
        <w:rPr>
          <w:lang w:val="en-GB"/>
        </w:rPr>
        <w:t xml:space="preserve">The available gasoline and ethanol retail prices come from a weekly survey contracted by ANP and carried out by researchers in a sample of gas stations located in 459 selected municipalities. </w:t>
      </w:r>
      <w:r w:rsidR="00353A6E" w:rsidRPr="007545BE">
        <w:rPr>
          <w:lang w:val="en-GB"/>
        </w:rPr>
        <w:t xml:space="preserve">Prices were taken as a simple monthly average per municipality. </w:t>
      </w:r>
      <w:r w:rsidRPr="007545BE">
        <w:rPr>
          <w:lang w:val="en-GB"/>
        </w:rPr>
        <w:t>The gasoline prices were considered exogenous mainly due to the pricing policy adopted by Petrobras during the investigated period (2019-2021). In this interval, fossil gasoline sold by Petrobras to distributors in Brazil was priced according to the import parity price (IPP) plus a price margin to remunerate risks inherent to the operation</w:t>
      </w:r>
      <w:r w:rsidR="009A3AB4">
        <w:rPr>
          <w:lang w:val="en-GB"/>
        </w:rPr>
        <w:t xml:space="preserve"> [5]</w:t>
      </w:r>
      <w:r w:rsidRPr="007545BE">
        <w:rPr>
          <w:lang w:val="en-GB"/>
        </w:rPr>
        <w:t>. Considering that, first, Petrobras had a very significant market share -- 80% in 2019, 77% in 2020, and 82% in 2021</w:t>
      </w:r>
      <w:r w:rsidR="009A3AB4">
        <w:rPr>
          <w:lang w:val="en-GB"/>
        </w:rPr>
        <w:t xml:space="preserve"> [6]</w:t>
      </w:r>
      <w:r w:rsidRPr="007545BE">
        <w:rPr>
          <w:lang w:val="en-GB"/>
        </w:rPr>
        <w:t xml:space="preserve">, </w:t>
      </w:r>
      <w:proofErr w:type="gramStart"/>
      <w:r w:rsidRPr="007545BE">
        <w:rPr>
          <w:lang w:val="en-GB"/>
        </w:rPr>
        <w:t>and,</w:t>
      </w:r>
      <w:proofErr w:type="gramEnd"/>
      <w:r w:rsidRPr="007545BE">
        <w:rPr>
          <w:lang w:val="en-GB"/>
        </w:rPr>
        <w:t xml:space="preserve"> second, that the gasoline blend was composed of 73% fossil gasoline, Petrobras pricing policy is a major factor determining the gasoline retail price.</w:t>
      </w:r>
    </w:p>
    <w:p w14:paraId="21B2FE70" w14:textId="392A41DD" w:rsidR="009A3AB4" w:rsidRPr="007545BE" w:rsidRDefault="009A3AB4" w:rsidP="009A3AB4">
      <w:pPr>
        <w:pStyle w:val="Corpodetexto"/>
        <w:ind w:left="851" w:firstLine="720"/>
        <w:jc w:val="both"/>
        <w:rPr>
          <w:lang w:val="en-GB"/>
        </w:rPr>
      </w:pPr>
      <w:r w:rsidRPr="009A3AB4">
        <w:rPr>
          <w:lang w:val="en-GB"/>
        </w:rPr>
        <w:t>Ethanol pricing is completely different because market forces are at work in the sugarcane/ethanol industry. In the period 2020-2021, production market shares were pulverized among 255 producers, the largest one responsible for no more than 6% of total ethanol production</w:t>
      </w:r>
      <w:r>
        <w:rPr>
          <w:lang w:val="en-GB"/>
        </w:rPr>
        <w:t xml:space="preserve"> [6]</w:t>
      </w:r>
      <w:r w:rsidRPr="009A3AB4">
        <w:rPr>
          <w:lang w:val="en-GB"/>
        </w:rPr>
        <w:t xml:space="preserve">. As expected not only because of the ethanol blend to gasoline but also because of the way ethanol is priced, ethanol prices </w:t>
      </w:r>
      <w:r>
        <w:rPr>
          <w:lang w:val="en-GB"/>
        </w:rPr>
        <w:t xml:space="preserve">are </w:t>
      </w:r>
      <w:r w:rsidRPr="009A3AB4">
        <w:rPr>
          <w:lang w:val="en-GB"/>
        </w:rPr>
        <w:t>correlated to gasoline prices.</w:t>
      </w:r>
      <w:r>
        <w:rPr>
          <w:lang w:val="en-GB"/>
        </w:rPr>
        <w:t xml:space="preserve"> This issue will be treated with an instrumental variable approach.</w:t>
      </w:r>
    </w:p>
    <w:p w14:paraId="151F54E7" w14:textId="77777777" w:rsidR="009A3AB4" w:rsidRDefault="00353A6E" w:rsidP="00085EC5">
      <w:pPr>
        <w:pStyle w:val="Corpodetexto"/>
        <w:ind w:left="851" w:firstLine="720"/>
        <w:jc w:val="both"/>
        <w:rPr>
          <w:lang w:val="en-GB"/>
        </w:rPr>
      </w:pPr>
      <w:r w:rsidRPr="007545BE">
        <w:rPr>
          <w:lang w:val="en-GB"/>
        </w:rPr>
        <w:t>We opted not to deflate prices since they are connected to international prices and exchange rates rather than to the general price increase in the national economy. Moreover, all the analysis is carried out within the same market. To avoid the endogeneity caused by the naturally endogenous cycle between supply and demand, we used lagged prices both for gasoline and ethanol.</w:t>
      </w:r>
    </w:p>
    <w:p w14:paraId="3D87A92C" w14:textId="1796F41A" w:rsidR="00136D20" w:rsidRDefault="00136D20" w:rsidP="00085EC5">
      <w:pPr>
        <w:pStyle w:val="Corpodetexto"/>
        <w:ind w:left="851" w:firstLine="720"/>
        <w:jc w:val="both"/>
        <w:rPr>
          <w:sz w:val="28"/>
          <w:szCs w:val="28"/>
          <w:lang w:val="en-GB"/>
        </w:rPr>
      </w:pPr>
      <w:r>
        <w:rPr>
          <w:sz w:val="28"/>
          <w:szCs w:val="28"/>
          <w:lang w:val="en-GB"/>
        </w:rPr>
        <w:tab/>
      </w:r>
    </w:p>
    <w:p w14:paraId="030FF41B" w14:textId="6CAF329A" w:rsidR="00CF2E54" w:rsidRDefault="00000000">
      <w:pPr>
        <w:pStyle w:val="Ttulo1"/>
      </w:pPr>
      <w:r>
        <w:t>Results</w:t>
      </w:r>
    </w:p>
    <w:p w14:paraId="6A5BDC15" w14:textId="68279D32" w:rsidR="00CF2E54" w:rsidRDefault="00353A6E" w:rsidP="007545BE">
      <w:pPr>
        <w:pStyle w:val="Corpodetexto"/>
        <w:ind w:left="851"/>
        <w:jc w:val="both"/>
      </w:pPr>
      <w:r w:rsidRPr="007545BE">
        <w:t>We found the following price and income elasticities for gasoline and ethanol</w:t>
      </w:r>
      <w:r w:rsidR="003E0CB1" w:rsidRPr="007545BE">
        <w:t>.</w:t>
      </w:r>
    </w:p>
    <w:tbl>
      <w:tblPr>
        <w:tblW w:w="0" w:type="auto"/>
        <w:jc w:val="center"/>
        <w:tblLayout w:type="fixed"/>
        <w:tblLook w:val="0000" w:firstRow="0" w:lastRow="0" w:firstColumn="0" w:lastColumn="0" w:noHBand="0" w:noVBand="0"/>
      </w:tblPr>
      <w:tblGrid>
        <w:gridCol w:w="1656"/>
        <w:gridCol w:w="2016"/>
        <w:gridCol w:w="2016"/>
      </w:tblGrid>
      <w:tr w:rsidR="007545BE" w:rsidRPr="007545BE" w14:paraId="26C5A740" w14:textId="77777777" w:rsidTr="007545BE">
        <w:trPr>
          <w:jc w:val="center"/>
        </w:trPr>
        <w:tc>
          <w:tcPr>
            <w:tcW w:w="1656" w:type="dxa"/>
            <w:tcBorders>
              <w:top w:val="single" w:sz="4" w:space="0" w:color="auto"/>
              <w:left w:val="nil"/>
              <w:bottom w:val="nil"/>
              <w:right w:val="nil"/>
            </w:tcBorders>
          </w:tcPr>
          <w:p w14:paraId="6D63F5D9" w14:textId="77777777" w:rsidR="007545BE" w:rsidRPr="007545BE" w:rsidRDefault="007545BE" w:rsidP="002646D7">
            <w:pPr>
              <w:adjustRightInd w:val="0"/>
              <w:rPr>
                <w:sz w:val="20"/>
                <w:szCs w:val="20"/>
              </w:rPr>
            </w:pPr>
          </w:p>
        </w:tc>
        <w:tc>
          <w:tcPr>
            <w:tcW w:w="2016" w:type="dxa"/>
            <w:tcBorders>
              <w:top w:val="single" w:sz="4" w:space="0" w:color="auto"/>
              <w:left w:val="nil"/>
              <w:bottom w:val="nil"/>
              <w:right w:val="nil"/>
            </w:tcBorders>
          </w:tcPr>
          <w:p w14:paraId="2EDB85BC" w14:textId="77777777" w:rsidR="007545BE" w:rsidRPr="007545BE" w:rsidRDefault="007545BE" w:rsidP="002646D7">
            <w:pPr>
              <w:adjustRightInd w:val="0"/>
              <w:jc w:val="center"/>
              <w:rPr>
                <w:sz w:val="20"/>
                <w:szCs w:val="20"/>
              </w:rPr>
            </w:pPr>
            <w:r w:rsidRPr="007545BE">
              <w:rPr>
                <w:sz w:val="20"/>
                <w:szCs w:val="20"/>
              </w:rPr>
              <w:t>(1)</w:t>
            </w:r>
          </w:p>
        </w:tc>
        <w:tc>
          <w:tcPr>
            <w:tcW w:w="2016" w:type="dxa"/>
            <w:tcBorders>
              <w:top w:val="single" w:sz="4" w:space="0" w:color="auto"/>
              <w:left w:val="nil"/>
              <w:bottom w:val="nil"/>
              <w:right w:val="nil"/>
            </w:tcBorders>
          </w:tcPr>
          <w:p w14:paraId="36A65989" w14:textId="77777777" w:rsidR="007545BE" w:rsidRPr="007545BE" w:rsidRDefault="007545BE" w:rsidP="002646D7">
            <w:pPr>
              <w:adjustRightInd w:val="0"/>
              <w:jc w:val="center"/>
              <w:rPr>
                <w:sz w:val="20"/>
                <w:szCs w:val="20"/>
              </w:rPr>
            </w:pPr>
            <w:r w:rsidRPr="007545BE">
              <w:rPr>
                <w:sz w:val="20"/>
                <w:szCs w:val="20"/>
              </w:rPr>
              <w:t>(2)</w:t>
            </w:r>
          </w:p>
        </w:tc>
      </w:tr>
      <w:tr w:rsidR="007545BE" w:rsidRPr="007545BE" w14:paraId="46EAB16A" w14:textId="77777777" w:rsidTr="007545BE">
        <w:trPr>
          <w:jc w:val="center"/>
        </w:trPr>
        <w:tc>
          <w:tcPr>
            <w:tcW w:w="1656" w:type="dxa"/>
            <w:tcBorders>
              <w:top w:val="nil"/>
              <w:left w:val="nil"/>
              <w:bottom w:val="nil"/>
              <w:right w:val="nil"/>
            </w:tcBorders>
          </w:tcPr>
          <w:p w14:paraId="07AE0ADC" w14:textId="77777777" w:rsidR="007545BE" w:rsidRPr="007545BE" w:rsidRDefault="007545BE" w:rsidP="002646D7">
            <w:pPr>
              <w:adjustRightInd w:val="0"/>
              <w:rPr>
                <w:sz w:val="20"/>
                <w:szCs w:val="20"/>
              </w:rPr>
            </w:pPr>
          </w:p>
        </w:tc>
        <w:tc>
          <w:tcPr>
            <w:tcW w:w="2016" w:type="dxa"/>
            <w:tcBorders>
              <w:top w:val="nil"/>
              <w:left w:val="nil"/>
              <w:bottom w:val="nil"/>
              <w:right w:val="nil"/>
            </w:tcBorders>
          </w:tcPr>
          <w:p w14:paraId="3AE34DC6" w14:textId="77777777" w:rsidR="007545BE" w:rsidRPr="007545BE" w:rsidRDefault="007545BE" w:rsidP="002646D7">
            <w:pPr>
              <w:adjustRightInd w:val="0"/>
              <w:jc w:val="center"/>
              <w:rPr>
                <w:sz w:val="20"/>
                <w:szCs w:val="20"/>
              </w:rPr>
            </w:pPr>
            <w:r w:rsidRPr="007545BE">
              <w:rPr>
                <w:sz w:val="20"/>
                <w:szCs w:val="20"/>
              </w:rPr>
              <w:t>Gasoline demand</w:t>
            </w:r>
          </w:p>
        </w:tc>
        <w:tc>
          <w:tcPr>
            <w:tcW w:w="2016" w:type="dxa"/>
            <w:tcBorders>
              <w:top w:val="nil"/>
              <w:left w:val="nil"/>
              <w:bottom w:val="nil"/>
              <w:right w:val="nil"/>
            </w:tcBorders>
          </w:tcPr>
          <w:p w14:paraId="3D2B7315" w14:textId="77777777" w:rsidR="007545BE" w:rsidRPr="007545BE" w:rsidRDefault="007545BE" w:rsidP="002646D7">
            <w:pPr>
              <w:adjustRightInd w:val="0"/>
              <w:jc w:val="center"/>
              <w:rPr>
                <w:sz w:val="20"/>
                <w:szCs w:val="20"/>
              </w:rPr>
            </w:pPr>
            <w:r w:rsidRPr="007545BE">
              <w:rPr>
                <w:sz w:val="20"/>
                <w:szCs w:val="20"/>
              </w:rPr>
              <w:t>Ethanol demand</w:t>
            </w:r>
          </w:p>
        </w:tc>
      </w:tr>
      <w:tr w:rsidR="007545BE" w:rsidRPr="007545BE" w14:paraId="004E37FC" w14:textId="77777777" w:rsidTr="007545BE">
        <w:trPr>
          <w:jc w:val="center"/>
        </w:trPr>
        <w:tc>
          <w:tcPr>
            <w:tcW w:w="1656" w:type="dxa"/>
            <w:tcBorders>
              <w:top w:val="single" w:sz="4" w:space="0" w:color="auto"/>
              <w:left w:val="nil"/>
              <w:bottom w:val="nil"/>
              <w:right w:val="nil"/>
            </w:tcBorders>
          </w:tcPr>
          <w:p w14:paraId="34A4FF9B" w14:textId="77777777" w:rsidR="007545BE" w:rsidRPr="007545BE" w:rsidRDefault="007545BE" w:rsidP="002646D7">
            <w:pPr>
              <w:adjustRightInd w:val="0"/>
              <w:rPr>
                <w:sz w:val="20"/>
                <w:szCs w:val="20"/>
              </w:rPr>
            </w:pPr>
            <w:r w:rsidRPr="007545BE">
              <w:rPr>
                <w:sz w:val="20"/>
                <w:szCs w:val="20"/>
              </w:rPr>
              <w:t>Gasoline price</w:t>
            </w:r>
          </w:p>
        </w:tc>
        <w:tc>
          <w:tcPr>
            <w:tcW w:w="2016" w:type="dxa"/>
            <w:tcBorders>
              <w:top w:val="single" w:sz="4" w:space="0" w:color="auto"/>
              <w:left w:val="nil"/>
              <w:bottom w:val="nil"/>
              <w:right w:val="nil"/>
            </w:tcBorders>
          </w:tcPr>
          <w:p w14:paraId="38EEBDD1" w14:textId="77777777" w:rsidR="007545BE" w:rsidRPr="007545BE" w:rsidRDefault="007545BE" w:rsidP="002646D7">
            <w:pPr>
              <w:adjustRightInd w:val="0"/>
              <w:jc w:val="center"/>
              <w:rPr>
                <w:sz w:val="20"/>
                <w:szCs w:val="20"/>
              </w:rPr>
            </w:pPr>
            <w:r w:rsidRPr="007545BE">
              <w:rPr>
                <w:sz w:val="20"/>
                <w:szCs w:val="20"/>
              </w:rPr>
              <w:t>-1.234</w:t>
            </w:r>
            <w:r w:rsidRPr="007545BE">
              <w:rPr>
                <w:sz w:val="20"/>
                <w:szCs w:val="20"/>
                <w:vertAlign w:val="superscript"/>
              </w:rPr>
              <w:t>***</w:t>
            </w:r>
          </w:p>
        </w:tc>
        <w:tc>
          <w:tcPr>
            <w:tcW w:w="2016" w:type="dxa"/>
            <w:tcBorders>
              <w:top w:val="single" w:sz="4" w:space="0" w:color="auto"/>
              <w:left w:val="nil"/>
              <w:bottom w:val="nil"/>
              <w:right w:val="nil"/>
            </w:tcBorders>
          </w:tcPr>
          <w:p w14:paraId="39F4D2F8" w14:textId="77777777" w:rsidR="007545BE" w:rsidRPr="007545BE" w:rsidRDefault="007545BE" w:rsidP="002646D7">
            <w:pPr>
              <w:adjustRightInd w:val="0"/>
              <w:jc w:val="center"/>
              <w:rPr>
                <w:sz w:val="20"/>
                <w:szCs w:val="20"/>
              </w:rPr>
            </w:pPr>
            <w:r w:rsidRPr="007545BE">
              <w:rPr>
                <w:sz w:val="20"/>
                <w:szCs w:val="20"/>
              </w:rPr>
              <w:t>1.352</w:t>
            </w:r>
            <w:r w:rsidRPr="007545BE">
              <w:rPr>
                <w:sz w:val="20"/>
                <w:szCs w:val="20"/>
                <w:vertAlign w:val="superscript"/>
              </w:rPr>
              <w:t>***</w:t>
            </w:r>
          </w:p>
        </w:tc>
      </w:tr>
      <w:tr w:rsidR="007545BE" w:rsidRPr="007545BE" w14:paraId="6B0E7FF2" w14:textId="77777777" w:rsidTr="007545BE">
        <w:trPr>
          <w:jc w:val="center"/>
        </w:trPr>
        <w:tc>
          <w:tcPr>
            <w:tcW w:w="1656" w:type="dxa"/>
            <w:tcBorders>
              <w:top w:val="nil"/>
              <w:left w:val="nil"/>
              <w:bottom w:val="nil"/>
              <w:right w:val="nil"/>
            </w:tcBorders>
          </w:tcPr>
          <w:p w14:paraId="53C66163" w14:textId="77777777" w:rsidR="007545BE" w:rsidRPr="007545BE" w:rsidRDefault="007545BE" w:rsidP="002646D7">
            <w:pPr>
              <w:adjustRightInd w:val="0"/>
              <w:rPr>
                <w:sz w:val="20"/>
                <w:szCs w:val="20"/>
              </w:rPr>
            </w:pPr>
          </w:p>
        </w:tc>
        <w:tc>
          <w:tcPr>
            <w:tcW w:w="2016" w:type="dxa"/>
            <w:tcBorders>
              <w:top w:val="nil"/>
              <w:left w:val="nil"/>
              <w:bottom w:val="nil"/>
              <w:right w:val="nil"/>
            </w:tcBorders>
          </w:tcPr>
          <w:p w14:paraId="7C92FE8F" w14:textId="77777777" w:rsidR="007545BE" w:rsidRPr="007545BE" w:rsidRDefault="007545BE" w:rsidP="002646D7">
            <w:pPr>
              <w:adjustRightInd w:val="0"/>
              <w:jc w:val="center"/>
              <w:rPr>
                <w:sz w:val="20"/>
                <w:szCs w:val="20"/>
              </w:rPr>
            </w:pPr>
            <w:r w:rsidRPr="007545BE">
              <w:rPr>
                <w:sz w:val="20"/>
                <w:szCs w:val="20"/>
              </w:rPr>
              <w:t>(0.0459)</w:t>
            </w:r>
          </w:p>
        </w:tc>
        <w:tc>
          <w:tcPr>
            <w:tcW w:w="2016" w:type="dxa"/>
            <w:tcBorders>
              <w:top w:val="nil"/>
              <w:left w:val="nil"/>
              <w:bottom w:val="nil"/>
              <w:right w:val="nil"/>
            </w:tcBorders>
          </w:tcPr>
          <w:p w14:paraId="2E3CBC3F" w14:textId="77777777" w:rsidR="007545BE" w:rsidRPr="007545BE" w:rsidRDefault="007545BE" w:rsidP="002646D7">
            <w:pPr>
              <w:adjustRightInd w:val="0"/>
              <w:jc w:val="center"/>
              <w:rPr>
                <w:sz w:val="20"/>
                <w:szCs w:val="20"/>
              </w:rPr>
            </w:pPr>
            <w:r w:rsidRPr="007545BE">
              <w:rPr>
                <w:sz w:val="20"/>
                <w:szCs w:val="20"/>
              </w:rPr>
              <w:t>(0.104)</w:t>
            </w:r>
          </w:p>
        </w:tc>
      </w:tr>
      <w:tr w:rsidR="007545BE" w:rsidRPr="007545BE" w14:paraId="07AF4629" w14:textId="77777777" w:rsidTr="007545BE">
        <w:trPr>
          <w:jc w:val="center"/>
        </w:trPr>
        <w:tc>
          <w:tcPr>
            <w:tcW w:w="1656" w:type="dxa"/>
            <w:tcBorders>
              <w:top w:val="nil"/>
              <w:left w:val="nil"/>
              <w:bottom w:val="nil"/>
              <w:right w:val="nil"/>
            </w:tcBorders>
          </w:tcPr>
          <w:p w14:paraId="264F568F" w14:textId="77777777" w:rsidR="007545BE" w:rsidRPr="007545BE" w:rsidRDefault="007545BE" w:rsidP="002646D7">
            <w:pPr>
              <w:adjustRightInd w:val="0"/>
              <w:rPr>
                <w:sz w:val="20"/>
                <w:szCs w:val="20"/>
              </w:rPr>
            </w:pPr>
            <w:r w:rsidRPr="007545BE">
              <w:rPr>
                <w:sz w:val="20"/>
                <w:szCs w:val="20"/>
              </w:rPr>
              <w:t>Ethanol price</w:t>
            </w:r>
          </w:p>
        </w:tc>
        <w:tc>
          <w:tcPr>
            <w:tcW w:w="2016" w:type="dxa"/>
            <w:tcBorders>
              <w:top w:val="nil"/>
              <w:left w:val="nil"/>
              <w:bottom w:val="nil"/>
              <w:right w:val="nil"/>
            </w:tcBorders>
          </w:tcPr>
          <w:p w14:paraId="4CB8784D" w14:textId="77777777" w:rsidR="007545BE" w:rsidRPr="007545BE" w:rsidRDefault="007545BE" w:rsidP="002646D7">
            <w:pPr>
              <w:adjustRightInd w:val="0"/>
              <w:jc w:val="center"/>
              <w:rPr>
                <w:sz w:val="20"/>
                <w:szCs w:val="20"/>
              </w:rPr>
            </w:pPr>
            <w:r w:rsidRPr="007545BE">
              <w:rPr>
                <w:sz w:val="20"/>
                <w:szCs w:val="20"/>
              </w:rPr>
              <w:t>0.830</w:t>
            </w:r>
            <w:r w:rsidRPr="007545BE">
              <w:rPr>
                <w:sz w:val="20"/>
                <w:szCs w:val="20"/>
                <w:vertAlign w:val="superscript"/>
              </w:rPr>
              <w:t>***</w:t>
            </w:r>
          </w:p>
        </w:tc>
        <w:tc>
          <w:tcPr>
            <w:tcW w:w="2016" w:type="dxa"/>
            <w:tcBorders>
              <w:top w:val="nil"/>
              <w:left w:val="nil"/>
              <w:bottom w:val="nil"/>
              <w:right w:val="nil"/>
            </w:tcBorders>
          </w:tcPr>
          <w:p w14:paraId="5BEBFF55" w14:textId="77777777" w:rsidR="007545BE" w:rsidRPr="007545BE" w:rsidRDefault="007545BE" w:rsidP="002646D7">
            <w:pPr>
              <w:adjustRightInd w:val="0"/>
              <w:jc w:val="center"/>
              <w:rPr>
                <w:sz w:val="20"/>
                <w:szCs w:val="20"/>
              </w:rPr>
            </w:pPr>
            <w:r w:rsidRPr="007545BE">
              <w:rPr>
                <w:sz w:val="20"/>
                <w:szCs w:val="20"/>
              </w:rPr>
              <w:t>-1.738</w:t>
            </w:r>
            <w:r w:rsidRPr="007545BE">
              <w:rPr>
                <w:sz w:val="20"/>
                <w:szCs w:val="20"/>
                <w:vertAlign w:val="superscript"/>
              </w:rPr>
              <w:t>***</w:t>
            </w:r>
          </w:p>
        </w:tc>
      </w:tr>
      <w:tr w:rsidR="007545BE" w:rsidRPr="007545BE" w14:paraId="05E71D2C" w14:textId="77777777" w:rsidTr="007545BE">
        <w:trPr>
          <w:jc w:val="center"/>
        </w:trPr>
        <w:tc>
          <w:tcPr>
            <w:tcW w:w="1656" w:type="dxa"/>
            <w:tcBorders>
              <w:top w:val="nil"/>
              <w:left w:val="nil"/>
              <w:bottom w:val="nil"/>
              <w:right w:val="nil"/>
            </w:tcBorders>
          </w:tcPr>
          <w:p w14:paraId="6A23440C" w14:textId="77777777" w:rsidR="007545BE" w:rsidRPr="007545BE" w:rsidRDefault="007545BE" w:rsidP="002646D7">
            <w:pPr>
              <w:adjustRightInd w:val="0"/>
              <w:rPr>
                <w:sz w:val="20"/>
                <w:szCs w:val="20"/>
              </w:rPr>
            </w:pPr>
          </w:p>
        </w:tc>
        <w:tc>
          <w:tcPr>
            <w:tcW w:w="2016" w:type="dxa"/>
            <w:tcBorders>
              <w:top w:val="nil"/>
              <w:left w:val="nil"/>
              <w:bottom w:val="nil"/>
              <w:right w:val="nil"/>
            </w:tcBorders>
          </w:tcPr>
          <w:p w14:paraId="65F66031" w14:textId="77777777" w:rsidR="007545BE" w:rsidRPr="007545BE" w:rsidRDefault="007545BE" w:rsidP="002646D7">
            <w:pPr>
              <w:adjustRightInd w:val="0"/>
              <w:jc w:val="center"/>
              <w:rPr>
                <w:sz w:val="20"/>
                <w:szCs w:val="20"/>
              </w:rPr>
            </w:pPr>
            <w:r w:rsidRPr="007545BE">
              <w:rPr>
                <w:sz w:val="20"/>
                <w:szCs w:val="20"/>
              </w:rPr>
              <w:t>(0.0234)</w:t>
            </w:r>
          </w:p>
        </w:tc>
        <w:tc>
          <w:tcPr>
            <w:tcW w:w="2016" w:type="dxa"/>
            <w:tcBorders>
              <w:top w:val="nil"/>
              <w:left w:val="nil"/>
              <w:bottom w:val="nil"/>
              <w:right w:val="nil"/>
            </w:tcBorders>
          </w:tcPr>
          <w:p w14:paraId="37D51DDB" w14:textId="77777777" w:rsidR="007545BE" w:rsidRPr="007545BE" w:rsidRDefault="007545BE" w:rsidP="002646D7">
            <w:pPr>
              <w:adjustRightInd w:val="0"/>
              <w:jc w:val="center"/>
              <w:rPr>
                <w:sz w:val="20"/>
                <w:szCs w:val="20"/>
              </w:rPr>
            </w:pPr>
            <w:r w:rsidRPr="007545BE">
              <w:rPr>
                <w:sz w:val="20"/>
                <w:szCs w:val="20"/>
              </w:rPr>
              <w:t>(0.0530)</w:t>
            </w:r>
          </w:p>
        </w:tc>
      </w:tr>
      <w:tr w:rsidR="007545BE" w:rsidRPr="007545BE" w14:paraId="41265395" w14:textId="77777777" w:rsidTr="007545BE">
        <w:trPr>
          <w:jc w:val="center"/>
        </w:trPr>
        <w:tc>
          <w:tcPr>
            <w:tcW w:w="1656" w:type="dxa"/>
            <w:tcBorders>
              <w:top w:val="nil"/>
              <w:left w:val="nil"/>
              <w:bottom w:val="nil"/>
              <w:right w:val="nil"/>
            </w:tcBorders>
          </w:tcPr>
          <w:p w14:paraId="0E56E6D2" w14:textId="77777777" w:rsidR="007545BE" w:rsidRPr="007545BE" w:rsidRDefault="007545BE" w:rsidP="002646D7">
            <w:pPr>
              <w:adjustRightInd w:val="0"/>
              <w:rPr>
                <w:sz w:val="20"/>
                <w:szCs w:val="20"/>
              </w:rPr>
            </w:pPr>
            <w:r w:rsidRPr="007545BE">
              <w:rPr>
                <w:sz w:val="20"/>
                <w:szCs w:val="20"/>
              </w:rPr>
              <w:t>Income</w:t>
            </w:r>
          </w:p>
        </w:tc>
        <w:tc>
          <w:tcPr>
            <w:tcW w:w="2016" w:type="dxa"/>
            <w:tcBorders>
              <w:top w:val="nil"/>
              <w:left w:val="nil"/>
              <w:bottom w:val="nil"/>
              <w:right w:val="nil"/>
            </w:tcBorders>
          </w:tcPr>
          <w:p w14:paraId="36E1C4DB" w14:textId="77777777" w:rsidR="007545BE" w:rsidRPr="007545BE" w:rsidRDefault="007545BE" w:rsidP="002646D7">
            <w:pPr>
              <w:adjustRightInd w:val="0"/>
              <w:jc w:val="center"/>
              <w:rPr>
                <w:sz w:val="20"/>
                <w:szCs w:val="20"/>
              </w:rPr>
            </w:pPr>
            <w:r w:rsidRPr="007545BE">
              <w:rPr>
                <w:sz w:val="20"/>
                <w:szCs w:val="20"/>
              </w:rPr>
              <w:t>0.141</w:t>
            </w:r>
            <w:r w:rsidRPr="007545BE">
              <w:rPr>
                <w:sz w:val="20"/>
                <w:szCs w:val="20"/>
                <w:vertAlign w:val="superscript"/>
              </w:rPr>
              <w:t>***</w:t>
            </w:r>
          </w:p>
        </w:tc>
        <w:tc>
          <w:tcPr>
            <w:tcW w:w="2016" w:type="dxa"/>
            <w:tcBorders>
              <w:top w:val="nil"/>
              <w:left w:val="nil"/>
              <w:bottom w:val="nil"/>
              <w:right w:val="nil"/>
            </w:tcBorders>
          </w:tcPr>
          <w:p w14:paraId="0E49D2BD" w14:textId="77777777" w:rsidR="007545BE" w:rsidRPr="007545BE" w:rsidRDefault="007545BE" w:rsidP="002646D7">
            <w:pPr>
              <w:adjustRightInd w:val="0"/>
              <w:jc w:val="center"/>
              <w:rPr>
                <w:sz w:val="20"/>
                <w:szCs w:val="20"/>
              </w:rPr>
            </w:pPr>
            <w:r w:rsidRPr="007545BE">
              <w:rPr>
                <w:sz w:val="20"/>
                <w:szCs w:val="20"/>
              </w:rPr>
              <w:t>0.199</w:t>
            </w:r>
            <w:r w:rsidRPr="007545BE">
              <w:rPr>
                <w:sz w:val="20"/>
                <w:szCs w:val="20"/>
                <w:vertAlign w:val="superscript"/>
              </w:rPr>
              <w:t>***</w:t>
            </w:r>
          </w:p>
        </w:tc>
      </w:tr>
      <w:tr w:rsidR="007545BE" w:rsidRPr="007545BE" w14:paraId="49A3631E" w14:textId="77777777" w:rsidTr="007545BE">
        <w:trPr>
          <w:jc w:val="center"/>
        </w:trPr>
        <w:tc>
          <w:tcPr>
            <w:tcW w:w="1656" w:type="dxa"/>
            <w:tcBorders>
              <w:top w:val="nil"/>
              <w:left w:val="nil"/>
              <w:bottom w:val="nil"/>
              <w:right w:val="nil"/>
            </w:tcBorders>
          </w:tcPr>
          <w:p w14:paraId="76615A6F" w14:textId="77777777" w:rsidR="007545BE" w:rsidRPr="007545BE" w:rsidRDefault="007545BE" w:rsidP="002646D7">
            <w:pPr>
              <w:adjustRightInd w:val="0"/>
              <w:rPr>
                <w:sz w:val="20"/>
                <w:szCs w:val="20"/>
              </w:rPr>
            </w:pPr>
          </w:p>
        </w:tc>
        <w:tc>
          <w:tcPr>
            <w:tcW w:w="2016" w:type="dxa"/>
            <w:tcBorders>
              <w:top w:val="nil"/>
              <w:left w:val="nil"/>
              <w:bottom w:val="nil"/>
              <w:right w:val="nil"/>
            </w:tcBorders>
          </w:tcPr>
          <w:p w14:paraId="0FD75654" w14:textId="77777777" w:rsidR="007545BE" w:rsidRPr="007545BE" w:rsidRDefault="007545BE" w:rsidP="002646D7">
            <w:pPr>
              <w:adjustRightInd w:val="0"/>
              <w:jc w:val="center"/>
              <w:rPr>
                <w:sz w:val="20"/>
                <w:szCs w:val="20"/>
              </w:rPr>
            </w:pPr>
            <w:r w:rsidRPr="007545BE">
              <w:rPr>
                <w:sz w:val="20"/>
                <w:szCs w:val="20"/>
              </w:rPr>
              <w:t>(0.0145)</w:t>
            </w:r>
          </w:p>
        </w:tc>
        <w:tc>
          <w:tcPr>
            <w:tcW w:w="2016" w:type="dxa"/>
            <w:tcBorders>
              <w:top w:val="nil"/>
              <w:left w:val="nil"/>
              <w:bottom w:val="nil"/>
              <w:right w:val="nil"/>
            </w:tcBorders>
          </w:tcPr>
          <w:p w14:paraId="53178DAF" w14:textId="77777777" w:rsidR="007545BE" w:rsidRPr="007545BE" w:rsidRDefault="007545BE" w:rsidP="002646D7">
            <w:pPr>
              <w:adjustRightInd w:val="0"/>
              <w:jc w:val="center"/>
              <w:rPr>
                <w:sz w:val="20"/>
                <w:szCs w:val="20"/>
              </w:rPr>
            </w:pPr>
            <w:r w:rsidRPr="007545BE">
              <w:rPr>
                <w:sz w:val="20"/>
                <w:szCs w:val="20"/>
              </w:rPr>
              <w:t>(0.0328)</w:t>
            </w:r>
          </w:p>
        </w:tc>
      </w:tr>
      <w:tr w:rsidR="007545BE" w:rsidRPr="007545BE" w14:paraId="7D03400A" w14:textId="77777777" w:rsidTr="007545BE">
        <w:trPr>
          <w:jc w:val="center"/>
        </w:trPr>
        <w:tc>
          <w:tcPr>
            <w:tcW w:w="1656" w:type="dxa"/>
            <w:tcBorders>
              <w:top w:val="nil"/>
              <w:left w:val="nil"/>
              <w:bottom w:val="nil"/>
              <w:right w:val="nil"/>
            </w:tcBorders>
          </w:tcPr>
          <w:p w14:paraId="1C1E48FF" w14:textId="77777777" w:rsidR="007545BE" w:rsidRPr="007545BE" w:rsidRDefault="007545BE" w:rsidP="002646D7">
            <w:pPr>
              <w:adjustRightInd w:val="0"/>
              <w:rPr>
                <w:sz w:val="20"/>
                <w:szCs w:val="20"/>
              </w:rPr>
            </w:pPr>
            <w:r w:rsidRPr="007545BE">
              <w:rPr>
                <w:sz w:val="20"/>
                <w:szCs w:val="20"/>
              </w:rPr>
              <w:t>Constant</w:t>
            </w:r>
          </w:p>
        </w:tc>
        <w:tc>
          <w:tcPr>
            <w:tcW w:w="2016" w:type="dxa"/>
            <w:tcBorders>
              <w:top w:val="nil"/>
              <w:left w:val="nil"/>
              <w:bottom w:val="nil"/>
              <w:right w:val="nil"/>
            </w:tcBorders>
          </w:tcPr>
          <w:p w14:paraId="50E322F8" w14:textId="77777777" w:rsidR="007545BE" w:rsidRPr="007545BE" w:rsidRDefault="007545BE" w:rsidP="002646D7">
            <w:pPr>
              <w:adjustRightInd w:val="0"/>
              <w:jc w:val="center"/>
              <w:rPr>
                <w:sz w:val="20"/>
                <w:szCs w:val="20"/>
              </w:rPr>
            </w:pPr>
            <w:r w:rsidRPr="007545BE">
              <w:rPr>
                <w:sz w:val="20"/>
                <w:szCs w:val="20"/>
              </w:rPr>
              <w:t>15.49</w:t>
            </w:r>
            <w:r w:rsidRPr="007545BE">
              <w:rPr>
                <w:sz w:val="20"/>
                <w:szCs w:val="20"/>
                <w:vertAlign w:val="superscript"/>
              </w:rPr>
              <w:t>***</w:t>
            </w:r>
          </w:p>
        </w:tc>
        <w:tc>
          <w:tcPr>
            <w:tcW w:w="2016" w:type="dxa"/>
            <w:tcBorders>
              <w:top w:val="nil"/>
              <w:left w:val="nil"/>
              <w:bottom w:val="nil"/>
              <w:right w:val="nil"/>
            </w:tcBorders>
          </w:tcPr>
          <w:p w14:paraId="34C1771C" w14:textId="77777777" w:rsidR="007545BE" w:rsidRPr="007545BE" w:rsidRDefault="007545BE" w:rsidP="002646D7">
            <w:pPr>
              <w:adjustRightInd w:val="0"/>
              <w:jc w:val="center"/>
              <w:rPr>
                <w:sz w:val="20"/>
                <w:szCs w:val="20"/>
              </w:rPr>
            </w:pPr>
            <w:r w:rsidRPr="007545BE">
              <w:rPr>
                <w:sz w:val="20"/>
                <w:szCs w:val="20"/>
              </w:rPr>
              <w:t>13.80</w:t>
            </w:r>
            <w:r w:rsidRPr="007545BE">
              <w:rPr>
                <w:sz w:val="20"/>
                <w:szCs w:val="20"/>
                <w:vertAlign w:val="superscript"/>
              </w:rPr>
              <w:t>***</w:t>
            </w:r>
          </w:p>
        </w:tc>
      </w:tr>
      <w:tr w:rsidR="007545BE" w:rsidRPr="007545BE" w14:paraId="314BB530" w14:textId="77777777" w:rsidTr="007545BE">
        <w:trPr>
          <w:jc w:val="center"/>
        </w:trPr>
        <w:tc>
          <w:tcPr>
            <w:tcW w:w="1656" w:type="dxa"/>
            <w:tcBorders>
              <w:top w:val="nil"/>
              <w:left w:val="nil"/>
              <w:bottom w:val="single" w:sz="4" w:space="0" w:color="auto"/>
              <w:right w:val="nil"/>
            </w:tcBorders>
          </w:tcPr>
          <w:p w14:paraId="00BCBBCB" w14:textId="77777777" w:rsidR="007545BE" w:rsidRPr="007545BE" w:rsidRDefault="007545BE" w:rsidP="002646D7">
            <w:pPr>
              <w:adjustRightInd w:val="0"/>
              <w:rPr>
                <w:sz w:val="20"/>
                <w:szCs w:val="20"/>
              </w:rPr>
            </w:pPr>
          </w:p>
        </w:tc>
        <w:tc>
          <w:tcPr>
            <w:tcW w:w="2016" w:type="dxa"/>
            <w:tcBorders>
              <w:top w:val="nil"/>
              <w:left w:val="nil"/>
              <w:bottom w:val="single" w:sz="4" w:space="0" w:color="auto"/>
              <w:right w:val="nil"/>
            </w:tcBorders>
          </w:tcPr>
          <w:p w14:paraId="637D0D79" w14:textId="77777777" w:rsidR="007545BE" w:rsidRPr="007545BE" w:rsidRDefault="007545BE" w:rsidP="002646D7">
            <w:pPr>
              <w:adjustRightInd w:val="0"/>
              <w:jc w:val="center"/>
              <w:rPr>
                <w:sz w:val="20"/>
                <w:szCs w:val="20"/>
              </w:rPr>
            </w:pPr>
            <w:r w:rsidRPr="007545BE">
              <w:rPr>
                <w:sz w:val="20"/>
                <w:szCs w:val="20"/>
              </w:rPr>
              <w:t>(0.0649)</w:t>
            </w:r>
          </w:p>
        </w:tc>
        <w:tc>
          <w:tcPr>
            <w:tcW w:w="2016" w:type="dxa"/>
            <w:tcBorders>
              <w:top w:val="nil"/>
              <w:left w:val="nil"/>
              <w:bottom w:val="single" w:sz="4" w:space="0" w:color="auto"/>
              <w:right w:val="nil"/>
            </w:tcBorders>
          </w:tcPr>
          <w:p w14:paraId="4F7AB3AC" w14:textId="77777777" w:rsidR="007545BE" w:rsidRPr="007545BE" w:rsidRDefault="007545BE" w:rsidP="002646D7">
            <w:pPr>
              <w:adjustRightInd w:val="0"/>
              <w:jc w:val="center"/>
              <w:rPr>
                <w:sz w:val="20"/>
                <w:szCs w:val="20"/>
              </w:rPr>
            </w:pPr>
            <w:r w:rsidRPr="007545BE">
              <w:rPr>
                <w:sz w:val="20"/>
                <w:szCs w:val="20"/>
              </w:rPr>
              <w:t>(0.147)</w:t>
            </w:r>
          </w:p>
        </w:tc>
      </w:tr>
      <w:tr w:rsidR="007545BE" w:rsidRPr="007545BE" w14:paraId="7585F1B9" w14:textId="77777777" w:rsidTr="007545BE">
        <w:trPr>
          <w:jc w:val="center"/>
        </w:trPr>
        <w:tc>
          <w:tcPr>
            <w:tcW w:w="1656" w:type="dxa"/>
            <w:tcBorders>
              <w:top w:val="single" w:sz="4" w:space="0" w:color="auto"/>
              <w:left w:val="nil"/>
              <w:bottom w:val="nil"/>
              <w:right w:val="nil"/>
            </w:tcBorders>
          </w:tcPr>
          <w:p w14:paraId="4072B4E6" w14:textId="77777777" w:rsidR="007545BE" w:rsidRPr="007545BE" w:rsidRDefault="007545BE" w:rsidP="002646D7">
            <w:pPr>
              <w:adjustRightInd w:val="0"/>
              <w:rPr>
                <w:sz w:val="20"/>
                <w:szCs w:val="20"/>
              </w:rPr>
            </w:pPr>
            <w:r w:rsidRPr="007545BE">
              <w:rPr>
                <w:i/>
                <w:iCs/>
                <w:sz w:val="20"/>
                <w:szCs w:val="20"/>
              </w:rPr>
              <w:t>N</w:t>
            </w:r>
          </w:p>
        </w:tc>
        <w:tc>
          <w:tcPr>
            <w:tcW w:w="2016" w:type="dxa"/>
            <w:tcBorders>
              <w:top w:val="single" w:sz="4" w:space="0" w:color="auto"/>
              <w:left w:val="nil"/>
              <w:bottom w:val="nil"/>
              <w:right w:val="nil"/>
            </w:tcBorders>
          </w:tcPr>
          <w:p w14:paraId="0B92B9D1" w14:textId="77777777" w:rsidR="007545BE" w:rsidRPr="007545BE" w:rsidRDefault="007545BE" w:rsidP="002646D7">
            <w:pPr>
              <w:adjustRightInd w:val="0"/>
              <w:jc w:val="center"/>
              <w:rPr>
                <w:sz w:val="20"/>
                <w:szCs w:val="20"/>
              </w:rPr>
            </w:pPr>
            <w:r w:rsidRPr="007545BE">
              <w:rPr>
                <w:sz w:val="20"/>
                <w:szCs w:val="20"/>
              </w:rPr>
              <w:t>11,938</w:t>
            </w:r>
          </w:p>
        </w:tc>
        <w:tc>
          <w:tcPr>
            <w:tcW w:w="2016" w:type="dxa"/>
            <w:tcBorders>
              <w:top w:val="single" w:sz="4" w:space="0" w:color="auto"/>
              <w:left w:val="nil"/>
              <w:bottom w:val="nil"/>
              <w:right w:val="nil"/>
            </w:tcBorders>
          </w:tcPr>
          <w:p w14:paraId="16EF4DBC" w14:textId="77777777" w:rsidR="007545BE" w:rsidRPr="007545BE" w:rsidRDefault="007545BE" w:rsidP="002646D7">
            <w:pPr>
              <w:adjustRightInd w:val="0"/>
              <w:jc w:val="center"/>
              <w:rPr>
                <w:sz w:val="20"/>
                <w:szCs w:val="20"/>
              </w:rPr>
            </w:pPr>
            <w:r w:rsidRPr="007545BE">
              <w:rPr>
                <w:sz w:val="20"/>
                <w:szCs w:val="20"/>
              </w:rPr>
              <w:t>11,924</w:t>
            </w:r>
          </w:p>
        </w:tc>
      </w:tr>
      <w:tr w:rsidR="007545BE" w:rsidRPr="007545BE" w14:paraId="06108244" w14:textId="77777777" w:rsidTr="007545BE">
        <w:trPr>
          <w:jc w:val="center"/>
        </w:trPr>
        <w:tc>
          <w:tcPr>
            <w:tcW w:w="1656" w:type="dxa"/>
            <w:tcBorders>
              <w:top w:val="nil"/>
              <w:left w:val="nil"/>
              <w:bottom w:val="single" w:sz="4" w:space="0" w:color="auto"/>
              <w:right w:val="nil"/>
            </w:tcBorders>
          </w:tcPr>
          <w:p w14:paraId="2E972A8A" w14:textId="77777777" w:rsidR="007545BE" w:rsidRPr="007545BE" w:rsidRDefault="007545BE" w:rsidP="002646D7">
            <w:pPr>
              <w:adjustRightInd w:val="0"/>
              <w:rPr>
                <w:sz w:val="20"/>
                <w:szCs w:val="20"/>
              </w:rPr>
            </w:pPr>
            <w:r w:rsidRPr="007545BE">
              <w:rPr>
                <w:i/>
                <w:iCs/>
                <w:sz w:val="20"/>
                <w:szCs w:val="20"/>
              </w:rPr>
              <w:t>R</w:t>
            </w:r>
            <w:r w:rsidRPr="007545BE">
              <w:rPr>
                <w:sz w:val="20"/>
                <w:szCs w:val="20"/>
                <w:vertAlign w:val="superscript"/>
              </w:rPr>
              <w:t xml:space="preserve">2 </w:t>
            </w:r>
            <w:r w:rsidRPr="007545BE">
              <w:rPr>
                <w:sz w:val="20"/>
                <w:szCs w:val="20"/>
              </w:rPr>
              <w:t>(within)</w:t>
            </w:r>
          </w:p>
        </w:tc>
        <w:tc>
          <w:tcPr>
            <w:tcW w:w="2016" w:type="dxa"/>
            <w:tcBorders>
              <w:top w:val="nil"/>
              <w:left w:val="nil"/>
              <w:bottom w:val="single" w:sz="4" w:space="0" w:color="auto"/>
              <w:right w:val="nil"/>
            </w:tcBorders>
          </w:tcPr>
          <w:p w14:paraId="7847ABFF" w14:textId="77777777" w:rsidR="007545BE" w:rsidRPr="007545BE" w:rsidRDefault="007545BE" w:rsidP="002646D7">
            <w:pPr>
              <w:adjustRightInd w:val="0"/>
              <w:jc w:val="center"/>
              <w:rPr>
                <w:sz w:val="20"/>
                <w:szCs w:val="20"/>
              </w:rPr>
            </w:pPr>
            <w:r w:rsidRPr="007545BE">
              <w:rPr>
                <w:sz w:val="20"/>
                <w:szCs w:val="20"/>
              </w:rPr>
              <w:t>0.633</w:t>
            </w:r>
          </w:p>
        </w:tc>
        <w:tc>
          <w:tcPr>
            <w:tcW w:w="2016" w:type="dxa"/>
            <w:tcBorders>
              <w:top w:val="nil"/>
              <w:left w:val="nil"/>
              <w:bottom w:val="single" w:sz="4" w:space="0" w:color="auto"/>
              <w:right w:val="nil"/>
            </w:tcBorders>
          </w:tcPr>
          <w:p w14:paraId="709E5ADB" w14:textId="77777777" w:rsidR="007545BE" w:rsidRPr="007545BE" w:rsidRDefault="007545BE" w:rsidP="002646D7">
            <w:pPr>
              <w:adjustRightInd w:val="0"/>
              <w:jc w:val="center"/>
              <w:rPr>
                <w:sz w:val="20"/>
                <w:szCs w:val="20"/>
              </w:rPr>
            </w:pPr>
            <w:r w:rsidRPr="007545BE">
              <w:rPr>
                <w:sz w:val="20"/>
                <w:szCs w:val="20"/>
              </w:rPr>
              <w:t>0.545</w:t>
            </w:r>
          </w:p>
        </w:tc>
      </w:tr>
    </w:tbl>
    <w:p w14:paraId="0AAE59B0" w14:textId="6CE81551" w:rsidR="00267512" w:rsidRPr="007545BE" w:rsidRDefault="00267512" w:rsidP="00085EC5">
      <w:pPr>
        <w:pStyle w:val="Corpodetexto"/>
        <w:ind w:left="851" w:firstLine="589"/>
        <w:jc w:val="both"/>
      </w:pPr>
      <w:r w:rsidRPr="007545BE">
        <w:t>Own-price elasticities were found to be -1.2 for gasoline and -1.7 for ethanol, both higher than values found in previous research</w:t>
      </w:r>
      <w:r w:rsidR="009A3AB4">
        <w:t xml:space="preserve"> [2]</w:t>
      </w:r>
      <w:r w:rsidRPr="007545BE">
        <w:t xml:space="preserve">, indicating that Brazilian consumers may have become more </w:t>
      </w:r>
      <w:r w:rsidR="00085EC5">
        <w:t>price-sensitive</w:t>
      </w:r>
      <w:r w:rsidRPr="007545BE">
        <w:t xml:space="preserve"> than previously. Ethanol demand is more affected than gasoline by its own price, in line with the vast empirical literature that finds that ethanol's </w:t>
      </w:r>
      <w:r w:rsidR="00085EC5">
        <w:t>own price</w:t>
      </w:r>
      <w:r w:rsidRPr="007545BE">
        <w:t xml:space="preserve"> elasticity is higher than gasoline's.</w:t>
      </w:r>
    </w:p>
    <w:p w14:paraId="5DB35A53" w14:textId="13243731" w:rsidR="00267512" w:rsidRPr="007545BE" w:rsidRDefault="00267512" w:rsidP="00085EC5">
      <w:pPr>
        <w:pStyle w:val="Corpodetexto"/>
        <w:ind w:left="851" w:firstLine="589"/>
        <w:jc w:val="both"/>
      </w:pPr>
      <w:r w:rsidRPr="007545BE">
        <w:t>Cross-price elasticities were positive and significant for both fuels. Given the composition of the circulating fleet with about 90% of flexible-fuel vehicles</w:t>
      </w:r>
      <w:r w:rsidR="009A3AB4">
        <w:t xml:space="preserve"> [7]</w:t>
      </w:r>
      <w:r w:rsidRPr="007545BE">
        <w:t xml:space="preserve"> and the persistence of ethanol incentive policies and its widespread use, it is expected that</w:t>
      </w:r>
      <w:r w:rsidR="00995EC5">
        <w:t xml:space="preserve">, </w:t>
      </w:r>
      <w:r w:rsidR="00995EC5" w:rsidRPr="007545BE">
        <w:t>by now</w:t>
      </w:r>
      <w:r w:rsidR="00995EC5">
        <w:t>,</w:t>
      </w:r>
      <w:r w:rsidRPr="007545BE">
        <w:t xml:space="preserve"> ethanol and gasoline are considered substitute goods in the light fuel market in Brazil. Ethanol demand is more affected by gasoline </w:t>
      </w:r>
      <w:r w:rsidR="00085EC5">
        <w:t>prices</w:t>
      </w:r>
      <w:r w:rsidRPr="007545BE">
        <w:t xml:space="preserve"> than the other way around.</w:t>
      </w:r>
    </w:p>
    <w:p w14:paraId="449D147E" w14:textId="63010586" w:rsidR="00267512" w:rsidRDefault="00267512" w:rsidP="00085EC5">
      <w:pPr>
        <w:pStyle w:val="Corpodetexto"/>
        <w:ind w:left="851" w:firstLine="589"/>
        <w:jc w:val="both"/>
      </w:pPr>
      <w:r w:rsidRPr="007545BE">
        <w:t>Overall, gasoline demand is less affected by fuel prices than ethanol demand</w:t>
      </w:r>
      <w:r w:rsidR="007545BE">
        <w:t>. This result may point to the conclusion that a share of consumers is resistant to switching to ethanol and, even in favorable price conditions, they choose gasoline instead of ethanol</w:t>
      </w:r>
      <w:r w:rsidR="00E74AF5">
        <w:t xml:space="preserve"> [8]</w:t>
      </w:r>
      <w:r w:rsidR="007545BE">
        <w:t>.</w:t>
      </w:r>
    </w:p>
    <w:p w14:paraId="078A4201" w14:textId="39A8CA16" w:rsidR="007545BE" w:rsidRDefault="00085EC5" w:rsidP="00085EC5">
      <w:pPr>
        <w:pStyle w:val="Corpodetexto"/>
        <w:ind w:left="851" w:firstLine="589"/>
        <w:jc w:val="both"/>
      </w:pPr>
      <w:r>
        <w:t>B</w:t>
      </w:r>
      <w:r w:rsidR="007545BE">
        <w:t>oth income elasticities are positive and significant</w:t>
      </w:r>
      <w:r>
        <w:t>: 0.14 for gasoline and 0.20 for ethanol. Therefore, an increase in income results in an increase in ethanol consumption larger than in gasoline consumption.</w:t>
      </w:r>
    </w:p>
    <w:p w14:paraId="5F6FE44C" w14:textId="1B5D9399" w:rsidR="00085EC5" w:rsidRDefault="00085EC5" w:rsidP="00085EC5">
      <w:pPr>
        <w:pStyle w:val="Corpodetexto"/>
        <w:ind w:left="851" w:firstLine="589"/>
        <w:jc w:val="both"/>
      </w:pPr>
      <w:r>
        <w:t>Finally, in both fuel demand model estimates, the constants are significant and were found to have high values, indicating that factors other than prices and income are important to explain fuel demand.</w:t>
      </w:r>
    </w:p>
    <w:p w14:paraId="404F95CC" w14:textId="77777777" w:rsidR="007545BE" w:rsidRDefault="007545BE" w:rsidP="007545BE">
      <w:pPr>
        <w:pStyle w:val="Corpodetexto"/>
        <w:ind w:left="851"/>
        <w:jc w:val="both"/>
      </w:pPr>
    </w:p>
    <w:p w14:paraId="6116F50F" w14:textId="183534C9" w:rsidR="00CF2E54" w:rsidRDefault="00000000">
      <w:pPr>
        <w:ind w:left="840"/>
        <w:rPr>
          <w:rFonts w:ascii="Arial"/>
          <w:b/>
          <w:sz w:val="24"/>
        </w:rPr>
      </w:pPr>
      <w:r>
        <w:rPr>
          <w:rFonts w:ascii="Arial"/>
          <w:b/>
          <w:sz w:val="24"/>
        </w:rPr>
        <w:t>Conclusions</w:t>
      </w:r>
    </w:p>
    <w:p w14:paraId="583382E6" w14:textId="61E4FE18" w:rsidR="00CF2E54" w:rsidRDefault="00085EC5" w:rsidP="00D06A51">
      <w:pPr>
        <w:pStyle w:val="Corpodetexto"/>
        <w:ind w:left="851"/>
        <w:jc w:val="both"/>
      </w:pPr>
      <w:r w:rsidRPr="00D06A51">
        <w:t xml:space="preserve">Ethanol </w:t>
      </w:r>
      <w:r w:rsidR="00D06A51" w:rsidRPr="00D06A51">
        <w:t>will remain an important</w:t>
      </w:r>
      <w:r w:rsidR="00D06A51">
        <w:t xml:space="preserve"> </w:t>
      </w:r>
      <w:r w:rsidR="00D06A51" w:rsidRPr="00D06A51">
        <w:t>component of the Brazilian energy transition from fossil fuels to sustainable alternatives</w:t>
      </w:r>
      <w:r w:rsidR="00D06A51">
        <w:t>. Therefore, it is important to keep its incentive policies under continuous scrutiny. The fuel demand model with more granulated data indicated that both gasoline and ethanol prices may be more determinant than previously thought, which confirms the importance of ethanol tax exemption and other policies to increase its market competitiveness. The</w:t>
      </w:r>
      <w:r w:rsidR="009A3AB4">
        <w:t xml:space="preserve"> significance of the individual fixed effects in the model</w:t>
      </w:r>
      <w:r w:rsidR="00D06A51">
        <w:t xml:space="preserve"> also </w:t>
      </w:r>
      <w:r w:rsidR="00E74AF5">
        <w:t>points</w:t>
      </w:r>
      <w:r w:rsidR="00D06A51">
        <w:t xml:space="preserve"> out that other factors may be significant </w:t>
      </w:r>
      <w:r w:rsidR="00995EC5">
        <w:t>in explaining</w:t>
      </w:r>
      <w:r w:rsidR="00D06A51">
        <w:t xml:space="preserve"> fuel consumption, which deserves further research.</w:t>
      </w:r>
    </w:p>
    <w:p w14:paraId="29F8635D" w14:textId="77777777" w:rsidR="00D06A51" w:rsidRPr="00D06A51" w:rsidRDefault="00D06A51" w:rsidP="00D06A51">
      <w:pPr>
        <w:pStyle w:val="Corpodetexto"/>
        <w:ind w:left="851"/>
        <w:jc w:val="both"/>
      </w:pPr>
    </w:p>
    <w:p w14:paraId="7814D44D" w14:textId="4CBA55DA" w:rsidR="00CF2E54" w:rsidRDefault="00000000" w:rsidP="00256A05">
      <w:pPr>
        <w:pStyle w:val="Ttulo1"/>
      </w:pPr>
      <w:r>
        <w:t>References</w:t>
      </w:r>
    </w:p>
    <w:p w14:paraId="3A9E16CC" w14:textId="6A224183" w:rsidR="00E74AF5" w:rsidRPr="00E74AF5" w:rsidRDefault="00E74AF5" w:rsidP="00E74AF5">
      <w:pPr>
        <w:rPr>
          <w:sz w:val="20"/>
          <w:szCs w:val="20"/>
        </w:rPr>
      </w:pPr>
      <w:r>
        <w:rPr>
          <w:lang w:val="pt-BR"/>
        </w:rPr>
        <w:t>[1] Brasil</w:t>
      </w:r>
      <w:r w:rsidRPr="00E74AF5">
        <w:rPr>
          <w:lang w:val="pt-BR"/>
        </w:rPr>
        <w:t xml:space="preserve">. Câmara dos Deputados. Projeto de Lei nº </w:t>
      </w:r>
      <w:r>
        <w:rPr>
          <w:lang w:val="pt-BR"/>
        </w:rPr>
        <w:t>4.196</w:t>
      </w:r>
      <w:r w:rsidRPr="00E74AF5">
        <w:rPr>
          <w:lang w:val="pt-BR"/>
        </w:rPr>
        <w:t xml:space="preserve">, de </w:t>
      </w:r>
      <w:r>
        <w:rPr>
          <w:lang w:val="pt-BR"/>
        </w:rPr>
        <w:t>2023</w:t>
      </w:r>
      <w:r w:rsidRPr="00E74AF5">
        <w:rPr>
          <w:lang w:val="pt-BR"/>
        </w:rPr>
        <w:t>. Dispõe sobre a promoção da mobilidade sustentável de baixo carbono, o Programa Nacional de Combustível Sustentável de Aviação, o Programa Nacional de Diesel Verde e o marco legal da captura e da estocagem geológica de dióxido de carbono. Brasília: Câmara dos Deputados, 201</w:t>
      </w:r>
      <w:r>
        <w:rPr>
          <w:lang w:val="pt-BR"/>
        </w:rPr>
        <w:t>2</w:t>
      </w:r>
      <w:r w:rsidRPr="00E74AF5">
        <w:rPr>
          <w:lang w:val="pt-BR"/>
        </w:rPr>
        <w:t xml:space="preserve">. </w:t>
      </w:r>
      <w:r w:rsidRPr="00E74AF5">
        <w:t>Available</w:t>
      </w:r>
      <w:r w:rsidRPr="00E74AF5">
        <w:t xml:space="preserve">: https://www.camara.leg.br/propostas-legislativas/2388242. </w:t>
      </w:r>
      <w:r w:rsidRPr="00E74AF5">
        <w:t>Access</w:t>
      </w:r>
      <w:r w:rsidRPr="00E74AF5">
        <w:t xml:space="preserve">: </w:t>
      </w:r>
      <w:proofErr w:type="gramStart"/>
      <w:r>
        <w:t>March,</w:t>
      </w:r>
      <w:proofErr w:type="gramEnd"/>
      <w:r>
        <w:t xml:space="preserve"> 20</w:t>
      </w:r>
      <w:r w:rsidRPr="00E74AF5">
        <w:rPr>
          <w:vertAlign w:val="superscript"/>
        </w:rPr>
        <w:t>th</w:t>
      </w:r>
      <w:r>
        <w:t>, 2024</w:t>
      </w:r>
      <w:r w:rsidRPr="00E74AF5">
        <w:t>.</w:t>
      </w:r>
    </w:p>
    <w:p w14:paraId="71F71EA0" w14:textId="77777777" w:rsidR="00E74AF5" w:rsidRPr="003363E6" w:rsidRDefault="00E74AF5" w:rsidP="00E74AF5">
      <w:pPr>
        <w:rPr>
          <w:sz w:val="20"/>
          <w:szCs w:val="20"/>
          <w:shd w:val="clear" w:color="auto" w:fill="FFFFFF"/>
          <w:lang w:val="pt-BR"/>
        </w:rPr>
      </w:pPr>
      <w:r w:rsidRPr="003363E6">
        <w:rPr>
          <w:sz w:val="20"/>
          <w:szCs w:val="20"/>
          <w:shd w:val="clear" w:color="auto" w:fill="FFFFFF"/>
        </w:rPr>
        <w:t>[2] L. C. Cardoso, M. V. Bittencourt, W. H. Litt, and E. G. Irwin, “Biofuels</w:t>
      </w:r>
      <w:r>
        <w:rPr>
          <w:sz w:val="20"/>
          <w:szCs w:val="20"/>
          <w:shd w:val="clear" w:color="auto" w:fill="FFFFFF"/>
        </w:rPr>
        <w:t xml:space="preserve"> </w:t>
      </w:r>
      <w:r w:rsidRPr="003363E6">
        <w:rPr>
          <w:sz w:val="20"/>
          <w:szCs w:val="20"/>
          <w:shd w:val="clear" w:color="auto" w:fill="FFFFFF"/>
        </w:rPr>
        <w:t>policies and fuel demand</w:t>
      </w:r>
      <w:r>
        <w:rPr>
          <w:sz w:val="20"/>
          <w:szCs w:val="20"/>
          <w:shd w:val="clear" w:color="auto" w:fill="FFFFFF"/>
        </w:rPr>
        <w:t xml:space="preserve"> </w:t>
      </w:r>
      <w:r w:rsidRPr="003363E6">
        <w:rPr>
          <w:sz w:val="20"/>
          <w:szCs w:val="20"/>
          <w:shd w:val="clear" w:color="auto" w:fill="FFFFFF"/>
        </w:rPr>
        <w:t>elasticities in Brazil,” Energy Policy, vol. 128,</w:t>
      </w:r>
      <w:r>
        <w:rPr>
          <w:sz w:val="20"/>
          <w:szCs w:val="20"/>
          <w:shd w:val="clear" w:color="auto" w:fill="FFFFFF"/>
        </w:rPr>
        <w:t xml:space="preserve"> </w:t>
      </w:r>
      <w:r w:rsidRPr="003363E6">
        <w:rPr>
          <w:sz w:val="20"/>
          <w:szCs w:val="20"/>
          <w:shd w:val="clear" w:color="auto" w:fill="FFFFFF"/>
        </w:rPr>
        <w:t>pp. 296–305, May 2019. [Online]. Available:</w:t>
      </w:r>
      <w:r>
        <w:rPr>
          <w:sz w:val="20"/>
          <w:szCs w:val="20"/>
          <w:shd w:val="clear" w:color="auto" w:fill="FFFFFF"/>
        </w:rPr>
        <w:t xml:space="preserve"> </w:t>
      </w:r>
      <w:r w:rsidRPr="003363E6">
        <w:rPr>
          <w:sz w:val="20"/>
          <w:szCs w:val="20"/>
          <w:shd w:val="clear" w:color="auto" w:fill="FFFFFF"/>
        </w:rPr>
        <w:t>https://linkinghub.elsevier.com/retrieve/pii/S0301421518308401</w:t>
      </w:r>
      <w:r w:rsidRPr="003363E6">
        <w:rPr>
          <w:sz w:val="20"/>
          <w:szCs w:val="20"/>
        </w:rPr>
        <w:br/>
      </w:r>
      <w:r w:rsidRPr="003363E6">
        <w:rPr>
          <w:sz w:val="20"/>
          <w:szCs w:val="20"/>
          <w:shd w:val="clear" w:color="auto" w:fill="FFFFFF"/>
        </w:rPr>
        <w:t xml:space="preserve">[3] N. Rodrigues, L. </w:t>
      </w:r>
      <w:proofErr w:type="spellStart"/>
      <w:r w:rsidRPr="003363E6">
        <w:rPr>
          <w:sz w:val="20"/>
          <w:szCs w:val="20"/>
          <w:shd w:val="clear" w:color="auto" w:fill="FFFFFF"/>
        </w:rPr>
        <w:t>Losekann</w:t>
      </w:r>
      <w:proofErr w:type="spellEnd"/>
      <w:r w:rsidRPr="003363E6">
        <w:rPr>
          <w:sz w:val="20"/>
          <w:szCs w:val="20"/>
          <w:shd w:val="clear" w:color="auto" w:fill="FFFFFF"/>
        </w:rPr>
        <w:t>, and G. Silveira Filho, “Demand of automotive</w:t>
      </w:r>
      <w:r>
        <w:rPr>
          <w:sz w:val="20"/>
          <w:szCs w:val="20"/>
          <w:shd w:val="clear" w:color="auto" w:fill="FFFFFF"/>
        </w:rPr>
        <w:t xml:space="preserve"> </w:t>
      </w:r>
      <w:r w:rsidRPr="003363E6">
        <w:rPr>
          <w:sz w:val="20"/>
          <w:szCs w:val="20"/>
          <w:shd w:val="clear" w:color="auto" w:fill="FFFFFF"/>
        </w:rPr>
        <w:t>fuels in Brazil: Underlying energy demand trend and asymmetric price</w:t>
      </w:r>
      <w:r>
        <w:rPr>
          <w:sz w:val="20"/>
          <w:szCs w:val="20"/>
          <w:shd w:val="clear" w:color="auto" w:fill="FFFFFF"/>
        </w:rPr>
        <w:t xml:space="preserve"> </w:t>
      </w:r>
      <w:r w:rsidRPr="003363E6">
        <w:rPr>
          <w:sz w:val="20"/>
          <w:szCs w:val="20"/>
          <w:shd w:val="clear" w:color="auto" w:fill="FFFFFF"/>
        </w:rPr>
        <w:t>response,” Energy Economics, vol. 74, pp. 644–655, Aug.</w:t>
      </w:r>
      <w:r>
        <w:rPr>
          <w:sz w:val="20"/>
          <w:szCs w:val="20"/>
          <w:shd w:val="clear" w:color="auto" w:fill="FFFFFF"/>
        </w:rPr>
        <w:t xml:space="preserve"> </w:t>
      </w:r>
      <w:r w:rsidRPr="003363E6">
        <w:rPr>
          <w:sz w:val="20"/>
          <w:szCs w:val="20"/>
          <w:shd w:val="clear" w:color="auto" w:fill="FFFFFF"/>
        </w:rPr>
        <w:t>2018. [Online].</w:t>
      </w:r>
      <w:r>
        <w:rPr>
          <w:sz w:val="20"/>
          <w:szCs w:val="20"/>
          <w:shd w:val="clear" w:color="auto" w:fill="FFFFFF"/>
        </w:rPr>
        <w:t xml:space="preserve"> </w:t>
      </w:r>
      <w:r w:rsidRPr="003363E6">
        <w:rPr>
          <w:sz w:val="20"/>
          <w:szCs w:val="20"/>
          <w:shd w:val="clear" w:color="auto" w:fill="FFFFFF"/>
        </w:rPr>
        <w:t>Available: https://linkinghub.elsevier.com/retrieve/pii/S0140988318302500</w:t>
      </w:r>
      <w:r w:rsidRPr="003363E6">
        <w:rPr>
          <w:sz w:val="20"/>
          <w:szCs w:val="20"/>
        </w:rPr>
        <w:br/>
      </w:r>
      <w:r w:rsidRPr="003363E6">
        <w:rPr>
          <w:sz w:val="20"/>
          <w:szCs w:val="20"/>
          <w:shd w:val="clear" w:color="auto" w:fill="FFFFFF"/>
        </w:rPr>
        <w:t>[4] L. Rodrigues and M. R. P. Bacchi, “Light fuel demand and public policies</w:t>
      </w:r>
      <w:r>
        <w:rPr>
          <w:sz w:val="20"/>
          <w:szCs w:val="20"/>
          <w:shd w:val="clear" w:color="auto" w:fill="FFFFFF"/>
        </w:rPr>
        <w:t xml:space="preserve"> </w:t>
      </w:r>
      <w:r w:rsidRPr="003363E6">
        <w:rPr>
          <w:sz w:val="20"/>
          <w:szCs w:val="20"/>
          <w:shd w:val="clear" w:color="auto" w:fill="FFFFFF"/>
        </w:rPr>
        <w:t>in Brazil, 2003–2013,” Applied Economics, vol. 48, no. 54, pp. 5300–5313,</w:t>
      </w:r>
      <w:r>
        <w:rPr>
          <w:sz w:val="20"/>
          <w:szCs w:val="20"/>
          <w:shd w:val="clear" w:color="auto" w:fill="FFFFFF"/>
        </w:rPr>
        <w:t xml:space="preserve"> </w:t>
      </w:r>
      <w:r w:rsidRPr="003363E6">
        <w:rPr>
          <w:sz w:val="20"/>
          <w:szCs w:val="20"/>
          <w:shd w:val="clear" w:color="auto" w:fill="FFFFFF"/>
        </w:rPr>
        <w:t>Nov. 2016. [Online]. Available:</w:t>
      </w:r>
      <w:r>
        <w:rPr>
          <w:sz w:val="20"/>
          <w:szCs w:val="20"/>
          <w:shd w:val="clear" w:color="auto" w:fill="FFFFFF"/>
        </w:rPr>
        <w:t xml:space="preserve"> </w:t>
      </w:r>
      <w:r w:rsidRPr="003363E6">
        <w:rPr>
          <w:sz w:val="20"/>
          <w:szCs w:val="20"/>
          <w:shd w:val="clear" w:color="auto" w:fill="FFFFFF"/>
        </w:rPr>
        <w:t>https://www.tandfonline.com/doi/full/10.1080/00036846.2016.1176115</w:t>
      </w:r>
      <w:r w:rsidRPr="003363E6">
        <w:rPr>
          <w:sz w:val="20"/>
          <w:szCs w:val="20"/>
        </w:rPr>
        <w:br/>
      </w:r>
      <w:r w:rsidRPr="003363E6">
        <w:rPr>
          <w:sz w:val="20"/>
          <w:szCs w:val="20"/>
          <w:shd w:val="clear" w:color="auto" w:fill="FFFFFF"/>
        </w:rPr>
        <w:t>[5] A. S. Nascimento Filho, H. Saba, R. G. O. Dos Santos, J. G. A. Calmon,</w:t>
      </w:r>
      <w:r>
        <w:rPr>
          <w:sz w:val="20"/>
          <w:szCs w:val="20"/>
          <w:shd w:val="clear" w:color="auto" w:fill="FFFFFF"/>
        </w:rPr>
        <w:t xml:space="preserve"> </w:t>
      </w:r>
      <w:r w:rsidRPr="003363E6">
        <w:rPr>
          <w:sz w:val="20"/>
          <w:szCs w:val="20"/>
          <w:shd w:val="clear" w:color="auto" w:fill="FFFFFF"/>
        </w:rPr>
        <w:t>M. L. V. Araújo, E. M. F.</w:t>
      </w:r>
      <w:r>
        <w:rPr>
          <w:sz w:val="20"/>
          <w:szCs w:val="20"/>
          <w:shd w:val="clear" w:color="auto" w:fill="FFFFFF"/>
        </w:rPr>
        <w:t xml:space="preserve"> </w:t>
      </w:r>
      <w:r w:rsidRPr="003363E6">
        <w:rPr>
          <w:sz w:val="20"/>
          <w:szCs w:val="20"/>
          <w:shd w:val="clear" w:color="auto" w:fill="FFFFFF"/>
        </w:rPr>
        <w:t>Jorge, and T. B. Murari, “Analysis of Hydrous</w:t>
      </w:r>
      <w:r>
        <w:rPr>
          <w:sz w:val="20"/>
          <w:szCs w:val="20"/>
          <w:shd w:val="clear" w:color="auto" w:fill="FFFFFF"/>
        </w:rPr>
        <w:t xml:space="preserve"> </w:t>
      </w:r>
      <w:r w:rsidRPr="003363E6">
        <w:rPr>
          <w:sz w:val="20"/>
          <w:szCs w:val="20"/>
          <w:shd w:val="clear" w:color="auto" w:fill="FFFFFF"/>
        </w:rPr>
        <w:t>Ethanol Price Competitiveness after the Implementation of the Fossil Fuel</w:t>
      </w:r>
      <w:r>
        <w:rPr>
          <w:sz w:val="20"/>
          <w:szCs w:val="20"/>
          <w:shd w:val="clear" w:color="auto" w:fill="FFFFFF"/>
        </w:rPr>
        <w:t xml:space="preserve"> </w:t>
      </w:r>
      <w:r w:rsidRPr="003363E6">
        <w:rPr>
          <w:sz w:val="20"/>
          <w:szCs w:val="20"/>
          <w:shd w:val="clear" w:color="auto" w:fill="FFFFFF"/>
        </w:rPr>
        <w:t>Import Price Parity Policy in Brazil,” Sustainability, vol. 13, no. 17, p. 9899,</w:t>
      </w:r>
      <w:r>
        <w:rPr>
          <w:sz w:val="20"/>
          <w:szCs w:val="20"/>
          <w:shd w:val="clear" w:color="auto" w:fill="FFFFFF"/>
        </w:rPr>
        <w:t xml:space="preserve"> </w:t>
      </w:r>
      <w:r w:rsidRPr="003363E6">
        <w:rPr>
          <w:sz w:val="20"/>
          <w:szCs w:val="20"/>
          <w:shd w:val="clear" w:color="auto" w:fill="FFFFFF"/>
        </w:rPr>
        <w:t xml:space="preserve">Sep. 2021. </w:t>
      </w:r>
      <w:r w:rsidRPr="00E74AF5">
        <w:rPr>
          <w:sz w:val="20"/>
          <w:szCs w:val="20"/>
          <w:shd w:val="clear" w:color="auto" w:fill="FFFFFF"/>
          <w:lang w:val="pt-BR"/>
        </w:rPr>
        <w:t xml:space="preserve">[Online]. </w:t>
      </w:r>
      <w:proofErr w:type="spellStart"/>
      <w:r w:rsidRPr="003363E6">
        <w:rPr>
          <w:sz w:val="20"/>
          <w:szCs w:val="20"/>
          <w:shd w:val="clear" w:color="auto" w:fill="FFFFFF"/>
          <w:lang w:val="pt-BR"/>
        </w:rPr>
        <w:t>Available</w:t>
      </w:r>
      <w:proofErr w:type="spellEnd"/>
      <w:r w:rsidRPr="003363E6">
        <w:rPr>
          <w:sz w:val="20"/>
          <w:szCs w:val="20"/>
          <w:shd w:val="clear" w:color="auto" w:fill="FFFFFF"/>
          <w:lang w:val="pt-BR"/>
        </w:rPr>
        <w:t xml:space="preserve">: </w:t>
      </w:r>
      <w:hyperlink r:id="rId4" w:history="1">
        <w:r w:rsidRPr="003363E6">
          <w:rPr>
            <w:rStyle w:val="Hyperlink"/>
            <w:sz w:val="20"/>
            <w:szCs w:val="20"/>
            <w:shd w:val="clear" w:color="auto" w:fill="FFFFFF"/>
            <w:lang w:val="pt-BR"/>
          </w:rPr>
          <w:t>https://www.mdpi.com/2071-1050/13/17/9899</w:t>
        </w:r>
      </w:hyperlink>
    </w:p>
    <w:p w14:paraId="305EDBAF" w14:textId="77777777" w:rsidR="00E74AF5" w:rsidRPr="003363E6" w:rsidRDefault="00E74AF5" w:rsidP="00E74AF5">
      <w:pPr>
        <w:rPr>
          <w:sz w:val="20"/>
          <w:szCs w:val="20"/>
          <w:shd w:val="clear" w:color="auto" w:fill="FFFFFF"/>
        </w:rPr>
      </w:pPr>
      <w:r w:rsidRPr="00E74AF5">
        <w:rPr>
          <w:sz w:val="20"/>
          <w:szCs w:val="20"/>
          <w:shd w:val="clear" w:color="auto" w:fill="FFFFFF"/>
          <w:lang w:val="pt-BR"/>
        </w:rPr>
        <w:t xml:space="preserve">[6] ANP, “Painel Dinâmico do Mercado Brasileiro de Derivados e Biocombustíveis | Entregas de Combustíveis Líquidos,” Jan. 2024. </w:t>
      </w:r>
      <w:r w:rsidRPr="003363E6">
        <w:rPr>
          <w:sz w:val="20"/>
          <w:szCs w:val="20"/>
          <w:shd w:val="clear" w:color="auto" w:fill="FFFFFF"/>
        </w:rPr>
        <w:t>[Online].</w:t>
      </w:r>
    </w:p>
    <w:p w14:paraId="421E9048" w14:textId="77777777" w:rsidR="00E74AF5" w:rsidRPr="003363E6" w:rsidRDefault="00E74AF5" w:rsidP="00E74AF5">
      <w:pPr>
        <w:rPr>
          <w:sz w:val="20"/>
          <w:szCs w:val="20"/>
          <w:shd w:val="clear" w:color="auto" w:fill="FFFFFF"/>
        </w:rPr>
      </w:pPr>
      <w:r w:rsidRPr="003363E6">
        <w:rPr>
          <w:sz w:val="20"/>
          <w:szCs w:val="20"/>
          <w:shd w:val="clear" w:color="auto" w:fill="FFFFFF"/>
        </w:rPr>
        <w:t xml:space="preserve">[7] </w:t>
      </w:r>
      <w:proofErr w:type="spellStart"/>
      <w:r w:rsidRPr="003363E6">
        <w:rPr>
          <w:sz w:val="20"/>
          <w:szCs w:val="20"/>
          <w:shd w:val="clear" w:color="auto" w:fill="FFFFFF"/>
        </w:rPr>
        <w:t>Anfavea</w:t>
      </w:r>
      <w:proofErr w:type="spellEnd"/>
      <w:r w:rsidRPr="003363E6">
        <w:rPr>
          <w:sz w:val="20"/>
          <w:szCs w:val="20"/>
          <w:shd w:val="clear" w:color="auto" w:fill="FFFFFF"/>
        </w:rPr>
        <w:t>, “Brazilian Automotive Industry Yearbook,” 2023.</w:t>
      </w:r>
      <w:r>
        <w:rPr>
          <w:sz w:val="20"/>
          <w:szCs w:val="20"/>
          <w:shd w:val="clear" w:color="auto" w:fill="FFFFFF"/>
        </w:rPr>
        <w:t xml:space="preserve"> </w:t>
      </w:r>
      <w:r w:rsidRPr="003363E6">
        <w:rPr>
          <w:sz w:val="20"/>
          <w:szCs w:val="20"/>
          <w:shd w:val="clear" w:color="auto" w:fill="FFFFFF"/>
        </w:rPr>
        <w:t>[Online]. Available:</w:t>
      </w:r>
      <w:r>
        <w:rPr>
          <w:sz w:val="20"/>
          <w:szCs w:val="20"/>
          <w:shd w:val="clear" w:color="auto" w:fill="FFFFFF"/>
        </w:rPr>
        <w:t xml:space="preserve"> </w:t>
      </w:r>
      <w:r w:rsidRPr="003363E6">
        <w:rPr>
          <w:sz w:val="20"/>
          <w:szCs w:val="20"/>
          <w:shd w:val="clear" w:color="auto" w:fill="FFFFFF"/>
        </w:rPr>
        <w:t>https://anfavea.com.br/site/wp-content/uploads/2023/05/anuario-ATUALIZADO-2023-ALTA_compressed.pdf</w:t>
      </w:r>
    </w:p>
    <w:p w14:paraId="76775808" w14:textId="75134C1F" w:rsidR="00E74AF5" w:rsidRDefault="00E74AF5" w:rsidP="00E74AF5">
      <w:r w:rsidRPr="003363E6">
        <w:rPr>
          <w:sz w:val="20"/>
          <w:szCs w:val="20"/>
          <w:shd w:val="clear" w:color="auto" w:fill="FFFFFF"/>
        </w:rPr>
        <w:t>[8] A. Salvo, “Flexible fuel vehicles, less flexible minded consumers: Price</w:t>
      </w:r>
      <w:r>
        <w:rPr>
          <w:sz w:val="20"/>
          <w:szCs w:val="20"/>
          <w:shd w:val="clear" w:color="auto" w:fill="FFFFFF"/>
        </w:rPr>
        <w:t xml:space="preserve"> </w:t>
      </w:r>
      <w:r w:rsidRPr="003363E6">
        <w:rPr>
          <w:sz w:val="20"/>
          <w:szCs w:val="20"/>
          <w:shd w:val="clear" w:color="auto" w:fill="FFFFFF"/>
        </w:rPr>
        <w:t>information experiments at the pump,” Journal of Environmental Economics</w:t>
      </w:r>
      <w:r>
        <w:rPr>
          <w:sz w:val="20"/>
          <w:szCs w:val="20"/>
          <w:shd w:val="clear" w:color="auto" w:fill="FFFFFF"/>
        </w:rPr>
        <w:t xml:space="preserve"> </w:t>
      </w:r>
      <w:r w:rsidRPr="003363E6">
        <w:rPr>
          <w:sz w:val="20"/>
          <w:szCs w:val="20"/>
          <w:shd w:val="clear" w:color="auto" w:fill="FFFFFF"/>
        </w:rPr>
        <w:t>and Management, vol. 92, pp. 194–221, Nov. 2018.</w:t>
      </w:r>
      <w:r>
        <w:rPr>
          <w:sz w:val="20"/>
          <w:szCs w:val="20"/>
          <w:shd w:val="clear" w:color="auto" w:fill="FFFFFF"/>
        </w:rPr>
        <w:t xml:space="preserve"> </w:t>
      </w:r>
      <w:r w:rsidRPr="003363E6">
        <w:rPr>
          <w:sz w:val="20"/>
          <w:szCs w:val="20"/>
          <w:shd w:val="clear" w:color="auto" w:fill="FFFFFF"/>
        </w:rPr>
        <w:t>[Online]. Available:</w:t>
      </w:r>
      <w:r>
        <w:rPr>
          <w:sz w:val="20"/>
          <w:szCs w:val="20"/>
          <w:shd w:val="clear" w:color="auto" w:fill="FFFFFF"/>
        </w:rPr>
        <w:t xml:space="preserve"> </w:t>
      </w:r>
      <w:r w:rsidRPr="003363E6">
        <w:rPr>
          <w:sz w:val="20"/>
          <w:szCs w:val="20"/>
          <w:shd w:val="clear" w:color="auto" w:fill="FFFFFF"/>
        </w:rPr>
        <w:t>https://linkinghub.elsevier.com/retrieve/pii/S0095069617307611</w:t>
      </w:r>
    </w:p>
    <w:sectPr w:rsidR="00E74AF5" w:rsidSect="00E86F9D">
      <w:type w:val="continuous"/>
      <w:pgSz w:w="12240" w:h="15840"/>
      <w:pgMar w:top="1247" w:right="624" w:bottom="1021"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F2E54"/>
    <w:rsid w:val="000471A9"/>
    <w:rsid w:val="00085EC5"/>
    <w:rsid w:val="000D041A"/>
    <w:rsid w:val="00136D20"/>
    <w:rsid w:val="001726D6"/>
    <w:rsid w:val="00256A05"/>
    <w:rsid w:val="00267512"/>
    <w:rsid w:val="00275DF7"/>
    <w:rsid w:val="0031765A"/>
    <w:rsid w:val="00353A6E"/>
    <w:rsid w:val="003823F8"/>
    <w:rsid w:val="003E0CB1"/>
    <w:rsid w:val="006D062C"/>
    <w:rsid w:val="007545BE"/>
    <w:rsid w:val="007A4285"/>
    <w:rsid w:val="00995EC5"/>
    <w:rsid w:val="009A3AB4"/>
    <w:rsid w:val="00A33748"/>
    <w:rsid w:val="00C30EEF"/>
    <w:rsid w:val="00CF2E54"/>
    <w:rsid w:val="00D06A51"/>
    <w:rsid w:val="00D777DB"/>
    <w:rsid w:val="00E74AF5"/>
    <w:rsid w:val="00E86F9D"/>
    <w:rsid w:val="00EA0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7B8F0"/>
  <w15:docId w15:val="{D3FF2311-B225-4DF1-A5A8-0132D272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74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dpi.com/2071-1050/13/17/9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1382</Words>
  <Characters>8127</Characters>
  <Application>Microsoft Office Word</Application>
  <DocSecurity>0</DocSecurity>
  <Lines>140</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Laura Soares</cp:lastModifiedBy>
  <cp:revision>8</cp:revision>
  <dcterms:created xsi:type="dcterms:W3CDTF">2024-01-16T13:16:00Z</dcterms:created>
  <dcterms:modified xsi:type="dcterms:W3CDTF">2024-03-20T18:55:00Z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GrammarlyDocumentId">
    <vt:lpwstr>07840de90a696d1fb01c0ce85f45cc9f9d923a736629fbf7b91b4c0900ce9ddb</vt:lpwstr>
  </property>
</Properties>
</file>