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CBD64" w14:textId="6FC90329" w:rsidR="00D8471E" w:rsidRDefault="00467902" w:rsidP="00467902">
      <w:pPr>
        <w:spacing w:line="240" w:lineRule="auto"/>
        <w:jc w:val="right"/>
        <w:rPr>
          <w:rFonts w:ascii="Times New Roman" w:eastAsia="Times New Roman" w:hAnsi="Times New Roman" w:cs="Times New Roman"/>
          <w:b/>
          <w:color w:val="808080" w:themeColor="background1" w:themeShade="80"/>
        </w:rPr>
      </w:pPr>
      <w:r w:rsidRPr="00CF3E1C">
        <w:rPr>
          <w:rFonts w:ascii="Times New Roman" w:eastAsia="Times New Roman" w:hAnsi="Times New Roman" w:cs="Times New Roman"/>
          <w:b/>
          <w:color w:val="808080" w:themeColor="background1" w:themeShade="80"/>
        </w:rPr>
        <w:t>Trilha 2 – Métodos, Processos, Técnicas, Práticas e Ferramentas</w:t>
      </w:r>
    </w:p>
    <w:p w14:paraId="10A0B212" w14:textId="77777777" w:rsidR="00467902" w:rsidRDefault="00467902" w:rsidP="00467902">
      <w:pPr>
        <w:spacing w:line="240" w:lineRule="auto"/>
        <w:jc w:val="right"/>
        <w:rPr>
          <w:rFonts w:ascii="Times New Roman" w:eastAsia="Times New Roman" w:hAnsi="Times New Roman" w:cs="Times New Roman"/>
          <w:b/>
          <w:sz w:val="24"/>
          <w:szCs w:val="24"/>
        </w:rPr>
      </w:pPr>
    </w:p>
    <w:p w14:paraId="3E3D8995" w14:textId="77777777" w:rsidR="00467902" w:rsidRDefault="00467902" w:rsidP="00467902">
      <w:pPr>
        <w:spacing w:line="240" w:lineRule="auto"/>
        <w:jc w:val="center"/>
        <w:rPr>
          <w:rFonts w:ascii="Times New Roman" w:eastAsia="Times New Roman" w:hAnsi="Times New Roman" w:cs="Times New Roman"/>
          <w:b/>
          <w:sz w:val="28"/>
          <w:szCs w:val="28"/>
        </w:rPr>
      </w:pPr>
      <w:r w:rsidRPr="00E60301">
        <w:rPr>
          <w:rFonts w:ascii="Times New Roman" w:eastAsia="Times New Roman" w:hAnsi="Times New Roman" w:cs="Times New Roman"/>
          <w:b/>
          <w:sz w:val="28"/>
          <w:szCs w:val="28"/>
        </w:rPr>
        <w:t>GESTÃO DO CONHECIMENTO APLICADA AO DESENVOLVIMENTO TECNOLÓGICO EM EXTENSÃO UNIVERSITÁRIA: PROPOSIÇÃO DO FLUXO INTEGRADO DE DESENVOLVIMENTO TECNOLÓGICO EM EXTENSÃO UNIVERSITÁRIA (FIDTEU) A PARTIR DO DESENVOLVIMENTO</w:t>
      </w:r>
    </w:p>
    <w:p w14:paraId="065C49E9" w14:textId="4690DB65" w:rsidR="00467902" w:rsidRPr="00E60301" w:rsidRDefault="00467902" w:rsidP="00467902">
      <w:pPr>
        <w:spacing w:line="240" w:lineRule="auto"/>
        <w:jc w:val="center"/>
        <w:rPr>
          <w:rFonts w:ascii="Times New Roman" w:eastAsia="Times New Roman" w:hAnsi="Times New Roman" w:cs="Times New Roman"/>
          <w:b/>
          <w:sz w:val="28"/>
          <w:szCs w:val="28"/>
        </w:rPr>
      </w:pPr>
      <w:r w:rsidRPr="00E60301">
        <w:rPr>
          <w:rFonts w:ascii="Times New Roman" w:eastAsia="Times New Roman" w:hAnsi="Times New Roman" w:cs="Times New Roman"/>
          <w:b/>
          <w:sz w:val="28"/>
          <w:szCs w:val="28"/>
        </w:rPr>
        <w:t xml:space="preserve"> DE UM GEL-CREME PARA PELE SENIL</w:t>
      </w:r>
    </w:p>
    <w:p w14:paraId="7C611122" w14:textId="77777777" w:rsidR="00467902" w:rsidRDefault="00467902" w:rsidP="00467902">
      <w:pPr>
        <w:pStyle w:val="TtuloIngls"/>
      </w:pPr>
    </w:p>
    <w:p w14:paraId="32DB3658" w14:textId="2828E726" w:rsidR="00467902" w:rsidRPr="00467902" w:rsidRDefault="00467902" w:rsidP="00467902">
      <w:pPr>
        <w:spacing w:line="240" w:lineRule="auto"/>
        <w:jc w:val="center"/>
        <w:rPr>
          <w:rFonts w:ascii="Times New Roman" w:eastAsia="Times New Roman" w:hAnsi="Times New Roman" w:cs="Times New Roman"/>
          <w:bCs/>
          <w:sz w:val="24"/>
          <w:szCs w:val="24"/>
          <w:lang w:val="en-US"/>
        </w:rPr>
      </w:pPr>
      <w:r w:rsidRPr="00467902">
        <w:rPr>
          <w:rFonts w:ascii="Times New Roman" w:eastAsia="Times New Roman" w:hAnsi="Times New Roman" w:cs="Times New Roman"/>
          <w:bCs/>
          <w:sz w:val="28"/>
          <w:szCs w:val="28"/>
          <w:lang w:val="en-US"/>
        </w:rPr>
        <w:t>KNOWLEDGE MANAGEMENT APPLIED TO TECHNOLOGICAL DEVELOPMENT IN UNIVERSITY EXTENSION: PROPOSAL OF THE INTEGRATED TECHNOLOGICAL DEVELOPMENT FLOW IN UNIVERSITY EXTENSION (FIDTEU) BASED ON THE DEVELOPMENT OF A GEL-CREAM FOR AGED SKIN</w:t>
      </w:r>
    </w:p>
    <w:p w14:paraId="170E1265" w14:textId="77777777" w:rsidR="00D8471E" w:rsidRPr="00467902" w:rsidRDefault="00D8471E">
      <w:pPr>
        <w:spacing w:line="240" w:lineRule="auto"/>
        <w:jc w:val="center"/>
        <w:rPr>
          <w:rFonts w:ascii="Times New Roman" w:eastAsia="Times New Roman" w:hAnsi="Times New Roman" w:cs="Times New Roman"/>
          <w:b/>
          <w:sz w:val="24"/>
          <w:szCs w:val="24"/>
          <w:lang w:val="en-US"/>
        </w:rPr>
      </w:pPr>
    </w:p>
    <w:p w14:paraId="04F33923" w14:textId="4BDB9DAF" w:rsidR="00D8471E" w:rsidRPr="006F452E" w:rsidRDefault="00467902" w:rsidP="006F452E">
      <w:pPr>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Juliana Maria Amabile</w:t>
      </w:r>
    </w:p>
    <w:p w14:paraId="21E450E1" w14:textId="04CC5C3D" w:rsidR="006F452E" w:rsidRDefault="00467902"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Mestre</w:t>
      </w:r>
      <w:r w:rsidR="006F452E">
        <w:rPr>
          <w:rFonts w:ascii="Times New Roman" w:eastAsia="Times New Roman" w:hAnsi="Times New Roman" w:cs="Times New Roman"/>
        </w:rPr>
        <w:t xml:space="preserve">. </w:t>
      </w:r>
      <w:r>
        <w:rPr>
          <w:rFonts w:ascii="Times New Roman" w:eastAsia="Times New Roman" w:hAnsi="Times New Roman" w:cs="Times New Roman"/>
        </w:rPr>
        <w:t>Centro Universitário de Várzea Grande</w:t>
      </w:r>
      <w:r w:rsidR="006F452E">
        <w:rPr>
          <w:rFonts w:ascii="Times New Roman" w:eastAsia="Times New Roman" w:hAnsi="Times New Roman" w:cs="Times New Roman"/>
        </w:rPr>
        <w:t xml:space="preserve"> (</w:t>
      </w:r>
      <w:r>
        <w:rPr>
          <w:rFonts w:ascii="Times New Roman" w:eastAsia="Times New Roman" w:hAnsi="Times New Roman" w:cs="Times New Roman"/>
        </w:rPr>
        <w:t>UNIVAG</w:t>
      </w:r>
      <w:r w:rsidR="006F452E">
        <w:rPr>
          <w:rFonts w:ascii="Times New Roman" w:eastAsia="Times New Roman" w:hAnsi="Times New Roman" w:cs="Times New Roman"/>
        </w:rPr>
        <w:t xml:space="preserve">) – </w:t>
      </w:r>
      <w:r>
        <w:rPr>
          <w:rFonts w:ascii="Times New Roman" w:eastAsia="Times New Roman" w:hAnsi="Times New Roman" w:cs="Times New Roman"/>
        </w:rPr>
        <w:t>Brasil</w:t>
      </w:r>
      <w:r w:rsidR="006F452E">
        <w:rPr>
          <w:rFonts w:ascii="Times New Roman" w:eastAsia="Times New Roman" w:hAnsi="Times New Roman" w:cs="Times New Roman"/>
        </w:rPr>
        <w:t xml:space="preserve">. </w:t>
      </w:r>
    </w:p>
    <w:p w14:paraId="5D195253" w14:textId="3DCFF47A" w:rsidR="006F452E" w:rsidRDefault="00467902"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juamabile@univag.edu.br</w:t>
      </w:r>
    </w:p>
    <w:p w14:paraId="00BB4D0B" w14:textId="77777777" w:rsidR="00467902" w:rsidRDefault="00467902" w:rsidP="006F452E">
      <w:pPr>
        <w:spacing w:line="240" w:lineRule="auto"/>
        <w:jc w:val="right"/>
        <w:rPr>
          <w:rFonts w:ascii="Times New Roman" w:eastAsia="Times New Roman" w:hAnsi="Times New Roman" w:cs="Times New Roman"/>
          <w:b/>
          <w:bCs/>
        </w:rPr>
      </w:pPr>
      <w:r w:rsidRPr="00467902">
        <w:rPr>
          <w:rFonts w:ascii="Times New Roman" w:eastAsia="Times New Roman" w:hAnsi="Times New Roman" w:cs="Times New Roman"/>
          <w:b/>
          <w:bCs/>
        </w:rPr>
        <w:t>Maria Julia Abelha M. Costa</w:t>
      </w:r>
    </w:p>
    <w:p w14:paraId="63A67B30" w14:textId="12E7AD92" w:rsidR="006F452E" w:rsidRDefault="00657BCF"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Graduanda.</w:t>
      </w:r>
      <w:r w:rsidR="006F452E">
        <w:rPr>
          <w:rFonts w:ascii="Times New Roman" w:eastAsia="Times New Roman" w:hAnsi="Times New Roman" w:cs="Times New Roman"/>
        </w:rPr>
        <w:t xml:space="preserve"> </w:t>
      </w:r>
      <w:r w:rsidR="00467902">
        <w:rPr>
          <w:rFonts w:ascii="Times New Roman" w:eastAsia="Times New Roman" w:hAnsi="Times New Roman" w:cs="Times New Roman"/>
        </w:rPr>
        <w:t>Centro Universitário de Várzea Grande (UNIVAG) – Brasil.</w:t>
      </w:r>
    </w:p>
    <w:p w14:paraId="04D0CBE3" w14:textId="115D63F9" w:rsidR="006F452E" w:rsidRDefault="00E622D1"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majuabelham@gmail.com</w:t>
      </w:r>
    </w:p>
    <w:p w14:paraId="0426C674" w14:textId="77777777" w:rsidR="00467902" w:rsidRDefault="00467902" w:rsidP="006F452E">
      <w:pPr>
        <w:spacing w:line="240" w:lineRule="auto"/>
        <w:jc w:val="right"/>
        <w:rPr>
          <w:rFonts w:ascii="Times New Roman" w:eastAsia="Times New Roman" w:hAnsi="Times New Roman" w:cs="Times New Roman"/>
          <w:b/>
          <w:bCs/>
        </w:rPr>
      </w:pPr>
      <w:r w:rsidRPr="00467902">
        <w:rPr>
          <w:rFonts w:ascii="Times New Roman" w:eastAsia="Times New Roman" w:hAnsi="Times New Roman" w:cs="Times New Roman"/>
          <w:b/>
          <w:bCs/>
        </w:rPr>
        <w:t>Talita Tartari</w:t>
      </w:r>
    </w:p>
    <w:p w14:paraId="127E4D7B" w14:textId="5001B40B" w:rsidR="006F452E" w:rsidRDefault="00657BCF"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Graduanda.</w:t>
      </w:r>
      <w:r w:rsidR="00467902">
        <w:rPr>
          <w:rFonts w:ascii="Times New Roman" w:eastAsia="Times New Roman" w:hAnsi="Times New Roman" w:cs="Times New Roman"/>
        </w:rPr>
        <w:t xml:space="preserve"> Centro Universitário de Várzea Grande (UNIVAG) – Brasil</w:t>
      </w:r>
      <w:r w:rsidR="006F452E">
        <w:rPr>
          <w:rFonts w:ascii="Times New Roman" w:eastAsia="Times New Roman" w:hAnsi="Times New Roman" w:cs="Times New Roman"/>
        </w:rPr>
        <w:t xml:space="preserve">. </w:t>
      </w:r>
    </w:p>
    <w:p w14:paraId="126F1B2A" w14:textId="03ACB7A5" w:rsidR="006F452E" w:rsidRDefault="00711AAA" w:rsidP="006F452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t</w:t>
      </w:r>
      <w:r w:rsidR="00E622D1">
        <w:rPr>
          <w:rFonts w:ascii="Times New Roman" w:eastAsia="Times New Roman" w:hAnsi="Times New Roman" w:cs="Times New Roman"/>
        </w:rPr>
        <w:t>alitatartari97@gmail.com</w:t>
      </w:r>
    </w:p>
    <w:p w14:paraId="2A0DC0AD" w14:textId="77777777" w:rsidR="00467902" w:rsidRDefault="00467902" w:rsidP="006F452E">
      <w:pPr>
        <w:spacing w:line="240" w:lineRule="auto"/>
        <w:jc w:val="right"/>
        <w:rPr>
          <w:rFonts w:ascii="Times New Roman" w:eastAsia="Times New Roman" w:hAnsi="Times New Roman" w:cs="Times New Roman"/>
          <w:b/>
          <w:bCs/>
        </w:rPr>
      </w:pPr>
      <w:r w:rsidRPr="00467902">
        <w:rPr>
          <w:rFonts w:ascii="Times New Roman" w:eastAsia="Times New Roman" w:hAnsi="Times New Roman" w:cs="Times New Roman"/>
          <w:b/>
          <w:bCs/>
        </w:rPr>
        <w:t xml:space="preserve">Beatriz Gasparino dos Santos </w:t>
      </w:r>
    </w:p>
    <w:p w14:paraId="3296FA2C" w14:textId="775FA512" w:rsidR="006F452E" w:rsidRDefault="00657BCF"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Graduanda.</w:t>
      </w:r>
      <w:r w:rsidR="00467902">
        <w:rPr>
          <w:rFonts w:ascii="Times New Roman" w:eastAsia="Times New Roman" w:hAnsi="Times New Roman" w:cs="Times New Roman"/>
        </w:rPr>
        <w:t xml:space="preserve"> Centro Universitário de Várzea Grande (UNIVAG) – Brasil. </w:t>
      </w:r>
    </w:p>
    <w:p w14:paraId="650835F6" w14:textId="1FBC1BEA" w:rsidR="006F452E" w:rsidRDefault="00E622D1" w:rsidP="006F452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beatrizgasparinodosantos@gmail.com</w:t>
      </w:r>
    </w:p>
    <w:p w14:paraId="070AFF41" w14:textId="1FEA0F73" w:rsidR="006F452E" w:rsidRPr="006F452E" w:rsidRDefault="00467902" w:rsidP="006F452E">
      <w:pPr>
        <w:spacing w:line="240" w:lineRule="auto"/>
        <w:jc w:val="right"/>
        <w:rPr>
          <w:rFonts w:ascii="Times New Roman" w:eastAsia="Times New Roman" w:hAnsi="Times New Roman" w:cs="Times New Roman"/>
          <w:b/>
          <w:bCs/>
        </w:rPr>
      </w:pPr>
      <w:r w:rsidRPr="00467902">
        <w:rPr>
          <w:rFonts w:ascii="Times New Roman" w:eastAsia="Times New Roman" w:hAnsi="Times New Roman" w:cs="Times New Roman"/>
          <w:b/>
          <w:bCs/>
        </w:rPr>
        <w:t>Donata Norman Paulino Brandão Silva</w:t>
      </w:r>
    </w:p>
    <w:p w14:paraId="4BEF0EC5" w14:textId="2A80EC7F" w:rsidR="006F452E" w:rsidRDefault="00467902" w:rsidP="006F452E">
      <w:pPr>
        <w:spacing w:line="240" w:lineRule="auto"/>
        <w:jc w:val="right"/>
        <w:rPr>
          <w:rFonts w:ascii="Times New Roman" w:eastAsia="Times New Roman" w:hAnsi="Times New Roman" w:cs="Times New Roman"/>
        </w:rPr>
      </w:pPr>
      <w:r>
        <w:rPr>
          <w:rFonts w:ascii="Times New Roman" w:eastAsia="Times New Roman" w:hAnsi="Times New Roman" w:cs="Times New Roman"/>
        </w:rPr>
        <w:t>Mestre. Centro Universitário de Várzea Grande (UNIVAG) – Brasil.</w:t>
      </w:r>
      <w:r w:rsidR="006F452E">
        <w:rPr>
          <w:rFonts w:ascii="Times New Roman" w:eastAsia="Times New Roman" w:hAnsi="Times New Roman" w:cs="Times New Roman"/>
        </w:rPr>
        <w:t xml:space="preserve"> </w:t>
      </w:r>
    </w:p>
    <w:p w14:paraId="2D167136" w14:textId="421931FD" w:rsidR="006F452E" w:rsidRDefault="00E622D1" w:rsidP="006F452E">
      <w:pPr>
        <w:spacing w:line="240" w:lineRule="auto"/>
        <w:jc w:val="right"/>
        <w:rPr>
          <w:rFonts w:ascii="Times New Roman" w:eastAsia="Times New Roman" w:hAnsi="Times New Roman" w:cs="Times New Roman"/>
          <w:sz w:val="24"/>
          <w:szCs w:val="24"/>
        </w:rPr>
      </w:pPr>
      <w:r w:rsidRPr="006527DA">
        <w:rPr>
          <w:rFonts w:ascii="Times New Roman" w:eastAsia="Times New Roman" w:hAnsi="Times New Roman" w:cs="Times New Roman"/>
        </w:rPr>
        <w:t>donatanorman@gmail.com</w:t>
      </w:r>
    </w:p>
    <w:p w14:paraId="33B4A761" w14:textId="77777777" w:rsidR="006F452E" w:rsidRDefault="006F452E" w:rsidP="006F452E">
      <w:pPr>
        <w:spacing w:line="240" w:lineRule="auto"/>
        <w:jc w:val="right"/>
        <w:rPr>
          <w:rFonts w:ascii="Times New Roman" w:eastAsia="Times New Roman" w:hAnsi="Times New Roman" w:cs="Times New Roman"/>
          <w:sz w:val="24"/>
          <w:szCs w:val="24"/>
        </w:rPr>
      </w:pPr>
    </w:p>
    <w:p w14:paraId="13C745F7" w14:textId="77777777" w:rsidR="00D8471E" w:rsidRDefault="00000000" w:rsidP="006F452E">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RESUMO</w:t>
      </w:r>
    </w:p>
    <w:p w14:paraId="7D5A168B" w14:textId="0C0C369F" w:rsidR="00325B84" w:rsidRPr="00767A2E" w:rsidRDefault="00325B84" w:rsidP="00325B84">
      <w:pPr>
        <w:spacing w:line="240" w:lineRule="auto"/>
        <w:jc w:val="both"/>
        <w:rPr>
          <w:rFonts w:ascii="Times New Roman" w:hAnsi="Times New Roman" w:cs="Times New Roman"/>
        </w:rPr>
      </w:pPr>
      <w:r w:rsidRPr="00325B84">
        <w:rPr>
          <w:rFonts w:ascii="Times New Roman" w:hAnsi="Times New Roman" w:cs="Times New Roman"/>
          <w:b/>
          <w:bCs/>
        </w:rPr>
        <w:t xml:space="preserve">Objetivo: </w:t>
      </w:r>
      <w:r w:rsidRPr="00767A2E">
        <w:rPr>
          <w:rFonts w:ascii="Times New Roman" w:hAnsi="Times New Roman" w:cs="Times New Roman"/>
        </w:rPr>
        <w:t>Analisar como a Gestão do Conhecimento subsidia a transformação de demandas comunitárias em inovação farmacêutica via desenvolvimento e validação de um gel-creme hidratante para pele senil, propondo um modelo integrador entre ensino, pesquisa, extensão e tecnologia.</w:t>
      </w:r>
      <w:r w:rsidR="00767A2E">
        <w:rPr>
          <w:rFonts w:ascii="Times New Roman" w:hAnsi="Times New Roman" w:cs="Times New Roman"/>
        </w:rPr>
        <w:t xml:space="preserve"> </w:t>
      </w:r>
      <w:r w:rsidRPr="00325B84">
        <w:rPr>
          <w:rFonts w:ascii="Times New Roman" w:hAnsi="Times New Roman" w:cs="Times New Roman"/>
          <w:b/>
          <w:bCs/>
        </w:rPr>
        <w:t xml:space="preserve">Originalidade/Valor: </w:t>
      </w:r>
      <w:r w:rsidRPr="00767A2E">
        <w:rPr>
          <w:rFonts w:ascii="Times New Roman" w:hAnsi="Times New Roman" w:cs="Times New Roman"/>
        </w:rPr>
        <w:t>Apresenta o Fluxo Integrado de Desenvolvimento Tecnológico em Extensão Universitária (FIDTEU), modelo original que sistematiza a conversão do conhecimento tácito comunitário em tecnologia aplicada, evidenciando a Gestão do Conhecimento voltado à inovação social em saúde.</w:t>
      </w:r>
      <w:r w:rsidR="00767A2E">
        <w:rPr>
          <w:rFonts w:ascii="Times New Roman" w:hAnsi="Times New Roman" w:cs="Times New Roman"/>
        </w:rPr>
        <w:t xml:space="preserve"> </w:t>
      </w:r>
      <w:r w:rsidRPr="00325B84">
        <w:rPr>
          <w:rFonts w:ascii="Times New Roman" w:hAnsi="Times New Roman" w:cs="Times New Roman"/>
          <w:b/>
          <w:bCs/>
        </w:rPr>
        <w:t>Metodologia</w:t>
      </w:r>
      <w:r w:rsidRPr="00767A2E">
        <w:rPr>
          <w:rFonts w:ascii="Times New Roman" w:hAnsi="Times New Roman" w:cs="Times New Roman"/>
        </w:rPr>
        <w:t>: Pesquisa aplicada, quali-quantitativa, realizada em projeto extensionista com idosos. O FIDTEU compreende diagnóstico participativo, desenvolvimento do gel-creme Derma Hydriss, controle de qualidade físico-químico e microbiológico, estudos de estabilidade, conformidade de rotulagem e avaliação sensorial.</w:t>
      </w:r>
      <w:r w:rsidR="00767A2E">
        <w:rPr>
          <w:rFonts w:ascii="Times New Roman" w:hAnsi="Times New Roman" w:cs="Times New Roman"/>
        </w:rPr>
        <w:t xml:space="preserve"> </w:t>
      </w:r>
      <w:r w:rsidRPr="00325B84">
        <w:rPr>
          <w:rFonts w:ascii="Times New Roman" w:hAnsi="Times New Roman" w:cs="Times New Roman"/>
          <w:b/>
          <w:bCs/>
        </w:rPr>
        <w:t xml:space="preserve">Resultados: </w:t>
      </w:r>
      <w:r w:rsidRPr="00767A2E">
        <w:rPr>
          <w:rFonts w:ascii="Times New Roman" w:hAnsi="Times New Roman" w:cs="Times New Roman"/>
        </w:rPr>
        <w:t>O modelo apresentou queixas de ressecamento cutâneo em tecnologia cosmética fundamentada, com alta acessibilidade sensorial, desempenho adequado e conformidade regulatória. Demonstrou a planejamento de integrar conhecimento comunitário, pesquisa, desenvolvimento farmacêutico e validação tecnológica em um fluxo contínuo.</w:t>
      </w:r>
      <w:r w:rsidR="00767A2E">
        <w:rPr>
          <w:rFonts w:ascii="Times New Roman" w:hAnsi="Times New Roman" w:cs="Times New Roman"/>
        </w:rPr>
        <w:t xml:space="preserve"> </w:t>
      </w:r>
      <w:r w:rsidRPr="00325B84">
        <w:rPr>
          <w:rFonts w:ascii="Times New Roman" w:hAnsi="Times New Roman" w:cs="Times New Roman"/>
          <w:b/>
          <w:bCs/>
        </w:rPr>
        <w:t xml:space="preserve">Implicações práticas: </w:t>
      </w:r>
      <w:r w:rsidRPr="00767A2E">
        <w:rPr>
          <w:rFonts w:ascii="Times New Roman" w:hAnsi="Times New Roman" w:cs="Times New Roman"/>
        </w:rPr>
        <w:t>O FIDTEU constitui um modelo replicável para instituições de ensino e extensão interessadas em criar tecnologias orientadas pela comunidade. Sua aplicação fortalece a Gestão do Conhecimento, promove a inovação social, qualifica a formação profissional e potencializa a transferência de conhecimento para a sociedade.</w:t>
      </w:r>
    </w:p>
    <w:p w14:paraId="6DF09880" w14:textId="7C97F873" w:rsidR="00D8471E" w:rsidRDefault="00000000" w:rsidP="006F452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PALAVRAS-CHAVE: </w:t>
      </w:r>
      <w:r w:rsidR="006527DA" w:rsidRPr="006527DA">
        <w:rPr>
          <w:rFonts w:ascii="Times New Roman" w:hAnsi="Times New Roman" w:cs="Times New Roman"/>
        </w:rPr>
        <w:t>Gestão do Conhecimento; inovação social; extensão universitária; desenvolvimento farmacêutico; cosmetologia.</w:t>
      </w:r>
    </w:p>
    <w:p w14:paraId="42175E9C" w14:textId="77777777" w:rsidR="00D8471E" w:rsidRDefault="00D8471E">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595671C" w14:textId="5AA229D4" w:rsidR="00D8471E" w:rsidRPr="00467902" w:rsidRDefault="00000000" w:rsidP="006F452E">
      <w:pPr>
        <w:spacing w:line="240" w:lineRule="auto"/>
        <w:jc w:val="both"/>
        <w:rPr>
          <w:rFonts w:ascii="Times New Roman" w:eastAsia="Times New Roman" w:hAnsi="Times New Roman" w:cs="Times New Roman"/>
          <w:b/>
          <w:sz w:val="28"/>
          <w:szCs w:val="28"/>
          <w:lang w:val="en-US"/>
        </w:rPr>
      </w:pPr>
      <w:r w:rsidRPr="00467902">
        <w:rPr>
          <w:rFonts w:ascii="Times New Roman" w:eastAsia="Times New Roman" w:hAnsi="Times New Roman" w:cs="Times New Roman"/>
          <w:b/>
          <w:sz w:val="28"/>
          <w:szCs w:val="28"/>
          <w:lang w:val="en-US"/>
        </w:rPr>
        <w:t xml:space="preserve">ABSTRACT </w:t>
      </w:r>
    </w:p>
    <w:p w14:paraId="0B8C3EC3" w14:textId="108EBCF2" w:rsidR="00767A2E" w:rsidRDefault="00767A2E" w:rsidP="00767A2E">
      <w:pPr>
        <w:spacing w:line="240" w:lineRule="auto"/>
        <w:jc w:val="both"/>
        <w:rPr>
          <w:rFonts w:ascii="Times New Roman" w:hAnsi="Times New Roman" w:cs="Times New Roman"/>
          <w:lang w:val="en-US"/>
        </w:rPr>
      </w:pPr>
      <w:r w:rsidRPr="00FC33C5">
        <w:rPr>
          <w:rFonts w:ascii="Times New Roman" w:hAnsi="Times New Roman" w:cs="Times New Roman"/>
          <w:b/>
          <w:bCs/>
          <w:lang w:val="en-US"/>
        </w:rPr>
        <w:t>Purpose:</w:t>
      </w:r>
      <w:r w:rsidRPr="00767A2E">
        <w:rPr>
          <w:rFonts w:ascii="Times New Roman" w:hAnsi="Times New Roman" w:cs="Times New Roman"/>
          <w:lang w:val="en-US"/>
        </w:rPr>
        <w:t>To analyze how Knowledge Management supports the transformation of community needs into pharmaceutical innovation through the development and validation of a moisturizing gel-cream for aging skin, proposing an integrative model linking teaching, research, extension, and technology</w:t>
      </w:r>
      <w:r w:rsidRPr="00767A2E">
        <w:rPr>
          <w:rFonts w:ascii="Times New Roman" w:hAnsi="Times New Roman" w:cs="Times New Roman"/>
          <w:b/>
          <w:bCs/>
          <w:lang w:val="en-US"/>
        </w:rPr>
        <w:t xml:space="preserve">. Originality/Value: </w:t>
      </w:r>
      <w:r w:rsidRPr="00767A2E">
        <w:rPr>
          <w:rFonts w:ascii="Times New Roman" w:hAnsi="Times New Roman" w:cs="Times New Roman"/>
          <w:lang w:val="en-US"/>
        </w:rPr>
        <w:t xml:space="preserve">It presents the Integrated Technological Development Flow in University Extension (FIDTEU), an original model that systematizes the conversion of tacit community knowledge into applied technology, highlighting Knowledge Management geared toward social innovation in health. </w:t>
      </w:r>
      <w:r w:rsidRPr="00FC33C5">
        <w:rPr>
          <w:rFonts w:ascii="Times New Roman" w:hAnsi="Times New Roman" w:cs="Times New Roman"/>
          <w:b/>
          <w:bCs/>
          <w:lang w:val="en-US"/>
        </w:rPr>
        <w:t>Design/Methodology/Approach:</w:t>
      </w:r>
      <w:r w:rsidRPr="00FC33C5">
        <w:rPr>
          <w:rFonts w:ascii="Times New Roman" w:hAnsi="Times New Roman" w:cs="Times New Roman"/>
          <w:lang w:val="en-US"/>
        </w:rPr>
        <w:t xml:space="preserve"> </w:t>
      </w:r>
      <w:r w:rsidRPr="00767A2E">
        <w:rPr>
          <w:rFonts w:ascii="Times New Roman" w:hAnsi="Times New Roman" w:cs="Times New Roman"/>
          <w:lang w:val="en-US"/>
        </w:rPr>
        <w:t>Applied, qualitative-quantitative research conducted within a university extension project involving the elderly. The FIDTEU comprises a participatory diagnosis, development of the "Derma Hydriss" gel-cream, physicochemical and microbiological quality control, stability studies, labeling compliance, and sensory evaluation</w:t>
      </w:r>
      <w:r w:rsidRPr="00767A2E">
        <w:rPr>
          <w:rFonts w:ascii="Times New Roman" w:hAnsi="Times New Roman" w:cs="Times New Roman"/>
          <w:b/>
          <w:bCs/>
          <w:lang w:val="en-US"/>
        </w:rPr>
        <w:t xml:space="preserve">. Results: </w:t>
      </w:r>
      <w:r w:rsidRPr="00767A2E">
        <w:rPr>
          <w:rFonts w:ascii="Times New Roman" w:hAnsi="Times New Roman" w:cs="Times New Roman"/>
          <w:lang w:val="en-US"/>
        </w:rPr>
        <w:t>The model addressed complaints of skin dryness by delivering a scientifically grounded cosmetic product featuring high sensory appeal, adequate performance, and regulatory compliance. It demonstrated a plan to integrate community knowledge, research, pharmaceutical development, and technological validation into a continuous workflow.</w:t>
      </w:r>
      <w:r>
        <w:rPr>
          <w:rFonts w:ascii="Times New Roman" w:hAnsi="Times New Roman" w:cs="Times New Roman"/>
          <w:lang w:val="en-US"/>
        </w:rPr>
        <w:t xml:space="preserve"> </w:t>
      </w:r>
      <w:r w:rsidRPr="00767A2E">
        <w:rPr>
          <w:rFonts w:ascii="Times New Roman" w:hAnsi="Times New Roman" w:cs="Times New Roman"/>
          <w:b/>
          <w:bCs/>
          <w:lang w:val="en-US"/>
        </w:rPr>
        <w:t xml:space="preserve">Practical Implications: </w:t>
      </w:r>
      <w:r w:rsidRPr="00767A2E">
        <w:rPr>
          <w:rFonts w:ascii="Times New Roman" w:hAnsi="Times New Roman" w:cs="Times New Roman"/>
          <w:lang w:val="en-US"/>
        </w:rPr>
        <w:t>FIDTEU serves as a replicable model for educational and extension institutions interested in creating community-driven technologies. Its application strengthens Knowledge Management, fosters social innovation, enhances professional training, and boosts knowledge transfer to society.</w:t>
      </w:r>
    </w:p>
    <w:p w14:paraId="0045FE20" w14:textId="77777777" w:rsidR="00767A2E" w:rsidRPr="00FC33C5" w:rsidRDefault="00767A2E" w:rsidP="00767A2E">
      <w:pPr>
        <w:spacing w:line="240" w:lineRule="auto"/>
        <w:contextualSpacing/>
        <w:jc w:val="both"/>
        <w:rPr>
          <w:rFonts w:ascii="Times New Roman" w:hAnsi="Times New Roman" w:cs="Times New Roman"/>
          <w:lang w:val="en-US"/>
        </w:rPr>
      </w:pPr>
      <w:r w:rsidRPr="00467902">
        <w:rPr>
          <w:rFonts w:ascii="Times New Roman" w:eastAsia="Times New Roman" w:hAnsi="Times New Roman" w:cs="Times New Roman"/>
          <w:b/>
          <w:sz w:val="24"/>
          <w:szCs w:val="24"/>
          <w:lang w:val="en-US"/>
        </w:rPr>
        <w:t xml:space="preserve">KEYWORDS: </w:t>
      </w:r>
      <w:r w:rsidRPr="00FC33C5">
        <w:rPr>
          <w:rFonts w:ascii="Times New Roman" w:hAnsi="Times New Roman" w:cs="Times New Roman"/>
          <w:lang w:val="en-US"/>
        </w:rPr>
        <w:t>Knowledge Management; Social Innovation; University Extension; Pharmaceutical Development; Health Technology.</w:t>
      </w:r>
      <w:r>
        <w:rPr>
          <w:rFonts w:ascii="Times New Roman" w:hAnsi="Times New Roman" w:cs="Times New Roman"/>
          <w:lang w:val="en-US"/>
        </w:rPr>
        <w:t xml:space="preserve"> </w:t>
      </w:r>
    </w:p>
    <w:p w14:paraId="26524CEA" w14:textId="77777777" w:rsidR="00767A2E" w:rsidRDefault="00767A2E" w:rsidP="00767A2E">
      <w:pPr>
        <w:spacing w:line="240" w:lineRule="auto"/>
        <w:jc w:val="both"/>
        <w:rPr>
          <w:rFonts w:ascii="Times New Roman" w:hAnsi="Times New Roman" w:cs="Times New Roman"/>
          <w:b/>
          <w:bCs/>
          <w:lang w:val="en-US"/>
        </w:rPr>
      </w:pPr>
    </w:p>
    <w:p w14:paraId="4AB7820C" w14:textId="6DA974A9" w:rsidR="00D8471E" w:rsidRPr="003A0B6E" w:rsidRDefault="00000000" w:rsidP="003A0B6E">
      <w:pPr>
        <w:pStyle w:val="Subttulo1"/>
      </w:pPr>
      <w:r w:rsidRPr="003A0B6E">
        <w:t>INTRODUÇÃO</w:t>
      </w:r>
    </w:p>
    <w:p w14:paraId="5E93874A"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O envelhecimento populacional constitui uma das mais significativas transformações demográficas do século XXI, repercutindo diretamente sobre os sistemas de saúde, assistência social e desenvolvimento econômico em escala mundial. De acordo com a Organização Mundial da Saúde (OMS), entre 2015 e 2050 a proporção da população mundial com 60 anos ou mais deverá praticamente dobrar, passando de 12% para 22%, representando aproximadamente dois bilhões de pessoas. No Brasil, esse processo ocorre de forma acelerada, modificando o perfil epidemiológico da população e ampliando a demanda por estratégias de promoção da saúde, prevenção de doenças e desenvolvimento de tecnologias direcionadas ao envelhecimento saudável (WORLD HEALTH ORGANIZATION, 2021).</w:t>
      </w:r>
    </w:p>
    <w:p w14:paraId="5CB9FE0B"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 xml:space="preserve">A longevidade, embora represente importante conquista social, está associada ao aumento da prevalência de alterações fisiológicas decorrentes do envelhecimento, especialmente aquelas relacionadas ao sistema tegumentar. A pele envelhecida apresenta modificações estruturais e funcionais caracterizadas pela redução da espessura epidérmica, diminuição da atividade proliferativa dos queratinócitos, redução da síntese de colágeno e elastina, comprometimento da vascularização dérmica, diminuição da produção de lipídios e do Fator Natural de Hidratação (Natural Moisturizing Factor – NMF), além da redução da capacidade de retenção hídrica. Essas alterações comprometem a função barreira da pele, favorecendo o aparecimento de xerose cutânea, fissuras, prurido, aumento da suscetibilidade a processos </w:t>
      </w:r>
      <w:r w:rsidRPr="003A0B6E">
        <w:rPr>
          <w:rFonts w:ascii="Times New Roman" w:hAnsi="Times New Roman" w:cs="Times New Roman"/>
          <w:sz w:val="24"/>
          <w:szCs w:val="24"/>
        </w:rPr>
        <w:lastRenderedPageBreak/>
        <w:t>inflamatórios e infecciosos, além de impactarem negativamente a qualidade de vida da população idosa (FARAGE et al., 2013; ZOUBOULIS et al., 2019).</w:t>
      </w:r>
    </w:p>
    <w:p w14:paraId="6653D5DE"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Nesse contexto, produtos cosméticos destinados à pele senil assumem papel relevante na promoção da saúde e do bem-estar. Formulações hidratantes adequadamente desenvolvidas podem contribuir para a restauração da função barreira, manutenção da hidratação cutânea, redução do desconforto associado ao ressecamento e prevenção de lesões decorrentes da fragilidade da pele. Entretanto, a eficácia dessas formulações depende não apenas da seleção racional de ativos cosméticos, mas também da compreensão das necessidades reais da população-alvo, da garantia da qualidade durante o desenvolvimento e da conformidade com os requisitos regulatórios estabelecidos para produtos cosméticos (BRASIL, 2015).</w:t>
      </w:r>
    </w:p>
    <w:p w14:paraId="394098BD"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Sob essa perspectiva, a inovação em saúde deixa de ser compreendida exclusivamente como resultado do desenvolvimento tecnológico laboratorial e passa a incorporar processos colaborativos de construção do conhecimento. A Gestão do Conhecimento constitui um campo multidisciplinar voltado à criação, organização, compartilhamento, aplicação e preservação do conhecimento dentro das organizações, permitindo transformar informações dispersas em soluções capazes de gerar valor social e inovação. Segundo Nonaka e Takeuchi (1997), a inovação resulta da interação contínua entre conhecimento tácito — adquirido por meio da experiência individual — e conhecimento explícito — sistematizado, documentado e compartilhado — em um processo dinâmico denominado espiral do conhecimento. Essa abordagem tem sido amplamente utilizada para compreender como organizações inovadoras transformam experiências em novos produtos, processos e tecnologias.</w:t>
      </w:r>
    </w:p>
    <w:p w14:paraId="7E30647F"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No ambiente universitário, a Gestão do Conhecimento encontra na extensão universitária um importante mecanismo de integração entre saber científico e conhecimento produzido pela sociedade. A curricularização da extensão, instituída no Brasil pela Resolução CNE/CES nº 7, de 18 de dezembro de 2018, fortaleceu a aproximação entre universidade e comunidade ao estabelecer que parte da formação acadêmica deve ocorrer por meio da interação direta com demandas sociais reais. Dessa forma, ensino, pesquisa e extensão deixam de atuar de maneira isolada e passam a constituir um processo integrado de produção do conhecimento, favorecendo a formação de profissionais capazes de identificar problemas complexos, construir soluções interdisciplinares e promover impacto social positivo (BRASIL, 2018).</w:t>
      </w:r>
    </w:p>
    <w:p w14:paraId="218C542D"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 xml:space="preserve">Entre as abordagens extensionistas, destaca-se a pesquisa participativa, caracterizada pelo envolvimento ativo da comunidade em todas as etapas do processo investigativo, desde a identificação das necessidades até a avaliação dos resultados obtidos. Essa estratégia favorece a produção de soluções mais aderentes à realidade local, amplia a aceitação das tecnologias </w:t>
      </w:r>
      <w:r w:rsidRPr="003A0B6E">
        <w:rPr>
          <w:rFonts w:ascii="Times New Roman" w:hAnsi="Times New Roman" w:cs="Times New Roman"/>
          <w:sz w:val="24"/>
          <w:szCs w:val="24"/>
        </w:rPr>
        <w:lastRenderedPageBreak/>
        <w:t>desenvolvidas e fortalece processos de inovação social. Segundo a Organização para Cooperação e Desenvolvimento Econômico (OCDE), a inovação social corresponde ao desenvolvimento de soluções capazes de responder a necessidades sociais de maneira mais eficaz que as abordagens tradicionais, produzindo benefícios simultaneamente para indivíduos, comunidades e organizações (OECD, 2011).</w:t>
      </w:r>
    </w:p>
    <w:p w14:paraId="1F85F587"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Foi nesse contexto que se desenvolveu o presente estudo, originado a partir de um projeto extensionista realizado no Centro de Convivência de Idosos Vovô Zeid, localizado no município de Várzea Grande, Mato Grosso. A partir do diagnóstico das necessidades da população atendida, identificou-se elevada frequência de relatos relacionados ao ressecamento cutâneo, desconforto da pele e redução da qualidade de vida associada às alterações fisiológicas do envelhecimento. Essas informações constituíram o conhecimento tácito inicial do projeto, posteriormente transformado em conhecimento explícito por meio da pesquisa científica, do desenvolvimento farmacotécnico de uma formulação cosmética hidratante e da realização de ensaios de controle de qualidade, estabilidade preliminar e avaliação da conformidade da rotulagem. Esse processo evidencia a aplicação prática dos princípios da Gestão do Conhecimento, ao converter demandas sociais em inovação tecnológica desenvolvida no ambiente universitário, articulando ensino, pesquisa, extensão e responsabilidade social. O projeto contemplou inicialmente a investigação participativa e o desenvolvimento do creme hidratante Derma Hydriss, seguido da etapa de avaliação físico-química, microbiológica, estabilidade e rotulagem do produto.</w:t>
      </w:r>
    </w:p>
    <w:p w14:paraId="7128F1D7" w14:textId="77777777" w:rsidR="00141B7C" w:rsidRPr="003A0B6E" w:rsidRDefault="00141B7C" w:rsidP="003A0B6E">
      <w:pPr>
        <w:spacing w:line="360" w:lineRule="auto"/>
        <w:ind w:firstLine="426"/>
        <w:jc w:val="both"/>
        <w:rPr>
          <w:rFonts w:ascii="Times New Roman" w:hAnsi="Times New Roman" w:cs="Times New Roman"/>
          <w:sz w:val="24"/>
          <w:szCs w:val="24"/>
        </w:rPr>
      </w:pPr>
      <w:r w:rsidRPr="003A0B6E">
        <w:rPr>
          <w:rFonts w:ascii="Times New Roman" w:hAnsi="Times New Roman" w:cs="Times New Roman"/>
          <w:sz w:val="24"/>
          <w:szCs w:val="24"/>
        </w:rPr>
        <w:t>Além da inovação tecnológica representada pelo desenvolvimento do cosmético, o estudo demonstra um modelo de construção colaborativa do conhecimento que pode ser reproduzido em outros projetos extensionistas voltados à saúde. A integração entre comunidade, universidade e laboratório evidencia que o desenvolvimento de tecnologias em saúde pode ser orientado pelas necessidades da população, fortalecendo a formação acadêmica, promovendo inovação social e ampliando o impacto das instituições de ensino superior na transformação da realidade local.</w:t>
      </w:r>
    </w:p>
    <w:p w14:paraId="4AD2AEFB" w14:textId="77777777" w:rsidR="00141B7C" w:rsidRPr="003A0B6E" w:rsidRDefault="00141B7C" w:rsidP="003A0B6E">
      <w:pPr>
        <w:spacing w:line="360" w:lineRule="auto"/>
        <w:ind w:firstLine="426"/>
        <w:jc w:val="both"/>
        <w:rPr>
          <w:rFonts w:ascii="Times New Roman" w:hAnsi="Times New Roman" w:cs="Times New Roman"/>
          <w:b/>
          <w:bCs/>
          <w:sz w:val="24"/>
          <w:szCs w:val="24"/>
        </w:rPr>
      </w:pPr>
      <w:r w:rsidRPr="003A0B6E">
        <w:rPr>
          <w:rFonts w:ascii="Times New Roman" w:hAnsi="Times New Roman" w:cs="Times New Roman"/>
          <w:sz w:val="24"/>
          <w:szCs w:val="24"/>
        </w:rPr>
        <w:t>Diante desse cenário, o presente estudo tem como objetivo analisar o processo de transformação do conhecimento comunitário em inovação farmacêutica por meio do desenvolvimento e da avaliação da qualidade de um cosmético hidratante destinado à pele senil, evidenciando a contribuição da Gestão do Conhecimento para a integração entre extensão universitária, desenvolvimento tecnológico e promoção da saúde.</w:t>
      </w:r>
    </w:p>
    <w:p w14:paraId="41DCF663" w14:textId="77777777" w:rsidR="00D8471E" w:rsidRPr="003A0B6E" w:rsidRDefault="00D8471E" w:rsidP="003A0B6E">
      <w:pPr>
        <w:pBdr>
          <w:top w:val="nil"/>
          <w:left w:val="nil"/>
          <w:bottom w:val="nil"/>
          <w:right w:val="nil"/>
          <w:between w:val="nil"/>
        </w:pBdr>
        <w:spacing w:line="360" w:lineRule="auto"/>
        <w:ind w:left="426"/>
        <w:jc w:val="both"/>
        <w:rPr>
          <w:rFonts w:ascii="Times New Roman" w:eastAsia="Times New Roman" w:hAnsi="Times New Roman" w:cs="Times New Roman"/>
          <w:b/>
          <w:sz w:val="24"/>
          <w:szCs w:val="24"/>
        </w:rPr>
      </w:pPr>
    </w:p>
    <w:p w14:paraId="54E4FD05" w14:textId="77777777" w:rsidR="00D8471E" w:rsidRPr="003A0B6E" w:rsidRDefault="00000000" w:rsidP="003A0B6E">
      <w:pPr>
        <w:numPr>
          <w:ilvl w:val="0"/>
          <w:numId w:val="3"/>
        </w:numPr>
        <w:pBdr>
          <w:top w:val="nil"/>
          <w:left w:val="nil"/>
          <w:bottom w:val="nil"/>
          <w:right w:val="nil"/>
          <w:between w:val="nil"/>
        </w:pBdr>
        <w:spacing w:line="360" w:lineRule="auto"/>
        <w:ind w:left="426" w:hanging="426"/>
        <w:jc w:val="both"/>
        <w:rPr>
          <w:rFonts w:ascii="Times New Roman" w:eastAsia="Times New Roman" w:hAnsi="Times New Roman" w:cs="Times New Roman"/>
          <w:b/>
          <w:sz w:val="28"/>
          <w:szCs w:val="28"/>
        </w:rPr>
      </w:pPr>
      <w:r w:rsidRPr="003A0B6E">
        <w:rPr>
          <w:rFonts w:ascii="Times New Roman" w:eastAsia="Times New Roman" w:hAnsi="Times New Roman" w:cs="Times New Roman"/>
          <w:b/>
          <w:sz w:val="28"/>
          <w:szCs w:val="28"/>
        </w:rPr>
        <w:lastRenderedPageBreak/>
        <w:t>REFERENCIAL TEÓRICO</w:t>
      </w:r>
    </w:p>
    <w:p w14:paraId="18CE1EA5" w14:textId="77777777" w:rsidR="001C163B" w:rsidRPr="003A0B6E" w:rsidRDefault="001C163B"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2.1 Gestão do Conhecimento em Saúde</w:t>
      </w:r>
    </w:p>
    <w:p w14:paraId="367A4EC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Gestão do Conhecimento (Knowledge Management – KM) consolidou-se nas últimas décadas como um campo interdisciplinar dedicado à criação, organização, compartilhamento, utilização e preservação do conhecimento nas organizações. Diferentemente da gestão tradicional da informação, a Gestão do Conhecimento concentra-se na capacidade das organizações de transformar experiências individuais e coletivas em conhecimento institucional, favorecendo a aprendizagem organizacional, a inovação e a melhoria contínua dos processos (DAVENPORT; PRUSAK, 1998).</w:t>
      </w:r>
    </w:p>
    <w:p w14:paraId="0D2CC991"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Embora suas primeiras aplicações tenham ocorrido no ambiente empresarial, especialmente em organizações intensivas em tecnologia e inovação, seus princípios passaram a ser incorporados por instituições de ensino, centros de pesquisa e organizações de saúde. Nesses ambientes, o conhecimento constitui o principal ativo estratégico, uma vez que decisões clínicas, desenvolvimento de tecnologias, pesquisa científica e formação profissional dependem da produção, compartilhamento e aplicação contínua de novos conhecimentos (WIIG, 1997).</w:t>
      </w:r>
    </w:p>
    <w:p w14:paraId="0A3D65AB"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No contexto da saúde, a Gestão do Conhecimento assume papel ainda mais relevante devido à elevada complexidade dos processos assistenciais e científicos. O conhecimento produzido por profissionais, pesquisadores, estudantes e usuários dos serviços de saúde precisa ser continuamente organizado e convertido em práticas capazes de promover melhoria da qualidade da assistência, segurança do paciente, inovação tecnológica e sustentabilidade institucional. Nesse cenário, universidades desempenham função estratégica por integrarem ensino, pesquisa, extensão e inovação em um mesmo ambiente organizacional.</w:t>
      </w:r>
    </w:p>
    <w:p w14:paraId="7072081E"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Entre os diversos modelos propostos para compreender a criação do conhecimento organizacional, destaca-se aquele desenvolvido por Ikujiro Nonaka e Hirotaka Takeuchi, considerado um dos principais referenciais teóricos da Gestão do Conhecimento contemporânea. Em sua obra The Knowledge-Creating Company, publicada originalmente em 1995, os autores demonstram que a inovação organizacional não resulta apenas da aquisição de informações externas, mas principalmente da capacidade das organizações em criar conhecimento novo por meio da interação entre indivíduos, grupos e ambientes institucionais (NONAKA; TAKEUCHI, 1995).</w:t>
      </w:r>
    </w:p>
    <w:p w14:paraId="61AE4D2D"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Segundo esses autores, o conhecimento deve ser compreendido como um processo dinâmico de construção social, e não como um recurso estático armazenado em documentos </w:t>
      </w:r>
      <w:r w:rsidRPr="003A0B6E">
        <w:rPr>
          <w:rFonts w:ascii="Times New Roman" w:hAnsi="Times New Roman" w:cs="Times New Roman"/>
          <w:sz w:val="24"/>
          <w:szCs w:val="24"/>
        </w:rPr>
        <w:lastRenderedPageBreak/>
        <w:t>ou bases de dados. A criação do conhecimento depende da interação contínua entre dois tipos complementares de conhecimento: o conhecimento tácito e o conhecimento explícito.</w:t>
      </w:r>
    </w:p>
    <w:p w14:paraId="76D38EF0"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conceito de conhecimento tácito foi inicialmente desenvolvido por Michael Polanyi, que afirmou que "sabemos mais do que conseguimos expressar" (we know more than we can tell), evidenciando que grande parte do conhecimento humano encontra-se incorporada às experiências individuais, habilidades práticas, percepções, valores e intuições construídas ao longo da vida (POLANYI, 1966). Esse tipo de conhecimento é altamente contextual, difícil de formalizar e, frequentemente, transmitido por meio da convivência, observação e prática compartilhada.</w:t>
      </w:r>
    </w:p>
    <w:p w14:paraId="2D1F73FE"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No campo da saúde, o conhecimento tácito manifesta-se na experiência clínica dos profissionais, na percepção dos pacientes sobre seus problemas de saúde, na vivência das comunidades e na capacidade dos pesquisadores em interpretar fenômenos complexos que nem sempre podem ser integralmente descritos em protocolos. Em projetos extensionistas, por exemplo, as demandas relatadas pela população representam uma importante fonte de conhecimento tácito, pois refletem necessidades reais que muitas vezes não são identificadas apenas por indicadores epidemiológicos ou literatura científica.</w:t>
      </w:r>
    </w:p>
    <w:p w14:paraId="2AB192D8"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Em contraposição, o conhecimento explícito corresponde ao conhecimento sistematizado, registrado e passível de comunicação por diferentes meios, como artigos científicos, protocolos clínicos, manuais técnicos, normas regulamentadoras, bancos de dados e procedimentos operacionais padrão. Por ser codificado, esse conhecimento pode ser armazenado, compartilhado, reproduzido e utilizado por diferentes indivíduos e organizações, favorecendo a padronização de processos e a disseminação de boas práticas (NONAKA; TAKEUCHI, 1995).</w:t>
      </w:r>
    </w:p>
    <w:p w14:paraId="795B2B74"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Apesar das diferenças conceituais, Nonaka e Takeuchi enfatizam que conhecimento tácito e explícito não são categorias independentes, mas componentes complementares de um processo contínuo de criação do conhecimento organizacional. Segundo os autores, a inovação surge exatamente da interação dinâmica entre essas duas formas de conhecimento, permitindo que experiências individuais sejam transformadas em conhecimento coletivo e posteriormente convertidas em novos produtos, serviços e processos.</w:t>
      </w:r>
    </w:p>
    <w:p w14:paraId="399EE9D1"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Essa interação é descrita por meio do Modelo SECI (Socialization, Externalization, Combination and Internalization), proposto inicialmente por Nonaka (1990) e posteriormente aperfeiçoado por Nonaka e Takeuchi (1995). O modelo descreve quatro modos de conversão do conhecimento que ocorrem de maneira cíclica e contínua, formando uma espiral de criação do conhecimento.</w:t>
      </w:r>
    </w:p>
    <w:p w14:paraId="207CC753"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lastRenderedPageBreak/>
        <w:t>A socialização corresponde à conversão do conhecimento tácito em conhecimento tácito, ocorrendo por meio da observação, convivência, aprendizagem prática e compartilhamento de experiências. Na área da saúde, esse processo pode ser observado durante estágios supervisionados, atividades extensionistas e interação direta entre profissionais e comunidade.</w:t>
      </w:r>
    </w:p>
    <w:p w14:paraId="6DF7912B"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externalização representa a conversão do conhecimento tácito em conhecimento explícito. Trata-se da etapa em que experiências, percepções e práticas são sistematizadas por meio de relatórios, protocolos, artigos científicos, mapas conceituais e registros técnicos. Essa fase é considerada por Nonaka uma das mais importantes para a inovação, pois permite transformar experiências individuais em conhecimento organizacional compartilhado.</w:t>
      </w:r>
    </w:p>
    <w:p w14:paraId="4D890C8A"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combinação corresponde à integração de diferentes conhecimentos explícitos para gerar novos conhecimentos. Nessa etapa, informações provenientes de diferentes fontes são analisadas, comparadas e reorganizadas para subsidiar pesquisas, desenvolvimento tecnológico e inovação. Revisões bibliográficas, elaboração de protocolos, integração de normas regulatórias e desenvolvimento de formulações farmacêuticas representam exemplos desse processo.</w:t>
      </w:r>
    </w:p>
    <w:p w14:paraId="1DB2F5F5"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Por fim, a internalização refere-se à incorporação do conhecimento explícito pelos indivíduos por meio da prática, treinamento e aprendizagem experiencial, convertendo novamente o conhecimento em experiência tácita. Dessa forma, o conhecimento produzido retorna ao ambiente organizacional em um novo nível de complexidade, reiniciando a espiral de criação do conhecimento proposta pelos autores.</w:t>
      </w:r>
    </w:p>
    <w:p w14:paraId="75927A1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A literatura contemporânea reconhece o Modelo SECI como um dos referenciais mais influentes para compreender processos de inovação organizacional, embora também destaque a necessidade de adaptações em função das transformações tecnológicas ocorridas nas últimas décadas. Ainda assim, seus princípios permanecem amplamente utilizados em pesquisas relacionadas à aprendizagem organizacional, inovação aberta, transformação digital e Gestão do Conhecimento em instituições de saúde, educação e pesquisa. </w:t>
      </w:r>
    </w:p>
    <w:p w14:paraId="0F62A624"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No presente estudo, o Modelo SECI oferece sustentação teórica para compreender o processo de desenvolvimento do cosmético hidratante destinado à população idosa. As informações obtidas durante o diagnóstico comunitário constituíram o conhecimento tácito inicial do processo. A sistematização dessas informações por meio da pesquisa científica, do desenvolvimento farmacotécnico, da seleção racional dos ativos e da realização dos ensaios de controle de qualidade caracterizou a externalização e a combinação do conhecimento. Posteriormente, a disponibilização do produto desenvolvido, dos protocolos laboratoriais e da </w:t>
      </w:r>
      <w:r w:rsidRPr="003A0B6E">
        <w:rPr>
          <w:rFonts w:ascii="Times New Roman" w:hAnsi="Times New Roman" w:cs="Times New Roman"/>
          <w:sz w:val="24"/>
          <w:szCs w:val="24"/>
        </w:rPr>
        <w:lastRenderedPageBreak/>
        <w:t>experiência adquirida aos estudantes e à comunidade representa a internalização desse conhecimento, evidenciando um ciclo completo de criação do conhecimento orientado à inovação social e tecnológica.</w:t>
      </w:r>
    </w:p>
    <w:p w14:paraId="568C6834" w14:textId="77777777" w:rsidR="001C163B" w:rsidRPr="003A0B6E" w:rsidRDefault="001C163B" w:rsidP="003A0B6E">
      <w:pPr>
        <w:spacing w:line="360" w:lineRule="auto"/>
        <w:jc w:val="both"/>
        <w:rPr>
          <w:rFonts w:ascii="Times New Roman" w:hAnsi="Times New Roman" w:cs="Times New Roman"/>
          <w:sz w:val="24"/>
          <w:szCs w:val="24"/>
        </w:rPr>
      </w:pPr>
    </w:p>
    <w:p w14:paraId="63866469" w14:textId="77777777" w:rsidR="001C163B" w:rsidRPr="003A0B6E" w:rsidRDefault="001C163B"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2.2 Extensão universitária como produção de conhecimento</w:t>
      </w:r>
    </w:p>
    <w:p w14:paraId="35C701F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universidade contemporânea é compreendida como um espaço de produção, sistematização e disseminação do conhecimento científico, desempenhando papel estratégico no desenvolvimento econômico, tecnológico e social. No Brasil, essa função está fundamentada no princípio constitucional da indissociabilidade entre ensino, pesquisa e extensão, previsto no artigo 207 da Constituição Federal de 1988, segundo o qual as universidades devem articular essas três dimensões de forma integrada. Nessa perspectiva, a extensão universitária deixa de ser compreendida como atividade complementar ou assistencialista para assumir caráter acadêmico, formativo e transformador, promovendo a interação dialógica entre universidade e sociedade e favorecendo a construção coletiva do conhecimento (BRASIL, 1988).</w:t>
      </w:r>
    </w:p>
    <w:p w14:paraId="2EA310D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Historicamente, a extensão universitária passou por profundas transformações conceituais. Durante grande parte do século XX, predominou uma perspectiva difusionista, na qual a universidade era concebida como detentora do conhecimento e responsável por transmiti-lo à sociedade. Essa concepção foi amplamente questionada por Paulo Freire, que criticou a ideia de extensão como simples transferência unilateral de saberes. Em sua obra Extensão ou Comunicação? Freire defende que a produção do conhecimento deve ocorrer por meio do diálogo, da participação e da construção coletiva, reconhecendo que as comunidades também produzem conhecimentos legítimos a partir de suas experiências, cultura e práticas sociais (FREIRE, 1983).</w:t>
      </w:r>
    </w:p>
    <w:p w14:paraId="40C9ACBF"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Essa mudança de paradigma contribuiu para consolidar uma concepção crítica da extensão universitária, baseada na reciprocidade entre universidade e comunidade. Nessa abordagem, o conhecimento científico não substitui os saberes populares, mas dialoga com eles, permitindo que problemas concretos da sociedade sejam transformados em objetos de investigação científica, desenvolvimento tecnológico e inovação social. Assim, a extensão deixa de representar um mecanismo de transferência de conhecimento para constituir um ambiente de aprendizagem compartilhada, no qual estudantes, docentes, pesquisadores e comunidade participam ativamente da construção de soluções para problemas reais.</w:t>
      </w:r>
    </w:p>
    <w:p w14:paraId="13F4EE69"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consolidação dessa perspectiva no ensino superior brasileiro ocorreu com a publicação da Política Nacional de Extensão Universitária, elaborada pelo Fórum de Pró-</w:t>
      </w:r>
      <w:r w:rsidRPr="003A0B6E">
        <w:rPr>
          <w:rFonts w:ascii="Times New Roman" w:hAnsi="Times New Roman" w:cs="Times New Roman"/>
          <w:sz w:val="24"/>
          <w:szCs w:val="24"/>
        </w:rPr>
        <w:lastRenderedPageBreak/>
        <w:t>Reitores de Extensão das Instituições Públicas de Educação Superior Brasileiras (FORPROEX), que define a extensão como um processo interdisciplinar, educativo, cultural, científico e político capaz de promover uma interação transformadora entre universidade e sociedade (FORPROEX, 2012). Segundo esse documento, a extensão deve contribuir simultaneamente para a formação acadêmica dos estudantes, para o fortalecimento da pesquisa científica e para a transformação social, reafirmando a indissociabilidade entre ensino, pesquisa e extensão.</w:t>
      </w:r>
    </w:p>
    <w:p w14:paraId="366AEF83"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Um marco importante nesse processo foi a publicação da Resolução CNE/CES nº 7, de 18 de dezembro de 2018, que estabeleceu as Diretrizes para a Extensão na Educação Superior Brasileira e instituiu sua curricularização. A resolução determina que, no mínimo, 10% da carga horária total dos cursos de graduação seja composta por atividades extensionistas vinculadas à formação acadêmica e desenvolvidas em interação direta com a sociedade. Essa regulamentação representa uma mudança significativa na organização curricular das universidades brasileiras ao reconhecer a extensão como componente essencial da formação profissional e da produção do conhecimento (BRASIL, 2018).</w:t>
      </w:r>
    </w:p>
    <w:p w14:paraId="3F73455D"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curricularização da extensão amplia o papel pedagógico das instituições de ensino superior ao favorecer metodologias de aprendizagem baseadas em problemas reais, interdisciplinaridade e protagonismo discente. Ao aproximar estudantes das demandas sociais, cria oportunidades para aplicação prática do conhecimento científico, desenvolvimento de competências técnicas e socioemocionais, fortalecimento da responsabilidade social e produção de soluções inovadoras orientadas pelas necessidades da comunidade. Dessa forma, a aprendizagem deixa de ocorrer exclusivamente em ambientes laboratoriais ou salas de aula e passa a incorporar contextos sociais complexos, nos quais o conhecimento é permanentemente construído, testado e ressignificado.</w:t>
      </w:r>
    </w:p>
    <w:p w14:paraId="4438D348"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Entre as metodologias que sustentam essa abordagem destaca-se a pesquisa participativa, caracterizada pelo envolvimento ativo dos sujeitos investigados em todas as etapas do processo científico. Diferentemente dos modelos tradicionais de pesquisa, nos quais a comunidade assume papel predominantemente passivo, a pesquisa participativa reconhece os participantes como coprotagonistas da produção do conhecimento. Suas origens encontram-se nos estudos de Kurt Lewin, considerado precursor da pesquisa-ação, posteriormente ampliados por autores como Orlando Fals Borda, que defendia a construção compartilhada do conhecimento como instrumento de transformação social (LEWIN, 1946; FALS BORDA, 1987).</w:t>
      </w:r>
    </w:p>
    <w:p w14:paraId="530E4A78"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lastRenderedPageBreak/>
        <w:t>Na área da saúde, a pesquisa participativa apresenta elevada relevância por possibilitar que necessidades percebidas pela população sejam incorporadas ao processo científico desde sua concepção. A escuta qualificada da comunidade permite identificar problemas frequentemente não contemplados por indicadores epidemiológicos convencionais, favorecendo o desenvolvimento de tecnologias mais aderentes às necessidades dos usuários e ampliando sua efetividade social. Além disso, fortalece o vínculo entre pesquisadores e comunidade, amplia a legitimidade das intervenções e contribui para maior sustentabilidade das soluções desenvolvidas.</w:t>
      </w:r>
    </w:p>
    <w:p w14:paraId="664BCB3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Essa perspectiva aproxima-se do conceito de co-criação, entendido como um processo colaborativo no qual diferentes atores participam conjuntamente da geração de valor, compartilhando conhecimentos, experiências e competências. O conceito foi amplamente difundido por Prahalad e Ramaswamy, que demonstraram que inovação não deve ser compreendida como resultado exclusivo das organizações, mas como consequência da interação entre instituições e usuários, capazes de construir conjuntamente novos produtos, serviços e experiências (PRAHALAD; RAMASWAMY, 2004). Embora originalmente desenvolvido no contexto da administração e do marketing, esse conceito passou a ser amplamente utilizado em projetos de inovação em saúde, educação e desenvolvimento tecnológico.</w:t>
      </w:r>
    </w:p>
    <w:p w14:paraId="04BFCCDC"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Sob a perspectiva da Gestão do Conhecimento, a co-criação representa um mecanismo de integração entre conhecimentos tácitos e explícitos. As experiências vivenciadas pelos usuários constituem importante fonte de conhecimento tácito, enquanto pesquisadores e instituições de ensino contribuem com conhecimento científico sistematizado. A interação entre esses diferentes saberes favorece a construção de soluções mais inovadoras, socialmente relevantes e tecnicamente fundamentadas, ampliando a capacidade das universidades de responder aos desafios contemporâneos da sociedade.</w:t>
      </w:r>
    </w:p>
    <w:p w14:paraId="4D22B929"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A produção do conhecimento por meio da extensão universitária encontra-se igualmente alinhada aos princípios da Agenda 2030 para o Desenvolvimento Sustentável, estabelecida pela Organização das Nações Unidas em 2015. Entre os 17 Objetivos de Desenvolvimento Sustentável (ODS), destacam-se aqueles diretamente relacionados às atividades desenvolvidas pelas instituições de ensino superior, especialmente o ODS 3 (Saúde e Bem-Estar), que busca assegurar vida saudável e promover o bem-estar para todas as idades; o ODS 4 (Educação de Qualidade), voltado à promoção de educação inclusiva, equitativa e de qualidade; o ODS 9 (Indústria, Inovação e Infraestrutura), que incentiva a inovação tecnológica e o fortalecimento da pesquisa científica; e o ODS 17 (Parcerias e Meios de Implementação), </w:t>
      </w:r>
      <w:r w:rsidRPr="003A0B6E">
        <w:rPr>
          <w:rFonts w:ascii="Times New Roman" w:hAnsi="Times New Roman" w:cs="Times New Roman"/>
          <w:sz w:val="24"/>
          <w:szCs w:val="24"/>
        </w:rPr>
        <w:lastRenderedPageBreak/>
        <w:t>que estimula a cooperação entre instituições públicas, privadas e sociedade civil para o desenvolvimento sustentável (UNITED NATIONS, 2015).</w:t>
      </w:r>
    </w:p>
    <w:p w14:paraId="48263E4C"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No contexto deste estudo, a extensão universitária constituiu o elemento articulador entre universidade, comunidade e laboratório de desenvolvimento tecnológico. O diagnóstico participativo realizado junto aos idosos do Centro de Convivência Vovô Zeid possibilitou identificar demandas relacionadas ao ressecamento cutâneo, transformando experiências vivenciadas pela comunidade em objeto de investigação científica. A partir desse processo, ocorreu a construção coletiva do conhecimento que subsidiou o desenvolvimento do cosmético hidratante, sua avaliação laboratorial e posterior devolutiva à comunidade, caracterizando um ciclo de produção do conhecimento baseado nos princípios da Gestão do Conhecimento, da pesquisa participativa, da co-criação e da inovação social.</w:t>
      </w:r>
    </w:p>
    <w:p w14:paraId="7E30D2BB" w14:textId="77777777" w:rsidR="001C163B" w:rsidRPr="003A0B6E" w:rsidRDefault="001C163B" w:rsidP="003A0B6E">
      <w:pPr>
        <w:spacing w:line="360" w:lineRule="auto"/>
        <w:jc w:val="both"/>
        <w:rPr>
          <w:rFonts w:ascii="Times New Roman" w:hAnsi="Times New Roman" w:cs="Times New Roman"/>
          <w:sz w:val="24"/>
          <w:szCs w:val="24"/>
        </w:rPr>
      </w:pPr>
    </w:p>
    <w:p w14:paraId="32114A11" w14:textId="77777777" w:rsidR="001C163B" w:rsidRPr="003A0B6E" w:rsidRDefault="001C163B"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2.3 Envelhecimento cutâneo: alterações estruturais, função barreira e implicações para o desenvolvimento de cosméticos</w:t>
      </w:r>
    </w:p>
    <w:p w14:paraId="5C534B03"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envelhecimento cutâneo é um processo biológico complexo, contínuo e multifatorial, decorrente da interação entre fatores intrínsecos, relacionados à programação genética e ao envelhecimento cronológico, e fatores extrínsecos, destacando-se a exposição cumulativa à radiação ultravioleta, poluição atmosférica, tabagismo, hábitos alimentares inadequados e estilo de vida. Enquanto o envelhecimento intrínseco corresponde às modificações fisiológicas naturais associadas à senescência celular, o envelhecimento extrínseco, também denominado fotoenvelhecimento, resulta da ação cumulativa desses agentes ambientais, acelerando alterações estruturais e funcionais da pele (FARAGE et al., 2013; RITTIÉ; FISHER, 2015).</w:t>
      </w:r>
    </w:p>
    <w:p w14:paraId="02718DF5"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pele constitui o maior órgão do corpo humano, correspondendo a aproximadamente 15% do peso corporal, e desempenha funções essenciais para a manutenção da homeostase, incluindo proteção mecânica, defesa imunológica, termorregulação, percepção sensorial, síntese de vitamina D e manutenção do equilíbrio hídrico. Sua eficiência depende da integridade funcional da epiderme, derme e hipoderme, cujas estruturas sofrem modificações progressivas durante o processo de envelhecimento (PROKSCH; BRANDNER; JENSEN, 2008).</w:t>
      </w:r>
    </w:p>
    <w:p w14:paraId="595F97A4" w14:textId="77777777" w:rsidR="001C163B" w:rsidRPr="003A0B6E" w:rsidRDefault="001C163B" w:rsidP="003A0B6E">
      <w:pPr>
        <w:spacing w:line="360" w:lineRule="auto"/>
        <w:jc w:val="both"/>
        <w:rPr>
          <w:rFonts w:ascii="Times New Roman" w:hAnsi="Times New Roman" w:cs="Times New Roman"/>
          <w:sz w:val="24"/>
          <w:szCs w:val="24"/>
        </w:rPr>
      </w:pPr>
      <w:r w:rsidRPr="003A0B6E">
        <w:rPr>
          <w:rFonts w:ascii="Times New Roman" w:hAnsi="Times New Roman" w:cs="Times New Roman"/>
          <w:sz w:val="24"/>
          <w:szCs w:val="24"/>
        </w:rPr>
        <w:t xml:space="preserve">Entre as principais alterações estruturais observadas na pele senil destacam-se a redução da espessura epidérmica, a diminuição da taxa de renovação celular, o achatamento da junção dermoepidérmica, a redução da proliferação dos queratinócitos e a diminuição da atividade das células de Langerhans, comprometendo simultaneamente a renovação tecidual e a resposta imunológica local. Na derme, observa-se redução da densidade fibroblástica, menor síntese de </w:t>
      </w:r>
      <w:r w:rsidRPr="003A0B6E">
        <w:rPr>
          <w:rFonts w:ascii="Times New Roman" w:hAnsi="Times New Roman" w:cs="Times New Roman"/>
          <w:sz w:val="24"/>
          <w:szCs w:val="24"/>
        </w:rPr>
        <w:lastRenderedPageBreak/>
        <w:t>colágeno dos tipos I e III, fragmentação das fibras elásticas, diminuição da produção de ácido hialurônico e alterações quantitativas e qualitativas da matriz extracelular. Paralelamente, ocorre redução da vascularização dérmica, da atividade das glândulas sebáceas e sudoríparas e da produção dos componentes do Fator Natural de Hidratação (Natural Moisturizing Factor – NMF), comprometendo significativamente a hidratação fisiológica da pele (RITTIÉ; FISHER, 2015; ZOUBOULIS; MAKRANTONAKI, 2011).</w:t>
      </w:r>
    </w:p>
    <w:p w14:paraId="43494BCB"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Essas alterações repercutem diretamente sobre a função barreira, considerada uma das propriedades fisiológicas mais importantes da pele. A barreira cutânea localiza-se predominantemente no estrato córneo, cuja organização estrutural é descrita pelo modelo "brick-and-mortar" ("tijolos e cimento"), no qual os corneócitos representam os "tijolos" e a matriz lipídica intercelular — composta principalmente por ceramidas, colesterol e ácidos graxos livres — constitui o "cimento" responsável pela coesão estrutural. Segundo Elias (2005), a integridade dessa organização é fundamental para limitar a perda de água para o meio externo e impedir a penetração de agentes físicos, químicos e microbiológicos potencialmente nocivos.</w:t>
      </w:r>
    </w:p>
    <w:p w14:paraId="6DED73B9"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Durante o envelhecimento ocorre redução quantitativa e qualitativa dos lipídios epidérmicos, especialmente das ceramidas, comprometendo a eficiência da barreira cutânea. Como consequência, observa-se aumento da permeabilidade da pele, maior suscetibilidade a processos inflamatórios, aumento da sensibilidade cutânea, redução da capacidade de reparação tecidual e maior vulnerabilidade à ação de agentes irritantes e infecciosos (ELIAS, 2005; PROKSCH; BRANDNER; JENSEN, 2008). Atualmente, a restauração da função barreira é considerada um dos principais objetivos da cosmetologia moderna, substituindo abordagens anteriormente centradas apenas na hidratação superficial da pele.</w:t>
      </w:r>
    </w:p>
    <w:p w14:paraId="497D7D43"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integridade funcional da barreira epidérmica pode ser avaliada por meio da Perda Transepidérmica de Água (Transepidermal Water Loss – TEWL), parâmetro biofísico que expressa a quantidade de água que se difunde passivamente através da epiderme em direção ao ambiente. Embora a TEWL represente um fenômeno fisiológico, sua elevação indica comprometimento da integridade da barreira cutânea e constitui um dos principais biomarcadores utilizados em pesquisas dermatológicas para avaliação da eficácia de hidratantes, produtos reparadores da barreira e formulações dermocosméticas (ROGIERS, 2001). Na pele envelhecida, o aumento da TEWL decorre principalmente da desorganização da matriz lipídica do estrato córneo, da redução do conteúdo hídrico epidérmico e da menor capacidade de retenção de água associada à diminuição do NMF e às alterações da diferenciação dos queratinócitos (PROKSCH; BRANDNER; JENSEN, 2008).</w:t>
      </w:r>
    </w:p>
    <w:p w14:paraId="6E3B5352"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lastRenderedPageBreak/>
        <w:t>Uma das manifestações clínicas mais frequentes dessas alterações é a xerose cutânea, caracterizada por ressecamento, descamação, aspereza, sensação de repuxamento, prurido e fissuras superficiais. Considerada uma das condições dermatológicas mais prevalentes na população idosa, a xerose compromete significativamente o conforto, a qualidade de vida e a independência funcional. Além do desconforto físico, o prurido persistente favorece escoriações, infecções secundárias e agravamento da integridade cutânea, especialmente em indivíduos institucionalizados ou portadores de doenças crônicas (MONCRIEFF et al., 2013; KOTTNER et al., 2020).</w:t>
      </w:r>
    </w:p>
    <w:p w14:paraId="74F864C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Outro aspecto de grande relevância clínica refere-se à fragilidade cutânea, condição decorrente da redução da resistência mecânica da pele envelhecida. A diminuição da espessura dérmica, da densidade do colágeno e da elasticidade tecidual torna a pele mais suscetível a equimoses, lacerações, lesões por fricção (skin tears) e atraso no processo cicatricial. Essas alterações aumentam o risco de complicações infecciosas, hospitalizações e perda da funcionalidade, configurando importante problema de saúde pública em uma população cada vez mais envelhecida (LEBLANC et al., 2018).</w:t>
      </w:r>
    </w:p>
    <w:p w14:paraId="783F070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Os avanços no conhecimento sobre a fisiologia da barreira cutânea modificaram significativamente os princípios do desenvolvimento cosmético. Formulações destinadas à pele senil passaram a priorizar não apenas a reposição hídrica imediata, mas principalmente a recuperação funcional da barreira epidérmica por meio da utilização de ingredientes capazes de restaurar os lipídios fisiológicos do estrato córneo, aumentar a retenção de água, reduzir a inflamação subclínica e favorecer os mecanismos naturais de reparação cutânea. Essa abordagem representa um avanço em relação aos hidratantes convencionais, direcionando o desenvolvimento farmacotécnico para produtos com maior eficácia clínica e potencial preventivo.</w:t>
      </w:r>
    </w:p>
    <w:p w14:paraId="24FD5E34"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Nesse contexto, a seleção racional dos componentes de uma formulação cosmética deve considerar os mecanismos fisiopatológicos envolvidos no envelhecimento cutâneo, buscando restaurar funções biológicas comprometidas e não apenas promover melhora estética temporária. Essa perspectiva fundamentou o desenvolvimento do creme hidratante Derma Hydriss, elaborado a partir das necessidades identificadas durante o diagnóstico participativo realizado com idosos atendidos pelo Centro de Convivência Vovô Zeid. A escolha dos ativos umectantes, emolientes e calmantes foi orientada por evidências científicas relacionadas à restauração da barreira cutânea, ao aumento da hidratação epidérmica e à redução do desconforto associado à xerose, estabelecendo uma relação direta entre o conhecimento </w:t>
      </w:r>
      <w:r w:rsidRPr="003A0B6E">
        <w:rPr>
          <w:rFonts w:ascii="Times New Roman" w:hAnsi="Times New Roman" w:cs="Times New Roman"/>
          <w:sz w:val="24"/>
          <w:szCs w:val="24"/>
        </w:rPr>
        <w:lastRenderedPageBreak/>
        <w:t>científico produzido na universidade, o desenvolvimento farmacotécnico baseado em evidências e a inovação social voltada à promoção da saúde da população idosa.</w:t>
      </w:r>
    </w:p>
    <w:p w14:paraId="2713AF75" w14:textId="77777777" w:rsidR="001C163B" w:rsidRPr="003A0B6E" w:rsidRDefault="001C163B" w:rsidP="003A0B6E">
      <w:pPr>
        <w:spacing w:line="360" w:lineRule="auto"/>
        <w:jc w:val="both"/>
        <w:rPr>
          <w:rFonts w:ascii="Times New Roman" w:hAnsi="Times New Roman" w:cs="Times New Roman"/>
          <w:sz w:val="24"/>
          <w:szCs w:val="24"/>
        </w:rPr>
      </w:pPr>
    </w:p>
    <w:p w14:paraId="393EE8AE" w14:textId="77777777" w:rsidR="001C163B" w:rsidRPr="003A0B6E" w:rsidRDefault="001C163B"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2.4 Desenvolvimento farmacotécnico de cosméticos: gel-creme, estabilidade, seleção racional de ativos e tecnologia cosmética</w:t>
      </w:r>
    </w:p>
    <w:p w14:paraId="3D71387F"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desenvolvimento farmacotécnico de produtos cosméticos compreende um conjunto de etapas científicas e tecnológicas destinadas à obtenção de formulações seguras, eficazes, estáveis e compatíveis com as características fisiológicas da pele. Esse processo envolve a seleção criteriosa da forma farmacêutica, dos princípios ativos, dos excipientes, do sistema conservante, da embalagem e das condições de processamento, considerando aspectos relacionados à estabilidade físico-química e microbiológica, segurança, desempenho funcional e aceitabilidade sensorial do produto. Dessa forma, o desenvolvimento cosmético ultrapassa a simples combinação de matérias-primas, fundamentando-se na integração entre conhecimento científico, tecnologia farmacêutica e requisitos regulatórios para assegurar a qualidade e a eficácia do produto final (BRASIL, 2004; BRASIL, 2008).</w:t>
      </w:r>
    </w:p>
    <w:p w14:paraId="3B913F72"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Entre as formas farmacêuticas utilizadas na cosmetologia destacam-se as emulsões, os géis e os géis-creme (cream-gels ou emulgéis). Os géis-creme representam uma evolução tecnológica dos sistemas semissólidos por associarem as propriedades hidratantes e emolientes das emulsões à leveza, rápida absorção e agradável sensorial dos géis. Essa combinação favorece elevada espalhabilidade, menor sensação oleosa e adequada incorporação de ativos hidrofílicos e lipofílicos, características que contribuem para maior adesão ao tratamento cosmético. Em virtude dessas propriedades, os géis-creme são particularmente indicados para formulações destinadas ao cuidado da pele envelhecida, cuja fisiologia demanda hidratação prolongada sem comprometer o conforto durante a aplicação (ECCLESTON, 2007; ANSEL; POPOVICH; ALLEN, 2013).</w:t>
      </w:r>
    </w:p>
    <w:p w14:paraId="4E3BD40D"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escolha da forma farmacêutica deve ser orientada pelas alterações fisiológicas da pele e pelos objetivos terapêuticos da formulação. Na pele senil, a redução da função barreira, a diminuição do conteúdo lipídico epidérmico e o aumento da perda transepidérmica de água exigem sistemas capazes de favorecer a retenção hídrica, melhorar a integridade do estrato córneo e proporcionar adequada experiência sensorial. Nesse contexto, o gel-creme apresenta vantagens farmacotécnicas relevantes por combinar propriedades umectantes, emolientes e boa espalhabilidade, favorecendo o uso contínuo e a adesão do usuário ao tratamento.</w:t>
      </w:r>
    </w:p>
    <w:p w14:paraId="6842D62E"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Outro aspecto essencial do desenvolvimento farmacotécnico refere-se à estabilidade da formulação. Segundo o Guia de Estabilidade de Produtos Cosméticos da Agência Nacional de </w:t>
      </w:r>
      <w:r w:rsidRPr="003A0B6E">
        <w:rPr>
          <w:rFonts w:ascii="Times New Roman" w:hAnsi="Times New Roman" w:cs="Times New Roman"/>
          <w:sz w:val="24"/>
          <w:szCs w:val="24"/>
        </w:rPr>
        <w:lastRenderedPageBreak/>
        <w:t>Vigilância Sanitária (ANVISA), um cosmético deve manter suas características físicas, químicas, microbiológicas e funcionais durante todo o prazo de validade, preservando sua eficácia, segurança e qualidade (BRASIL, 2004). Para isso, são realizados ensaios capazes de avaliar possíveis alterações de aspecto, cor, odor, homogeneidade, pH, densidade, viscosidade, separação de fases e estabilidade preliminar, permitindo verificar a compatibilidade entre matérias-primas, embalagem e condições de armazenamento. Esses ensaios constituem uma etapa indispensável do desenvolvimento tecnológico, assegurando que o produto mantenha suas propriedades durante todo o período de utilização.</w:t>
      </w:r>
    </w:p>
    <w:p w14:paraId="671F8C48"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Paralelamente, a seleção racional dos ativos cosméticos deve ser fundamentada na fisiopatologia da condição clínica a ser tratada e em evidências científicas que comprovem sua eficácia e segurança. Em formulações destinadas à pele envelhecida, priorizam-se ingredientes capazes de atuar sobre os principais mecanismos envolvidos na xerose e no comprometimento da função barreira. Nesse sentido, o desenvolvimento do Derma Hydriss baseou-se na associação de Ajidew® NL-50, aminoácido com reconhecida ação umectante e integrante do Fator Natural de Hidratação; ácido hialurônico, responsável por aumentar a retenção hídrica e melhorar a elasticidade cutânea; D-pantenol, com ação hidratante e reparadora; alfa-bisabolol, reconhecido por suas propriedades calmantes e anti-inflamatórias; e extrato glicólico de camomila, tradicionalmente empregado por sua atividade suavizante e descongestionante da pele. A combinação desses ativos foi planejada para atuar de forma complementar na restauração da hidratação cutânea, na redução do desconforto associado à xerose e na manutenção da integridade da barreira epidérmica.</w:t>
      </w:r>
    </w:p>
    <w:p w14:paraId="4055A3BD"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tecnologia cosmética contemporânea incorpora conceitos de desenvolvimento baseado em evidências, qualidade desde a concepção (Quality by Design), segurança do produto e inovação tecnológica. Sob essa perspectiva, a formulação cosmética deixa de ser compreendida apenas como um veículo para incorporação de ativos e passa a representar um sistema tecnológico cuidadosamente planejado para otimizar estabilidade, eficácia clínica, segurança e experiência de uso.</w:t>
      </w:r>
    </w:p>
    <w:p w14:paraId="30774D9F"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No presente estudo, o gel-creme hidratante Derma Hydriss foi desenvolvido a partir da integração entre as necessidades identificadas durante o diagnóstico participativo realizado com idosos do Centro de Convivência Vovô Zeid e os princípios da tecnologia farmacêutica. A escolha da forma farmacêutica gel-creme, associada à seleção racional de ativos com propriedades umectantes, emolientes e calmantes, buscou desenvolver uma formulação adequada às alterações fisiológicas da pele senil, conciliando eficácia hidratante, estabilidade, conforto sensorial e segurança de uso. Posteriormente, o produto foi submetido aos ensaios de </w:t>
      </w:r>
      <w:r w:rsidRPr="003A0B6E">
        <w:rPr>
          <w:rFonts w:ascii="Times New Roman" w:hAnsi="Times New Roman" w:cs="Times New Roman"/>
          <w:sz w:val="24"/>
          <w:szCs w:val="24"/>
        </w:rPr>
        <w:lastRenderedPageBreak/>
        <w:t>controle de qualidade físico-químico, microbiológico, de estabilidade e de avaliação da conformidade da rotulagem, consolidando um processo de desenvolvimento tecnológico fundamentado na integração entre conhecimento científico, tecnologia cosmética, extensão universitária e inovação social.</w:t>
      </w:r>
    </w:p>
    <w:p w14:paraId="6BE99CEF" w14:textId="77777777" w:rsidR="001C163B" w:rsidRPr="003A0B6E" w:rsidRDefault="001C163B" w:rsidP="003A0B6E">
      <w:pPr>
        <w:spacing w:line="360" w:lineRule="auto"/>
        <w:jc w:val="both"/>
        <w:rPr>
          <w:rFonts w:ascii="Times New Roman" w:hAnsi="Times New Roman" w:cs="Times New Roman"/>
          <w:sz w:val="24"/>
          <w:szCs w:val="24"/>
        </w:rPr>
      </w:pPr>
    </w:p>
    <w:p w14:paraId="7C36644C" w14:textId="77777777" w:rsidR="001C163B" w:rsidRPr="003A0B6E" w:rsidRDefault="001C163B"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2.5 Controle de qualidade de cosméticos: avaliação físico-química, microbiológica e conformidade regulatória</w:t>
      </w:r>
    </w:p>
    <w:p w14:paraId="4DB2B1F7"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controle de qualidade constitui uma etapa essencial do desenvolvimento farmacotécnico, assegurando que o produto cosmético apresente características compatíveis com os requisitos de segurança, eficácia e estabilidade estabelecidos durante sua concepção. Além de atender às exigências regulatórias, os ensaios de controle de qualidade permitem verificar se a formulação mantém suas propriedades físico-químicas, microbiológicas e funcionais ao longo do armazenamento, garantindo a reprodutibilidade do processo produtivo e a confiabilidade do produto final (BRASIL, 2004; BRASIL, 2008).</w:t>
      </w:r>
    </w:p>
    <w:p w14:paraId="5B624265"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Na indústria cosmética, a qualidade é compreendida como um processo contínuo que acompanha todas as etapas do desenvolvimento, desde a seleção das matérias-primas até a avaliação do produto acabado. Nesse contexto, a aplicação de ferramentas de controle de qualidade contribui para a identificação precoce de alterações capazes de comprometer a estabilidade da formulação, a segurança do consumidor e o desempenho do produto. Assim, os ensaios laboratoriais constituem instrumentos fundamentais para validar o desenvolvimento farmacotécnico e fornecer evidências da adequação tecnológica da formulação.</w:t>
      </w:r>
    </w:p>
    <w:p w14:paraId="639A0B95"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Entre os parâmetros inicialmente avaliados destacam-se os aspectos organolépticos, que compreendem cor, odor, aspecto, homogeneidade e textura da formulação. Embora representem avaliações aparentemente simples, essas características constituem importantes indicadores da estabilidade inicial do produto, podendo evidenciar incompatibilidades entre matérias-primas, degradação de componentes, crescimento microbiológico ou alterações decorrentes das condições de armazenamento. Formulações homogêneas, com coloração uniforme, odor característico e ausência de separação de fases refletem, em geral, adequada compatibilidade entre os componentes da formulação (BRASIL, 2004).</w:t>
      </w:r>
    </w:p>
    <w:p w14:paraId="27BB4CBD"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Outro parâmetro indispensável é a determinação do potencial hidrogeniônico (pH). O pH influencia diretamente a estabilidade dos ativos, a eficácia do sistema conservante, a compatibilidade da formulação com a pele e a aceitabilidade do produto pelo usuário. Formulações tópicas destinadas à pele devem apresentar valores compatíveis com o pH fisiológico cutâneo, preservando a integridade do manto ácido e contribuindo para a </w:t>
      </w:r>
      <w:r w:rsidRPr="003A0B6E">
        <w:rPr>
          <w:rFonts w:ascii="Times New Roman" w:hAnsi="Times New Roman" w:cs="Times New Roman"/>
          <w:sz w:val="24"/>
          <w:szCs w:val="24"/>
        </w:rPr>
        <w:lastRenderedPageBreak/>
        <w:t>manutenção da microbiota residente e da função barreira. Alterações significativas do pH durante o armazenamento podem indicar degradação química da formulação, interação entre componentes ou instabilidade do sistema desenvolvido (BRASIL, 2004).</w:t>
      </w:r>
    </w:p>
    <w:p w14:paraId="577BC0EE"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densidade constitui outro parâmetro físico importante por refletir a uniformidade da formulação e a padronização do processo produtivo. Embora não represente um indicador isolado de qualidade, sua determinação permite identificar variações relacionadas à incorporação de ar, alterações na proporção entre fases, evaporação de componentes voláteis ou falhas durante o processamento. Quando associada à avaliação visual e à determinação do pH, contribui para uma análise mais abrangente da estabilidade físico-química da formulação.</w:t>
      </w:r>
    </w:p>
    <w:p w14:paraId="41A5553C"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Os estudos de estabilidade representam uma das etapas mais relevantes do desenvolvimento cosmético, pois permitem prever o comportamento da formulação durante o armazenamento e estabelecer condições adequadas de conservação e prazo de validade. Segundo o Guia de Estabilidade de Produtos Cosméticos da ANVISA, esses estudos incluem avaliações preliminares, aceleradas e de longa duração, conduzidas sob diferentes condições de temperatura, umidade e luminosidade. O monitoramento periódico de parâmetros como aspecto, odor, cor, pH, viscosidade, homogeneidade e separação de fases possibilita identificar alterações decorrentes da degradação dos componentes ou da incompatibilidade entre ingredientes, subsidiando ajustes na formulação antes de sua disponibilização ao consumidor (BRASIL, 2004).</w:t>
      </w:r>
    </w:p>
    <w:p w14:paraId="7EC3B26A"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Além dos parâmetros físico-químicos, o controle microbiológico constitui requisito indispensável para garantir a segurança dos produtos cosméticos. Formulações contendo água apresentam maior susceptibilidade à contaminação por bactérias, fungos e leveduras durante o processamento, envase ou utilização pelo consumidor. A presença de microrganismos pode comprometer não apenas a estabilidade da formulação, mas também representar risco sanitário, especialmente quando o produto é destinado à aplicação em pele fragilizada. Dessa forma, a avaliação microbiológica verifica a conformidade do produto com os limites estabelecidos pela legislação vigente e confirma a eficácia do sistema conservante empregado na formulação. Embora existam normas internacionais específicas para avaliação microbiológica de cosméticos, como a ISO 17516, no Brasil esses ensaios também seguem as diretrizes estabelecidas pela Agência Nacional de Vigilância Sanitária e por compêndios oficiais aplicáveis.</w:t>
      </w:r>
    </w:p>
    <w:p w14:paraId="34A0819F"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Outro componente essencial do controle de qualidade refere-se à rotulagem, considerada um importante instrumento de comunicação entre fabricante e consumidor. Além de atender aos requisitos legais, o rótulo fornece informações indispensáveis para a utilização </w:t>
      </w:r>
      <w:r w:rsidRPr="003A0B6E">
        <w:rPr>
          <w:rFonts w:ascii="Times New Roman" w:hAnsi="Times New Roman" w:cs="Times New Roman"/>
          <w:sz w:val="24"/>
          <w:szCs w:val="24"/>
        </w:rPr>
        <w:lastRenderedPageBreak/>
        <w:t>segura do produto, incluindo identificação da formulação, composição, modo de uso, advertências, prazo de validade, número do lote, condições de armazenamento e identificação do fabricante ou responsável técnico. A conformidade da rotulagem deve observar as normas estabelecidas pela ANVISA, contribuindo para a rastreabilidade do produto, segurança do consumidor e atendimento aos princípios das Boas Práticas de Fabricação (BRASIL, 2015).</w:t>
      </w:r>
    </w:p>
    <w:p w14:paraId="0C998702"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No presente estudo, o gel-creme hidratante Derma Hydriss foi submetido a um conjunto de ensaios de controle de qualidade envolvendo avaliação organoléptica, determinação do pH, densidade, estudos preliminares de estabilidade, análise microbiológica e verificação da conformidade da rotulagem. Esses procedimentos permitiram avaliar a consistência do desenvolvimento farmacotécnico, identificar possíveis alterações da formulação e verificar sua adequação aos parâmetros de qualidade recomendados para produtos cosméticos. A realização dessas análises complementou o processo de desenvolvimento tecnológico, transformando uma formulação elaborada em ambiente acadêmico em um produto respaldado por critérios técnicos e científicos, fortalecendo a integração entre pesquisa, extensão universitária, tecnologia farmacêutica e Gestão do Conhecimento.</w:t>
      </w:r>
    </w:p>
    <w:p w14:paraId="78DD0DD2" w14:textId="77777777" w:rsidR="001C163B" w:rsidRPr="003A0B6E" w:rsidRDefault="001C163B" w:rsidP="003A0B6E">
      <w:pPr>
        <w:spacing w:line="360" w:lineRule="auto"/>
        <w:jc w:val="both"/>
        <w:rPr>
          <w:rFonts w:ascii="Times New Roman" w:hAnsi="Times New Roman" w:cs="Times New Roman"/>
          <w:sz w:val="24"/>
          <w:szCs w:val="24"/>
        </w:rPr>
      </w:pPr>
    </w:p>
    <w:p w14:paraId="53683709" w14:textId="77777777" w:rsidR="001C163B" w:rsidRPr="003A0B6E" w:rsidRDefault="001C163B"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2.6 Inovação social: a universidade como agente transformador de demandas sociais em soluções tecnológicas</w:t>
      </w:r>
    </w:p>
    <w:p w14:paraId="601436F3"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inovação social tem sido reconhecida como uma estratégia capaz de responder a desafios sociais complexos por meio do desenvolvimento de soluções inovadoras construídas de forma colaborativa entre diferentes atores da sociedade. Diferentemente da inovação tradicional, frequentemente associada ao desenvolvimento de produtos com finalidade predominantemente econômica, a inovação social prioriza a geração de valor público, a melhoria da qualidade de vida, a inclusão social e o fortalecimento das capacidades coletivas para resolução de problemas comuns (OECD, 2011; UNITED NATIONS, 2015).</w:t>
      </w:r>
    </w:p>
    <w:p w14:paraId="028CEA96"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Embora não exista uma definição única para o termo, há consenso na literatura de que a inovação social envolve processos participativos de criação e implementação de soluções capazes de responder de maneira mais eficaz às necessidades da população do que as práticas convencionais. Nesse contexto, a inovação não se restringe ao produto desenvolvido, mas compreende todo o processo de construção coletiva do conhecimento, envolvendo interação entre comunidade, instituições de ensino, pesquisadores, organizações públicas e demais atores sociais.</w:t>
      </w:r>
    </w:p>
    <w:p w14:paraId="73103BF4"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As universidades ocupam posição estratégica nesse processo por reunirem competências científicas, capacidade de pesquisa, infraestrutura laboratorial e formação de </w:t>
      </w:r>
      <w:r w:rsidRPr="003A0B6E">
        <w:rPr>
          <w:rFonts w:ascii="Times New Roman" w:hAnsi="Times New Roman" w:cs="Times New Roman"/>
          <w:sz w:val="24"/>
          <w:szCs w:val="24"/>
        </w:rPr>
        <w:lastRenderedPageBreak/>
        <w:t>recursos humanos qualificados. Entretanto, seu potencial inovador somente se concretiza quando o conhecimento produzido ultrapassa os limites acadêmicos e passa a responder às demandas reais da sociedade. Nesse cenário, a extensão universitária constitui um importante mecanismo de aproximação entre universidade e comunidade, permitindo identificar problemas concretos, compreender necessidades específicas da população e transformá-las em objetos de investigação científica, desenvolvimento tecnológico e inovação.</w:t>
      </w:r>
    </w:p>
    <w:p w14:paraId="50D8FA13"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Sob a perspectiva da Gestão do Conhecimento, esse processo pode ser compreendido como um ciclo contínuo de criação, compartilhamento, aplicação e validação do conhecimento. As necessidades identificadas junto à comunidade representam conhecimento tácito, construído a partir das experiências e vivências dos indivíduos. Quando essas informações são sistematizadas por meio da pesquisa científica, convertidas em protocolos de desenvolvimento, avaliadas laboratorialmente e transformadas em tecnologias aplicáveis, ocorre a externalização e a combinação do conhecimento, conforme proposto por Nonaka e Takeuchi (1995). Posteriormente, a disponibilização dessas soluções à comunidade e sua incorporação às práticas acadêmicas e profissionais representam a internalização do conhecimento, reiniciando um novo ciclo de aprendizagem e inovação.</w:t>
      </w:r>
    </w:p>
    <w:p w14:paraId="2EFE942E"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No presente estudo, esse processo tornou-se evidente durante o desenvolvimento do gel-creme Derma Hydriss. O projeto não teve origem em uma oportunidade de mercado ou em uma demanda industrial, mas na escuta qualificada realizada junto aos idosos atendidos pelo Centro de Convivência Vovô Zeid, que relataram ressecamento cutâneo, desconforto e limitações decorrentes das alterações fisiológicas da pele envelhecida. Essas necessidades, inicialmente expressas como experiências individuais, constituíram o ponto de partida para a construção do conhecimento científico que orientou o desenvolvimento da formulação cosmética.</w:t>
      </w:r>
    </w:p>
    <w:p w14:paraId="7787640D"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 partir desse diagnóstico, docentes e estudantes mobilizaram conhecimentos das áreas de Cosmetologia, Tecnologia Farmacêutica, Controle de Qualidade e Saúde Coletiva para desenvolver uma formulação compatível com as necessidades identificadas. Posteriormente, o gel-creme foi submetido às avaliações físico-químicas, microbiológicas, estudos preliminares de estabilidade e análise da conformidade da rotulagem, consolidando um processo de desenvolvimento tecnológico realizado em ambiente universitário e fundamentado em critérios científicos.</w:t>
      </w:r>
    </w:p>
    <w:p w14:paraId="20164188" w14:textId="77777777" w:rsidR="001C163B"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Esse percurso evidencia que a principal inovação do projeto não reside exclusivamente no desenvolvimento do cosmético, mas no modelo de produção do conhecimento adotado. A interação contínua entre universidade e comunidade permitiu transformar uma necessidade </w:t>
      </w:r>
      <w:r w:rsidRPr="003A0B6E">
        <w:rPr>
          <w:rFonts w:ascii="Times New Roman" w:hAnsi="Times New Roman" w:cs="Times New Roman"/>
          <w:sz w:val="24"/>
          <w:szCs w:val="24"/>
        </w:rPr>
        <w:lastRenderedPageBreak/>
        <w:t>social em uma solução tecnológica construída de forma colaborativa, articulando ensino, pesquisa, extensão e desenvolvimento científico. Conforme apresentado na Figura 1, esse processo inicia-se com a identificação das necessidades da comunidade, evolui para a construção e validação do conhecimento científico por meio da pesquisa, do desenvolvimento farmacotécnico e do controle de qualidade, culminando na aplicação da tecnologia desenvolvida junto à população e na geração de novos conhecimentos. Esse fluxo caracteriza um ciclo contínuo de Gestão do Conhecimento, no qual o conhecimento tácito é transformado em conhecimento explícito, validado cientificamente e devolvido à sociedade na forma de inovação social.</w:t>
      </w:r>
    </w:p>
    <w:p w14:paraId="65CD1525" w14:textId="77777777" w:rsidR="00C335ED" w:rsidRPr="003A0B6E" w:rsidRDefault="00C335ED" w:rsidP="003A0B6E">
      <w:pPr>
        <w:spacing w:line="360" w:lineRule="auto"/>
        <w:ind w:firstLine="720"/>
        <w:jc w:val="both"/>
        <w:rPr>
          <w:rFonts w:ascii="Times New Roman" w:hAnsi="Times New Roman" w:cs="Times New Roman"/>
          <w:sz w:val="24"/>
          <w:szCs w:val="24"/>
        </w:rPr>
      </w:pPr>
    </w:p>
    <w:p w14:paraId="10DCCD29" w14:textId="758E700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bCs/>
          <w:sz w:val="24"/>
          <w:szCs w:val="24"/>
        </w:rPr>
        <w:t>Figura 1 –</w:t>
      </w:r>
      <w:r w:rsidRPr="003A0B6E">
        <w:rPr>
          <w:rFonts w:ascii="Times New Roman" w:hAnsi="Times New Roman" w:cs="Times New Roman"/>
          <w:sz w:val="24"/>
          <w:szCs w:val="24"/>
        </w:rPr>
        <w:t xml:space="preserve"> Modelo conceitual de transformação do conhecimento em inovação social aplicado ao desenvolvimento do gel-creme Derma Hydriss</w:t>
      </w:r>
    </w:p>
    <w:p w14:paraId="01B74DB4" w14:textId="746CB1F4" w:rsidR="001C163B" w:rsidRPr="003A0B6E" w:rsidRDefault="003A0B6E" w:rsidP="003A0B6E">
      <w:pPr>
        <w:spacing w:line="360" w:lineRule="auto"/>
        <w:jc w:val="both"/>
        <w:rPr>
          <w:rFonts w:ascii="Times New Roman" w:hAnsi="Times New Roman" w:cs="Times New Roman"/>
          <w:sz w:val="24"/>
          <w:szCs w:val="24"/>
        </w:rPr>
      </w:pPr>
      <w:r w:rsidRPr="003A0B6E">
        <w:rPr>
          <w:rFonts w:ascii="Times New Roman" w:hAnsi="Times New Roman" w:cs="Times New Roman"/>
          <w:bCs/>
          <w:noProof/>
          <w:sz w:val="24"/>
          <w:szCs w:val="24"/>
        </w:rPr>
        <w:drawing>
          <wp:anchor distT="0" distB="0" distL="114300" distR="114300" simplePos="0" relativeHeight="251659264" behindDoc="1" locked="0" layoutInCell="1" allowOverlap="1" wp14:anchorId="6D68E939" wp14:editId="707411A6">
            <wp:simplePos x="0" y="0"/>
            <wp:positionH relativeFrom="column">
              <wp:posOffset>2281555</wp:posOffset>
            </wp:positionH>
            <wp:positionV relativeFrom="paragraph">
              <wp:posOffset>85725</wp:posOffset>
            </wp:positionV>
            <wp:extent cx="2369185" cy="2743200"/>
            <wp:effectExtent l="0" t="0" r="0" b="0"/>
            <wp:wrapTight wrapText="bothSides">
              <wp:wrapPolygon edited="0">
                <wp:start x="0" y="0"/>
                <wp:lineTo x="0" y="21450"/>
                <wp:lineTo x="21363" y="21450"/>
                <wp:lineTo x="21363" y="0"/>
                <wp:lineTo x="0" y="0"/>
              </wp:wrapPolygon>
            </wp:wrapTight>
            <wp:docPr id="16309068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47152" name="Imagem 5550471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9185" cy="2743200"/>
                    </a:xfrm>
                    <a:prstGeom prst="rect">
                      <a:avLst/>
                    </a:prstGeom>
                  </pic:spPr>
                </pic:pic>
              </a:graphicData>
            </a:graphic>
            <wp14:sizeRelH relativeFrom="margin">
              <wp14:pctWidth>0</wp14:pctWidth>
            </wp14:sizeRelH>
            <wp14:sizeRelV relativeFrom="margin">
              <wp14:pctHeight>0</wp14:pctHeight>
            </wp14:sizeRelV>
          </wp:anchor>
        </w:drawing>
      </w:r>
    </w:p>
    <w:p w14:paraId="702CA185" w14:textId="77777777" w:rsidR="001C163B" w:rsidRPr="003A0B6E" w:rsidRDefault="001C163B" w:rsidP="003A0B6E">
      <w:pPr>
        <w:spacing w:line="360" w:lineRule="auto"/>
        <w:jc w:val="both"/>
        <w:rPr>
          <w:rFonts w:ascii="Times New Roman" w:hAnsi="Times New Roman" w:cs="Times New Roman"/>
          <w:sz w:val="24"/>
          <w:szCs w:val="24"/>
        </w:rPr>
      </w:pPr>
    </w:p>
    <w:p w14:paraId="7B3D4ED2" w14:textId="77777777" w:rsidR="001C163B" w:rsidRPr="003A0B6E" w:rsidRDefault="001C163B" w:rsidP="003A0B6E">
      <w:pPr>
        <w:spacing w:line="360" w:lineRule="auto"/>
        <w:jc w:val="both"/>
        <w:rPr>
          <w:rFonts w:ascii="Times New Roman" w:hAnsi="Times New Roman" w:cs="Times New Roman"/>
          <w:sz w:val="24"/>
          <w:szCs w:val="24"/>
        </w:rPr>
      </w:pPr>
    </w:p>
    <w:p w14:paraId="7A05C798" w14:textId="77777777" w:rsidR="001C163B" w:rsidRPr="003A0B6E" w:rsidRDefault="001C163B" w:rsidP="003A0B6E">
      <w:pPr>
        <w:spacing w:line="360" w:lineRule="auto"/>
        <w:jc w:val="both"/>
        <w:rPr>
          <w:rFonts w:ascii="Times New Roman" w:hAnsi="Times New Roman" w:cs="Times New Roman"/>
          <w:sz w:val="24"/>
          <w:szCs w:val="24"/>
        </w:rPr>
      </w:pPr>
    </w:p>
    <w:p w14:paraId="4AC7156B" w14:textId="77777777" w:rsidR="001C163B" w:rsidRPr="003A0B6E" w:rsidRDefault="001C163B" w:rsidP="003A0B6E">
      <w:pPr>
        <w:spacing w:line="360" w:lineRule="auto"/>
        <w:jc w:val="both"/>
        <w:rPr>
          <w:rFonts w:ascii="Times New Roman" w:hAnsi="Times New Roman" w:cs="Times New Roman"/>
          <w:sz w:val="24"/>
          <w:szCs w:val="24"/>
        </w:rPr>
      </w:pPr>
    </w:p>
    <w:p w14:paraId="528D85CF" w14:textId="77777777" w:rsidR="001C163B" w:rsidRPr="003A0B6E" w:rsidRDefault="001C163B" w:rsidP="003A0B6E">
      <w:pPr>
        <w:spacing w:line="360" w:lineRule="auto"/>
        <w:jc w:val="both"/>
        <w:rPr>
          <w:rFonts w:ascii="Times New Roman" w:hAnsi="Times New Roman" w:cs="Times New Roman"/>
          <w:sz w:val="24"/>
          <w:szCs w:val="24"/>
        </w:rPr>
      </w:pPr>
    </w:p>
    <w:p w14:paraId="1A532B2C" w14:textId="77777777" w:rsidR="001C163B" w:rsidRPr="003A0B6E" w:rsidRDefault="001C163B" w:rsidP="003A0B6E">
      <w:pPr>
        <w:spacing w:line="360" w:lineRule="auto"/>
        <w:jc w:val="both"/>
        <w:rPr>
          <w:rFonts w:ascii="Times New Roman" w:hAnsi="Times New Roman" w:cs="Times New Roman"/>
          <w:sz w:val="24"/>
          <w:szCs w:val="24"/>
        </w:rPr>
      </w:pPr>
    </w:p>
    <w:p w14:paraId="03ABE9B7" w14:textId="77777777" w:rsidR="001C163B" w:rsidRPr="003A0B6E" w:rsidRDefault="001C163B" w:rsidP="003A0B6E">
      <w:pPr>
        <w:spacing w:line="360" w:lineRule="auto"/>
        <w:jc w:val="both"/>
        <w:rPr>
          <w:rFonts w:ascii="Times New Roman" w:hAnsi="Times New Roman" w:cs="Times New Roman"/>
          <w:sz w:val="24"/>
          <w:szCs w:val="24"/>
        </w:rPr>
      </w:pPr>
    </w:p>
    <w:p w14:paraId="7531C3D4" w14:textId="77777777" w:rsidR="001C163B" w:rsidRPr="003A0B6E" w:rsidRDefault="001C163B" w:rsidP="003A0B6E">
      <w:pPr>
        <w:spacing w:line="360" w:lineRule="auto"/>
        <w:jc w:val="both"/>
        <w:rPr>
          <w:rFonts w:ascii="Times New Roman" w:hAnsi="Times New Roman" w:cs="Times New Roman"/>
          <w:sz w:val="24"/>
          <w:szCs w:val="24"/>
        </w:rPr>
      </w:pPr>
      <w:r w:rsidRPr="003A0B6E">
        <w:rPr>
          <w:rFonts w:ascii="Times New Roman" w:hAnsi="Times New Roman" w:cs="Times New Roman"/>
          <w:sz w:val="24"/>
          <w:szCs w:val="24"/>
        </w:rPr>
        <w:t xml:space="preserve"> </w:t>
      </w:r>
    </w:p>
    <w:p w14:paraId="11329E9E" w14:textId="77777777" w:rsidR="001C163B" w:rsidRPr="003A0B6E" w:rsidRDefault="001C163B" w:rsidP="003A0B6E">
      <w:pPr>
        <w:spacing w:line="360" w:lineRule="auto"/>
        <w:jc w:val="both"/>
        <w:rPr>
          <w:rFonts w:ascii="Times New Roman" w:hAnsi="Times New Roman" w:cs="Times New Roman"/>
          <w:sz w:val="24"/>
          <w:szCs w:val="24"/>
        </w:rPr>
      </w:pPr>
      <w:r w:rsidRPr="003A0B6E">
        <w:rPr>
          <w:rFonts w:ascii="Times New Roman" w:hAnsi="Times New Roman" w:cs="Times New Roman"/>
          <w:sz w:val="24"/>
          <w:szCs w:val="24"/>
        </w:rPr>
        <w:t xml:space="preserve"> </w:t>
      </w:r>
    </w:p>
    <w:p w14:paraId="0C761188" w14:textId="77777777" w:rsidR="003A0B6E" w:rsidRPr="003A0B6E" w:rsidRDefault="001C163B" w:rsidP="003A0B6E">
      <w:pPr>
        <w:spacing w:line="360" w:lineRule="auto"/>
        <w:jc w:val="both"/>
        <w:rPr>
          <w:rFonts w:ascii="Times New Roman" w:hAnsi="Times New Roman" w:cs="Times New Roman"/>
          <w:sz w:val="24"/>
          <w:szCs w:val="24"/>
        </w:rPr>
      </w:pPr>
      <w:r w:rsidRPr="003A0B6E">
        <w:rPr>
          <w:rFonts w:ascii="Times New Roman" w:hAnsi="Times New Roman" w:cs="Times New Roman"/>
          <w:sz w:val="24"/>
          <w:szCs w:val="24"/>
        </w:rPr>
        <w:t xml:space="preserve">                                                                                     </w:t>
      </w:r>
    </w:p>
    <w:p w14:paraId="5DFBDDF3" w14:textId="76445834" w:rsidR="001C163B" w:rsidRPr="003A0B6E" w:rsidRDefault="001C163B" w:rsidP="003A0B6E">
      <w:pPr>
        <w:spacing w:line="360" w:lineRule="auto"/>
        <w:ind w:left="3600"/>
        <w:jc w:val="both"/>
        <w:rPr>
          <w:rFonts w:ascii="Times New Roman" w:hAnsi="Times New Roman" w:cs="Times New Roman"/>
          <w:sz w:val="24"/>
          <w:szCs w:val="24"/>
        </w:rPr>
      </w:pPr>
      <w:r w:rsidRPr="003A0B6E">
        <w:rPr>
          <w:rFonts w:ascii="Times New Roman" w:hAnsi="Times New Roman" w:cs="Times New Roman"/>
          <w:sz w:val="24"/>
          <w:szCs w:val="24"/>
        </w:rPr>
        <w:t>Fonte: Elaborado pelos autores (2026).</w:t>
      </w:r>
    </w:p>
    <w:p w14:paraId="227EA937" w14:textId="77777777" w:rsidR="001C163B" w:rsidRPr="003A0B6E" w:rsidRDefault="001C163B" w:rsidP="003A0B6E">
      <w:pPr>
        <w:spacing w:line="360" w:lineRule="auto"/>
        <w:jc w:val="both"/>
        <w:rPr>
          <w:rFonts w:ascii="Times New Roman" w:hAnsi="Times New Roman" w:cs="Times New Roman"/>
          <w:sz w:val="24"/>
          <w:szCs w:val="24"/>
        </w:rPr>
      </w:pPr>
    </w:p>
    <w:p w14:paraId="702E7912" w14:textId="77777777" w:rsidR="001C163B" w:rsidRPr="003A0B6E" w:rsidRDefault="001C163B"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Além da contribuição tecnológica, o projeto produziu impactos educacionais relevantes. A participação de estudantes em todas as etapas — desde o diagnóstico comunitário até o desenvolvimento farmacotécnico, o controle de qualidade e a avaliação da rotulagem — favoreceu a aprendizagem baseada em problemas reais, o desenvolvimento do pensamento crítico, a integração entre teoria e prática e a formação de competências voltadas à inovação em saúde. Simultaneamente, a comunidade deixou de ocupar a posição de mera beneficiária para atuar como participante ativa na identificação das necessidades que orientaram todo o processo de desenvolvimento da tecnologia.</w:t>
      </w:r>
    </w:p>
    <w:p w14:paraId="41E79C6D" w14:textId="77777777" w:rsidR="001C163B" w:rsidRPr="003A0B6E" w:rsidRDefault="001C163B" w:rsidP="003A0B6E">
      <w:pPr>
        <w:spacing w:line="360" w:lineRule="auto"/>
        <w:ind w:firstLine="426"/>
        <w:jc w:val="both"/>
        <w:rPr>
          <w:rFonts w:ascii="Times New Roman" w:hAnsi="Times New Roman" w:cs="Times New Roman"/>
          <w:bCs/>
          <w:sz w:val="24"/>
          <w:szCs w:val="24"/>
        </w:rPr>
      </w:pPr>
      <w:r w:rsidRPr="003A0B6E">
        <w:rPr>
          <w:rFonts w:ascii="Times New Roman" w:hAnsi="Times New Roman" w:cs="Times New Roman"/>
          <w:sz w:val="24"/>
          <w:szCs w:val="24"/>
        </w:rPr>
        <w:lastRenderedPageBreak/>
        <w:t>Essa experiência evidencia o potencial das universidades como ambientes promotores de inovação social, capazes de transformar conhecimento científico em soluções aplicáveis às demandas da sociedade. Mais do que o desenvolvimento de um gel-creme hidratante, o presente estudo demonstra um modelo de produção, validação e aplicação do conhecimento que integra ensino, pesquisa, extensão e desenvolvimento tecnológico. Sob essa perspectiva, o Derma Hydriss representa não apenas um produto cosmético, mas a materialização de um processo de Gestão do Conhecimento orientado pela inovação social, contribuindo para a promoção da saúde, para a formação acadêmica e para o fortalecimento da relação entre universidade e comunidade.</w:t>
      </w:r>
    </w:p>
    <w:p w14:paraId="6DF2D21B" w14:textId="77777777" w:rsidR="00D8471E" w:rsidRPr="003A0B6E" w:rsidRDefault="00D8471E" w:rsidP="003A0B6E">
      <w:pPr>
        <w:pBdr>
          <w:top w:val="nil"/>
          <w:left w:val="nil"/>
          <w:bottom w:val="nil"/>
          <w:right w:val="nil"/>
          <w:between w:val="nil"/>
        </w:pBdr>
        <w:spacing w:line="360" w:lineRule="auto"/>
        <w:ind w:left="720"/>
        <w:jc w:val="both"/>
        <w:rPr>
          <w:rFonts w:ascii="Times New Roman" w:eastAsia="Times New Roman" w:hAnsi="Times New Roman" w:cs="Times New Roman"/>
          <w:b/>
          <w:sz w:val="24"/>
          <w:szCs w:val="24"/>
        </w:rPr>
      </w:pPr>
    </w:p>
    <w:p w14:paraId="17734348" w14:textId="77777777" w:rsidR="00D8471E" w:rsidRPr="003A0B6E" w:rsidRDefault="00000000" w:rsidP="003A0B6E">
      <w:pPr>
        <w:numPr>
          <w:ilvl w:val="0"/>
          <w:numId w:val="3"/>
        </w:numPr>
        <w:pBdr>
          <w:top w:val="nil"/>
          <w:left w:val="nil"/>
          <w:bottom w:val="nil"/>
          <w:right w:val="nil"/>
          <w:between w:val="nil"/>
        </w:pBdr>
        <w:spacing w:line="360" w:lineRule="auto"/>
        <w:ind w:left="426" w:hanging="426"/>
        <w:jc w:val="both"/>
        <w:rPr>
          <w:rFonts w:ascii="Times New Roman" w:eastAsia="Times New Roman" w:hAnsi="Times New Roman" w:cs="Times New Roman"/>
          <w:b/>
          <w:sz w:val="24"/>
          <w:szCs w:val="24"/>
        </w:rPr>
      </w:pPr>
      <w:r w:rsidRPr="003A0B6E">
        <w:rPr>
          <w:rFonts w:ascii="Times New Roman" w:eastAsia="Times New Roman" w:hAnsi="Times New Roman" w:cs="Times New Roman"/>
          <w:b/>
          <w:sz w:val="24"/>
          <w:szCs w:val="24"/>
        </w:rPr>
        <w:t>METODOLOGIA</w:t>
      </w:r>
    </w:p>
    <w:p w14:paraId="0DEA5218" w14:textId="77777777" w:rsidR="003A0B6E" w:rsidRPr="003A0B6E" w:rsidRDefault="003A0B6E"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3.1 Delineamento do estudo</w:t>
      </w:r>
    </w:p>
    <w:p w14:paraId="715C191D" w14:textId="77777777" w:rsidR="003A0B6E" w:rsidRPr="003A0B6E" w:rsidRDefault="003A0B6E"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presente estudo caracteriza-se como uma pesquisa aplicada, de natureza tecnológica, com abordagem qualitativa e quantitativa, delineamento descritivo e caráter longitudinal. A investigação foi desenvolvida entre os semestres letivos de 2025.2 e 2026.1, integrando atividades de ensino, pesquisa e extensão universitária no Centro Universitário de Várzea Grande (UNIVAG), em parceria com o Centro de Convivência Vovô Zeid, localizado no município de Várzea Grande, Mato Grosso.</w:t>
      </w:r>
    </w:p>
    <w:p w14:paraId="753C68CA" w14:textId="77777777" w:rsidR="003A0B6E" w:rsidRPr="003A0B6E" w:rsidRDefault="003A0B6E"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estudo teve como objetivo desenvolver e validar tecnologicamente um gel-creme hidratante destinado ao cuidado da pele senil, utilizando como eixo estruturante um processo contínuo de identificação de demandas comunitárias, desenvolvimento farmacotécnico, controle de qualidade e devolutiva social. Diferentemente de projetos conduzidos de forma independente, as atividades foram concebidas como um único fluxo metodológico de produção e aplicação do conhecimento, integrando extensão universitária, desenvolvimento tecnológico e Gestão do Conhecimento.</w:t>
      </w:r>
    </w:p>
    <w:p w14:paraId="298D05F2" w14:textId="77777777" w:rsidR="003A0B6E" w:rsidRPr="003A0B6E" w:rsidRDefault="003A0B6E" w:rsidP="003A0B6E">
      <w:pPr>
        <w:spacing w:line="360" w:lineRule="auto"/>
        <w:jc w:val="both"/>
        <w:rPr>
          <w:rFonts w:ascii="Times New Roman" w:hAnsi="Times New Roman" w:cs="Times New Roman"/>
          <w:sz w:val="24"/>
          <w:szCs w:val="24"/>
        </w:rPr>
      </w:pPr>
    </w:p>
    <w:p w14:paraId="2229D26F" w14:textId="77777777" w:rsidR="003A0B6E" w:rsidRPr="003A0B6E" w:rsidRDefault="003A0B6E" w:rsidP="003A0B6E">
      <w:pPr>
        <w:spacing w:line="360" w:lineRule="auto"/>
        <w:jc w:val="both"/>
        <w:rPr>
          <w:rFonts w:ascii="Times New Roman" w:hAnsi="Times New Roman" w:cs="Times New Roman"/>
          <w:b/>
          <w:bCs/>
          <w:sz w:val="24"/>
          <w:szCs w:val="24"/>
        </w:rPr>
      </w:pPr>
      <w:r w:rsidRPr="003A0B6E">
        <w:rPr>
          <w:rFonts w:ascii="Times New Roman" w:hAnsi="Times New Roman" w:cs="Times New Roman"/>
          <w:b/>
          <w:bCs/>
          <w:sz w:val="24"/>
          <w:szCs w:val="24"/>
        </w:rPr>
        <w:t>3.2 Fluxo Integrado de Desenvolvimento Tecnológico em Extensão Universitária (FIDTEU)</w:t>
      </w:r>
    </w:p>
    <w:p w14:paraId="397AA4AC" w14:textId="77777777" w:rsidR="003A0B6E" w:rsidRPr="003A0B6E" w:rsidRDefault="003A0B6E"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 xml:space="preserve">Como contribuição metodológica deste estudo, propõe-se o Fluxo Integrado de Desenvolvimento Tecnológico em Extensão Universitária (FIDTEU), um modelo estruturado para transformação de demandas sociais em tecnologias aplicadas à saúde. O FIDTEU fundamenta-se nos princípios da Gestão do Conhecimento, da pesquisa participativa e da inovação social, organizando o processo de desenvolvimento tecnológico em etapas </w:t>
      </w:r>
      <w:r w:rsidRPr="003A0B6E">
        <w:rPr>
          <w:rFonts w:ascii="Times New Roman" w:hAnsi="Times New Roman" w:cs="Times New Roman"/>
          <w:sz w:val="24"/>
          <w:szCs w:val="24"/>
        </w:rPr>
        <w:lastRenderedPageBreak/>
        <w:t>sequenciais e interdependentes, desde a identificação das necessidades da comunidade até a validação científica do produto desenvolvido.</w:t>
      </w:r>
    </w:p>
    <w:p w14:paraId="310C24BD" w14:textId="77777777" w:rsidR="003A0B6E" w:rsidRPr="003A0B6E" w:rsidRDefault="003A0B6E" w:rsidP="003A0B6E">
      <w:pPr>
        <w:spacing w:line="360" w:lineRule="auto"/>
        <w:ind w:firstLine="720"/>
        <w:jc w:val="both"/>
        <w:rPr>
          <w:rFonts w:ascii="Times New Roman" w:hAnsi="Times New Roman" w:cs="Times New Roman"/>
          <w:sz w:val="24"/>
          <w:szCs w:val="24"/>
        </w:rPr>
      </w:pPr>
      <w:r w:rsidRPr="003A0B6E">
        <w:rPr>
          <w:rFonts w:ascii="Times New Roman" w:hAnsi="Times New Roman" w:cs="Times New Roman"/>
          <w:sz w:val="24"/>
          <w:szCs w:val="24"/>
        </w:rPr>
        <w:t>O modelo parte do pressuposto de que a produção do conhecimento em ambiente universitário deve ocorrer de forma colaborativa, envolvendo docentes, estudantes e comunidade em um processo contínuo de construção, validação e aplicação do conhecimento. Nesse contexto, as necessidades identificadas junto à população constituem o ponto de partida para o desenvolvimento de soluções tecnológicas fundamentadas em evidências científicas, permitindo que o conhecimento tácito seja sistematizado, validado e transformado em tecnologias capazes de gerar impacto social.</w:t>
      </w:r>
    </w:p>
    <w:p w14:paraId="1360044B" w14:textId="77777777" w:rsidR="00C335ED" w:rsidRDefault="003A0B6E" w:rsidP="00C335ED">
      <w:pPr>
        <w:spacing w:line="360" w:lineRule="auto"/>
        <w:ind w:firstLine="720"/>
        <w:jc w:val="both"/>
        <w:rPr>
          <w:rFonts w:ascii="Times New Roman" w:hAnsi="Times New Roman" w:cs="Times New Roman"/>
          <w:b/>
          <w:bCs/>
          <w:sz w:val="24"/>
          <w:szCs w:val="24"/>
        </w:rPr>
      </w:pPr>
      <w:r w:rsidRPr="003A0B6E">
        <w:rPr>
          <w:rFonts w:ascii="Times New Roman" w:hAnsi="Times New Roman" w:cs="Times New Roman"/>
          <w:sz w:val="24"/>
          <w:szCs w:val="24"/>
        </w:rPr>
        <w:t xml:space="preserve">O fluxo metodológico desenvolvido neste estudo encontra-se representado na </w:t>
      </w:r>
      <w:r w:rsidRPr="003A0B6E">
        <w:rPr>
          <w:rFonts w:ascii="Times New Roman" w:hAnsi="Times New Roman" w:cs="Times New Roman"/>
          <w:b/>
          <w:bCs/>
          <w:sz w:val="24"/>
          <w:szCs w:val="24"/>
        </w:rPr>
        <w:t>Figura 2.</w:t>
      </w:r>
    </w:p>
    <w:p w14:paraId="3CA513E0" w14:textId="77777777" w:rsidR="008B5E54" w:rsidRPr="0062298A" w:rsidRDefault="008B5E54" w:rsidP="008B5E54">
      <w:pPr>
        <w:spacing w:line="360" w:lineRule="auto"/>
        <w:jc w:val="both"/>
        <w:rPr>
          <w:rFonts w:ascii="Times New Roman" w:hAnsi="Times New Roman" w:cs="Times New Roman"/>
          <w:b/>
          <w:bCs/>
          <w:sz w:val="24"/>
          <w:szCs w:val="24"/>
        </w:rPr>
      </w:pPr>
      <w:r w:rsidRPr="0062298A">
        <w:rPr>
          <w:rFonts w:ascii="Times New Roman" w:hAnsi="Times New Roman" w:cs="Times New Roman"/>
          <w:b/>
          <w:bCs/>
          <w:sz w:val="24"/>
          <w:szCs w:val="24"/>
        </w:rPr>
        <w:t>3.3 Diagnóstico comunitário e identificação das necessidades</w:t>
      </w:r>
    </w:p>
    <w:p w14:paraId="23F855AA" w14:textId="77777777" w:rsidR="008B5E54" w:rsidRPr="00E629D8" w:rsidRDefault="008B5E54" w:rsidP="008B5E54">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A primeira etapa do FIDTEU consistiu na realização do diagnóstico comunitário junto aos idosos participantes das atividades desenvolvidas no Centro de Convivência Vovô Zeid. Essa fase teve como finalidade identificar necessidades relacionadas ao cuidado da pele, hábitos de higiene, utilização de produtos cosméticos e principais queixas dermatológicas decorrentes do envelhecimento cutâneo.</w:t>
      </w:r>
    </w:p>
    <w:p w14:paraId="08FB13B5" w14:textId="77777777" w:rsidR="008B5E54" w:rsidRPr="00E629D8" w:rsidRDefault="008B5E54" w:rsidP="008B5E54">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A coleta de dados foi realizada por meio de observação participante, entrevistas e aplicação de questionários estruturados elaborados especificamente para o projeto. As informações obtidas permitiram caracterizar o perfil da população atendida e identificar elevada frequência de relatos relacionados ao ressecamento cutâneo, desconforto, prurido e necessidade de produtos hidratantes de fácil aplicação, subsidiando a definição do produto a ser desenvolvido.</w:t>
      </w:r>
    </w:p>
    <w:p w14:paraId="794D3800" w14:textId="77777777" w:rsidR="008B5E54" w:rsidRDefault="008B5E54" w:rsidP="00C335ED">
      <w:pPr>
        <w:spacing w:line="360" w:lineRule="auto"/>
        <w:ind w:firstLine="720"/>
        <w:jc w:val="both"/>
        <w:rPr>
          <w:rFonts w:ascii="Times New Roman" w:hAnsi="Times New Roman" w:cs="Times New Roman"/>
          <w:b/>
          <w:bCs/>
          <w:sz w:val="24"/>
          <w:szCs w:val="24"/>
        </w:rPr>
      </w:pPr>
    </w:p>
    <w:p w14:paraId="61627BB1" w14:textId="77777777" w:rsidR="008B5E54" w:rsidRDefault="008B5E54" w:rsidP="00C335ED">
      <w:pPr>
        <w:spacing w:line="360" w:lineRule="auto"/>
        <w:ind w:firstLine="720"/>
        <w:jc w:val="both"/>
        <w:rPr>
          <w:rFonts w:ascii="Times New Roman" w:hAnsi="Times New Roman" w:cs="Times New Roman"/>
          <w:b/>
          <w:bCs/>
          <w:sz w:val="24"/>
          <w:szCs w:val="24"/>
        </w:rPr>
      </w:pPr>
    </w:p>
    <w:p w14:paraId="44456145" w14:textId="77777777" w:rsidR="008B5E54" w:rsidRDefault="008B5E54" w:rsidP="00C335ED">
      <w:pPr>
        <w:spacing w:line="360" w:lineRule="auto"/>
        <w:ind w:firstLine="720"/>
        <w:jc w:val="both"/>
        <w:rPr>
          <w:rFonts w:ascii="Times New Roman" w:hAnsi="Times New Roman" w:cs="Times New Roman"/>
          <w:b/>
          <w:bCs/>
          <w:sz w:val="24"/>
          <w:szCs w:val="24"/>
        </w:rPr>
      </w:pPr>
    </w:p>
    <w:p w14:paraId="17EBB6C6" w14:textId="77777777" w:rsidR="008B5E54" w:rsidRDefault="008B5E54" w:rsidP="00C335ED">
      <w:pPr>
        <w:spacing w:line="360" w:lineRule="auto"/>
        <w:ind w:firstLine="720"/>
        <w:jc w:val="both"/>
        <w:rPr>
          <w:rFonts w:ascii="Times New Roman" w:hAnsi="Times New Roman" w:cs="Times New Roman"/>
          <w:b/>
          <w:bCs/>
          <w:sz w:val="24"/>
          <w:szCs w:val="24"/>
        </w:rPr>
      </w:pPr>
    </w:p>
    <w:p w14:paraId="5A78370C" w14:textId="77777777" w:rsidR="008B5E54" w:rsidRDefault="008B5E54" w:rsidP="00C335ED">
      <w:pPr>
        <w:spacing w:line="360" w:lineRule="auto"/>
        <w:ind w:firstLine="720"/>
        <w:jc w:val="both"/>
        <w:rPr>
          <w:rFonts w:ascii="Times New Roman" w:hAnsi="Times New Roman" w:cs="Times New Roman"/>
          <w:b/>
          <w:bCs/>
          <w:sz w:val="24"/>
          <w:szCs w:val="24"/>
        </w:rPr>
      </w:pPr>
    </w:p>
    <w:p w14:paraId="59E41BC6" w14:textId="48CF7995" w:rsidR="00C335ED" w:rsidRPr="00C335ED" w:rsidRDefault="00C335ED" w:rsidP="00C335ED">
      <w:pPr>
        <w:spacing w:line="360" w:lineRule="auto"/>
        <w:ind w:firstLine="720"/>
        <w:jc w:val="both"/>
        <w:rPr>
          <w:rFonts w:ascii="Times New Roman" w:hAnsi="Times New Roman" w:cs="Times New Roman"/>
          <w:b/>
          <w:bCs/>
          <w:sz w:val="24"/>
          <w:szCs w:val="24"/>
        </w:rPr>
      </w:pPr>
      <w:r w:rsidRPr="0062298A">
        <w:rPr>
          <w:rFonts w:ascii="Times New Roman" w:hAnsi="Times New Roman" w:cs="Times New Roman"/>
          <w:b/>
          <w:bCs/>
          <w:sz w:val="24"/>
          <w:szCs w:val="24"/>
        </w:rPr>
        <w:t>Figura 2</w:t>
      </w:r>
      <w:r w:rsidRPr="00E629D8">
        <w:rPr>
          <w:rFonts w:ascii="Times New Roman" w:hAnsi="Times New Roman" w:cs="Times New Roman"/>
          <w:sz w:val="24"/>
          <w:szCs w:val="24"/>
        </w:rPr>
        <w:t xml:space="preserve"> – Fluxo Integrado de Desenvolvimento Tecnológico em Extensão Universitária (FIDT</w:t>
      </w:r>
      <w:r>
        <w:rPr>
          <w:rFonts w:ascii="Times New Roman" w:hAnsi="Times New Roman" w:cs="Times New Roman"/>
          <w:sz w:val="24"/>
          <w:szCs w:val="24"/>
        </w:rPr>
        <w:t>EU)</w:t>
      </w:r>
    </w:p>
    <w:p w14:paraId="4EB839E7" w14:textId="77777777" w:rsidR="00C335ED" w:rsidRDefault="00C335ED" w:rsidP="00C335ED">
      <w:pPr>
        <w:spacing w:line="360" w:lineRule="auto"/>
        <w:jc w:val="center"/>
        <w:rPr>
          <w:rFonts w:ascii="Times New Roman" w:hAnsi="Times New Roman" w:cs="Times New Roman"/>
          <w:b/>
          <w:bCs/>
          <w:sz w:val="24"/>
          <w:szCs w:val="24"/>
        </w:rPr>
      </w:pPr>
      <w:r w:rsidRPr="00877E88">
        <w:rPr>
          <w:rFonts w:ascii="Times New Roman" w:hAnsi="Times New Roman" w:cs="Times New Roman"/>
          <w:b/>
          <w:bCs/>
          <w:noProof/>
          <w:sz w:val="24"/>
          <w:szCs w:val="24"/>
        </w:rPr>
        <w:lastRenderedPageBreak/>
        <w:drawing>
          <wp:inline distT="0" distB="0" distL="0" distR="0" wp14:anchorId="0F918F91" wp14:editId="5E3D6F89">
            <wp:extent cx="2940050" cy="5880100"/>
            <wp:effectExtent l="0" t="0" r="0" b="6350"/>
            <wp:docPr id="5575646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64621" name="Imagem 5575646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40050" cy="5880100"/>
                    </a:xfrm>
                    <a:prstGeom prst="rect">
                      <a:avLst/>
                    </a:prstGeom>
                  </pic:spPr>
                </pic:pic>
              </a:graphicData>
            </a:graphic>
          </wp:inline>
        </w:drawing>
      </w:r>
    </w:p>
    <w:p w14:paraId="1F0A5465" w14:textId="3F62DCAA" w:rsidR="00C335ED" w:rsidRDefault="00C335ED" w:rsidP="00C335ED">
      <w:pPr>
        <w:spacing w:line="360" w:lineRule="auto"/>
        <w:ind w:left="2160" w:firstLine="720"/>
        <w:jc w:val="both"/>
        <w:rPr>
          <w:rFonts w:ascii="Times New Roman" w:hAnsi="Times New Roman" w:cs="Times New Roman"/>
          <w:sz w:val="24"/>
          <w:szCs w:val="24"/>
        </w:rPr>
      </w:pPr>
      <w:r w:rsidRPr="0062298A">
        <w:rPr>
          <w:rFonts w:ascii="Times New Roman" w:hAnsi="Times New Roman" w:cs="Times New Roman"/>
          <w:b/>
          <w:bCs/>
          <w:sz w:val="24"/>
          <w:szCs w:val="24"/>
        </w:rPr>
        <w:t>Fonte:</w:t>
      </w:r>
      <w:r w:rsidRPr="00E629D8">
        <w:rPr>
          <w:rFonts w:ascii="Times New Roman" w:hAnsi="Times New Roman" w:cs="Times New Roman"/>
          <w:sz w:val="24"/>
          <w:szCs w:val="24"/>
        </w:rPr>
        <w:t xml:space="preserve"> Elaborado pelos autores (2026).</w:t>
      </w:r>
    </w:p>
    <w:p w14:paraId="1159A36F" w14:textId="77777777" w:rsidR="00C335ED" w:rsidRPr="00E629D8" w:rsidRDefault="00C335ED" w:rsidP="00C335ED">
      <w:pPr>
        <w:spacing w:line="360" w:lineRule="auto"/>
        <w:jc w:val="both"/>
        <w:rPr>
          <w:rFonts w:ascii="Times New Roman" w:hAnsi="Times New Roman" w:cs="Times New Roman"/>
          <w:sz w:val="24"/>
          <w:szCs w:val="24"/>
        </w:rPr>
      </w:pPr>
    </w:p>
    <w:p w14:paraId="36DF8B74" w14:textId="77777777" w:rsidR="00C335ED" w:rsidRPr="007C005D" w:rsidRDefault="00C335ED" w:rsidP="00C335ED">
      <w:pPr>
        <w:spacing w:line="360" w:lineRule="auto"/>
        <w:jc w:val="both"/>
        <w:rPr>
          <w:rFonts w:ascii="Times New Roman" w:hAnsi="Times New Roman" w:cs="Times New Roman"/>
          <w:b/>
          <w:bCs/>
          <w:sz w:val="24"/>
          <w:szCs w:val="24"/>
        </w:rPr>
      </w:pPr>
      <w:r w:rsidRPr="007C005D">
        <w:rPr>
          <w:rFonts w:ascii="Times New Roman" w:hAnsi="Times New Roman" w:cs="Times New Roman"/>
          <w:b/>
          <w:bCs/>
          <w:sz w:val="24"/>
          <w:szCs w:val="24"/>
        </w:rPr>
        <w:t>3.4 Desenvolvimento farmacotécnico da formulação</w:t>
      </w:r>
    </w:p>
    <w:p w14:paraId="38F5A879" w14:textId="77777777" w:rsidR="00C335ED" w:rsidRPr="00E629D8" w:rsidRDefault="00C335ED" w:rsidP="00C335ED">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Com base nas necessidades identificadas durante o diagnóstico comunitário, realizou-se levantamento bibliográfico para seleção dos ativos cosméticos mais adequados ao tratamento da xerose cutânea e às alterações fisiológicas da pele senil.</w:t>
      </w:r>
    </w:p>
    <w:p w14:paraId="434D00CD" w14:textId="77777777" w:rsidR="00C335ED" w:rsidRPr="00E629D8" w:rsidRDefault="00C335ED" w:rsidP="00C335ED">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A formulação foi desenvolvida na forma farmacêutica gel-creme, denominada Derma Hydriss, utilizando base dermatológica compatível com a pele envelhecida e contendo Ajidew® NL-50, ácido hialurônico, D-pantenol, alfa-bisabolol e extrato glicólico de camomila, selecionados por suas propriedades umectantes, hidratantes, calmantes e restauradoras da barreira cutânea.</w:t>
      </w:r>
    </w:p>
    <w:p w14:paraId="7C247FF3" w14:textId="77777777" w:rsidR="00C335ED" w:rsidRPr="00E629D8" w:rsidRDefault="00C335ED" w:rsidP="00C335ED">
      <w:pPr>
        <w:spacing w:line="360" w:lineRule="auto"/>
        <w:jc w:val="both"/>
        <w:rPr>
          <w:rFonts w:ascii="Times New Roman" w:hAnsi="Times New Roman" w:cs="Times New Roman"/>
          <w:sz w:val="24"/>
          <w:szCs w:val="24"/>
        </w:rPr>
      </w:pPr>
      <w:r w:rsidRPr="00E629D8">
        <w:rPr>
          <w:rFonts w:ascii="Times New Roman" w:hAnsi="Times New Roman" w:cs="Times New Roman"/>
          <w:sz w:val="24"/>
          <w:szCs w:val="24"/>
        </w:rPr>
        <w:lastRenderedPageBreak/>
        <w:t>Após definição da composição, realizou-se a produção piloto em laboratório de Cosmetologia, seguindo procedimentos padronizados de manipulação e Boas Práticas de Laboratório.</w:t>
      </w:r>
    </w:p>
    <w:p w14:paraId="1F4D986C" w14:textId="77777777" w:rsidR="00C335ED" w:rsidRPr="00E629D8" w:rsidRDefault="00C335ED" w:rsidP="00C335ED">
      <w:pPr>
        <w:spacing w:line="360" w:lineRule="auto"/>
        <w:jc w:val="both"/>
        <w:rPr>
          <w:rFonts w:ascii="Times New Roman" w:hAnsi="Times New Roman" w:cs="Times New Roman"/>
          <w:sz w:val="24"/>
          <w:szCs w:val="24"/>
        </w:rPr>
      </w:pPr>
    </w:p>
    <w:p w14:paraId="7EDD268C" w14:textId="77777777" w:rsidR="00C335ED" w:rsidRPr="007C005D" w:rsidRDefault="00C335ED" w:rsidP="00C335ED">
      <w:pPr>
        <w:spacing w:line="360" w:lineRule="auto"/>
        <w:jc w:val="both"/>
        <w:rPr>
          <w:rFonts w:ascii="Times New Roman" w:hAnsi="Times New Roman" w:cs="Times New Roman"/>
          <w:b/>
          <w:bCs/>
          <w:sz w:val="24"/>
          <w:szCs w:val="24"/>
        </w:rPr>
      </w:pPr>
      <w:r w:rsidRPr="007C005D">
        <w:rPr>
          <w:rFonts w:ascii="Times New Roman" w:hAnsi="Times New Roman" w:cs="Times New Roman"/>
          <w:b/>
          <w:bCs/>
          <w:sz w:val="24"/>
          <w:szCs w:val="24"/>
        </w:rPr>
        <w:t>3.5 Avaliação da formulação pela comunidade</w:t>
      </w:r>
    </w:p>
    <w:p w14:paraId="051CB55C" w14:textId="77777777" w:rsidR="00C335ED" w:rsidRPr="00E629D8" w:rsidRDefault="00C335ED" w:rsidP="00C335ED">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Concluída a produção piloto, o gel-creme foi apresentado aos participantes do projeto para avaliação preliminar de suas características sensoriais. Foram considerados aspectos relacionados à espalhabilidade, absorção, textura, sensação após aplicação e aceitabilidade geral da formulação.</w:t>
      </w:r>
    </w:p>
    <w:p w14:paraId="39663E7F" w14:textId="77777777" w:rsidR="00C335ED" w:rsidRPr="00E629D8" w:rsidRDefault="00C335ED" w:rsidP="00C335ED">
      <w:pPr>
        <w:spacing w:line="360" w:lineRule="auto"/>
        <w:jc w:val="both"/>
        <w:rPr>
          <w:rFonts w:ascii="Times New Roman" w:hAnsi="Times New Roman" w:cs="Times New Roman"/>
          <w:sz w:val="24"/>
          <w:szCs w:val="24"/>
        </w:rPr>
      </w:pPr>
      <w:r w:rsidRPr="00E629D8">
        <w:rPr>
          <w:rFonts w:ascii="Times New Roman" w:hAnsi="Times New Roman" w:cs="Times New Roman"/>
          <w:sz w:val="24"/>
          <w:szCs w:val="24"/>
        </w:rPr>
        <w:t>As percepções registradas nessa etapa subsidiaram pequenos ajustes na formulação antes da realização dos ensaios laboratoriais, reforçando a participação da comunidade como agente ativo no processo de desenvolvimento tecnológico.</w:t>
      </w:r>
    </w:p>
    <w:p w14:paraId="22787132" w14:textId="77777777" w:rsidR="00C335ED" w:rsidRPr="00E629D8" w:rsidRDefault="00C335ED" w:rsidP="00C335ED">
      <w:pPr>
        <w:spacing w:line="360" w:lineRule="auto"/>
        <w:jc w:val="both"/>
        <w:rPr>
          <w:rFonts w:ascii="Times New Roman" w:hAnsi="Times New Roman" w:cs="Times New Roman"/>
          <w:sz w:val="24"/>
          <w:szCs w:val="24"/>
        </w:rPr>
      </w:pPr>
    </w:p>
    <w:p w14:paraId="019B4397" w14:textId="77777777" w:rsidR="00C335ED" w:rsidRPr="007C005D" w:rsidRDefault="00C335ED" w:rsidP="00C335ED">
      <w:pPr>
        <w:spacing w:line="360" w:lineRule="auto"/>
        <w:jc w:val="both"/>
        <w:rPr>
          <w:rFonts w:ascii="Times New Roman" w:hAnsi="Times New Roman" w:cs="Times New Roman"/>
          <w:b/>
          <w:bCs/>
          <w:sz w:val="24"/>
          <w:szCs w:val="24"/>
        </w:rPr>
      </w:pPr>
      <w:r w:rsidRPr="007C005D">
        <w:rPr>
          <w:rFonts w:ascii="Times New Roman" w:hAnsi="Times New Roman" w:cs="Times New Roman"/>
          <w:b/>
          <w:bCs/>
          <w:sz w:val="24"/>
          <w:szCs w:val="24"/>
        </w:rPr>
        <w:t>3.6 Controle de qualidade e validação tecnológica</w:t>
      </w:r>
    </w:p>
    <w:p w14:paraId="3C7CA2B7" w14:textId="77777777" w:rsidR="00C335ED" w:rsidRPr="00E629D8" w:rsidRDefault="00C335ED" w:rsidP="00C335ED">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Após definição da formulação final, o gel-creme foi submetido aos procedimentos de controle de qualidade, conforme recomendações do Guia de Estabilidade de Produtos Cosméticos da Agência Nacional de Vigilância Sanitária (ANVISA).</w:t>
      </w:r>
    </w:p>
    <w:p w14:paraId="147B1C6D" w14:textId="77777777" w:rsidR="00C335ED" w:rsidRPr="00E629D8" w:rsidRDefault="00C335ED" w:rsidP="00C335ED">
      <w:pPr>
        <w:spacing w:line="360" w:lineRule="auto"/>
        <w:jc w:val="both"/>
        <w:rPr>
          <w:rFonts w:ascii="Times New Roman" w:hAnsi="Times New Roman" w:cs="Times New Roman"/>
          <w:sz w:val="24"/>
          <w:szCs w:val="24"/>
        </w:rPr>
      </w:pPr>
      <w:r w:rsidRPr="00E629D8">
        <w:rPr>
          <w:rFonts w:ascii="Times New Roman" w:hAnsi="Times New Roman" w:cs="Times New Roman"/>
          <w:sz w:val="24"/>
          <w:szCs w:val="24"/>
        </w:rPr>
        <w:t>Foram realizados ensaios para avaliação das características organolépticas (cor, odor, aspecto e homogeneidade), determinação do potencial hidrogeniônico (pH), densidade, estabilidade preliminar, controle microbiológico e análise da conformidade da rotulagem. Os resultados obtidos foram comparados aos parâmetros descritos na literatura e às recomendações regulatórias aplicáveis aos produtos cosméticos, permitindo verificar a qualidade e a estabilidade da formulação desenvolvida.</w:t>
      </w:r>
    </w:p>
    <w:p w14:paraId="51FE4DA6" w14:textId="77777777" w:rsidR="00C335ED" w:rsidRPr="00E629D8" w:rsidRDefault="00C335ED" w:rsidP="00C335ED">
      <w:pPr>
        <w:spacing w:line="360" w:lineRule="auto"/>
        <w:jc w:val="both"/>
        <w:rPr>
          <w:rFonts w:ascii="Times New Roman" w:hAnsi="Times New Roman" w:cs="Times New Roman"/>
          <w:sz w:val="24"/>
          <w:szCs w:val="24"/>
        </w:rPr>
      </w:pPr>
    </w:p>
    <w:p w14:paraId="23F5C128" w14:textId="77777777" w:rsidR="00C335ED" w:rsidRPr="007C005D" w:rsidRDefault="00C335ED" w:rsidP="00C335ED">
      <w:pPr>
        <w:spacing w:line="360" w:lineRule="auto"/>
        <w:jc w:val="both"/>
        <w:rPr>
          <w:rFonts w:ascii="Times New Roman" w:hAnsi="Times New Roman" w:cs="Times New Roman"/>
          <w:b/>
          <w:bCs/>
          <w:sz w:val="24"/>
          <w:szCs w:val="24"/>
        </w:rPr>
      </w:pPr>
      <w:r w:rsidRPr="007C005D">
        <w:rPr>
          <w:rFonts w:ascii="Times New Roman" w:hAnsi="Times New Roman" w:cs="Times New Roman"/>
          <w:b/>
          <w:bCs/>
          <w:sz w:val="24"/>
          <w:szCs w:val="24"/>
        </w:rPr>
        <w:t>3.7 Organização e análise dos dados</w:t>
      </w:r>
    </w:p>
    <w:p w14:paraId="25FFEBEE" w14:textId="77777777" w:rsidR="00C335ED" w:rsidRPr="00E629D8" w:rsidRDefault="00C335ED" w:rsidP="00C335ED">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Os dados provenientes do diagnóstico comunitário foram organizados por meio de análise descritiva, considerando as principais demandas identificadas entre os participantes do estudo. Os resultados dos ensaios laboratoriais foram apresentados em tabelas e figuras, sendo interpretados à luz da literatura científica e da regulamentação vigente.</w:t>
      </w:r>
    </w:p>
    <w:p w14:paraId="660ADF7A" w14:textId="77777777" w:rsidR="00C335ED" w:rsidRPr="00E629D8" w:rsidRDefault="00C335ED" w:rsidP="00C335ED">
      <w:pPr>
        <w:spacing w:line="360" w:lineRule="auto"/>
        <w:ind w:firstLine="720"/>
        <w:jc w:val="both"/>
        <w:rPr>
          <w:rFonts w:ascii="Times New Roman" w:hAnsi="Times New Roman" w:cs="Times New Roman"/>
          <w:sz w:val="24"/>
          <w:szCs w:val="24"/>
        </w:rPr>
      </w:pPr>
      <w:r w:rsidRPr="00E629D8">
        <w:rPr>
          <w:rFonts w:ascii="Times New Roman" w:hAnsi="Times New Roman" w:cs="Times New Roman"/>
          <w:sz w:val="24"/>
          <w:szCs w:val="24"/>
        </w:rPr>
        <w:t>A integração entre os resultados qualitativos e quantitativos permitiu compreender o processo de transformação das necessidades identificadas na comunidade em uma tecnologia cosmética validada, evidenciando a aplicação prática da Gestão do Conhecimento, da extensão universitária e da inovação social no desenvolvimento do Derma Hydriss.</w:t>
      </w:r>
    </w:p>
    <w:p w14:paraId="6C766268" w14:textId="77777777" w:rsidR="00C335ED" w:rsidRDefault="00C335ED" w:rsidP="00C335ED">
      <w:pPr>
        <w:spacing w:line="360" w:lineRule="auto"/>
        <w:jc w:val="both"/>
        <w:rPr>
          <w:rFonts w:ascii="Times New Roman" w:hAnsi="Times New Roman" w:cs="Times New Roman"/>
          <w:b/>
          <w:bCs/>
          <w:sz w:val="24"/>
          <w:szCs w:val="24"/>
        </w:rPr>
      </w:pPr>
    </w:p>
    <w:p w14:paraId="4A2C393D" w14:textId="53D9FAC6" w:rsidR="00C335ED"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b/>
          <w:bCs/>
          <w:sz w:val="24"/>
          <w:szCs w:val="24"/>
        </w:rPr>
        <w:lastRenderedPageBreak/>
        <w:t xml:space="preserve">Quadro 1 – </w:t>
      </w:r>
      <w:r w:rsidRPr="007C005D">
        <w:rPr>
          <w:rFonts w:ascii="Times New Roman" w:hAnsi="Times New Roman" w:cs="Times New Roman"/>
          <w:sz w:val="24"/>
          <w:szCs w:val="24"/>
        </w:rPr>
        <w:t>Etapas do Fluxo Integrado de Desenvolvimento Tecnológico em Extensão Universitária (FIDTEU)</w:t>
      </w:r>
    </w:p>
    <w:tbl>
      <w:tblPr>
        <w:tblStyle w:val="GridTable1Light"/>
        <w:tblW w:w="5000" w:type="pct"/>
        <w:tblLook w:val="04A0" w:firstRow="1" w:lastRow="0" w:firstColumn="1" w:lastColumn="0" w:noHBand="0" w:noVBand="1"/>
      </w:tblPr>
      <w:tblGrid>
        <w:gridCol w:w="2805"/>
        <w:gridCol w:w="3939"/>
        <w:gridCol w:w="2275"/>
      </w:tblGrid>
      <w:tr w:rsidR="00C335ED" w:rsidRPr="00F422C8" w14:paraId="6AE99AA2" w14:textId="77777777" w:rsidTr="00517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pct"/>
            <w:hideMark/>
          </w:tcPr>
          <w:p w14:paraId="074E9C24" w14:textId="77777777" w:rsidR="00C335ED" w:rsidRPr="00F422C8" w:rsidRDefault="00C335ED" w:rsidP="005173F1">
            <w:pPr>
              <w:spacing w:line="276" w:lineRule="auto"/>
              <w:jc w:val="both"/>
              <w:rPr>
                <w:rFonts w:ascii="Times New Roman" w:hAnsi="Times New Roman" w:cs="Times New Roman"/>
                <w:sz w:val="24"/>
                <w:szCs w:val="24"/>
              </w:rPr>
            </w:pPr>
            <w:r w:rsidRPr="00F422C8">
              <w:rPr>
                <w:rFonts w:ascii="Times New Roman" w:hAnsi="Times New Roman" w:cs="Times New Roman"/>
                <w:sz w:val="24"/>
                <w:szCs w:val="24"/>
              </w:rPr>
              <w:t>Etapa</w:t>
            </w:r>
          </w:p>
        </w:tc>
        <w:tc>
          <w:tcPr>
            <w:tcW w:w="2184" w:type="pct"/>
            <w:hideMark/>
          </w:tcPr>
          <w:p w14:paraId="6DC8B6C4"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Objetivo</w:t>
            </w:r>
          </w:p>
        </w:tc>
        <w:tc>
          <w:tcPr>
            <w:tcW w:w="1261" w:type="pct"/>
            <w:hideMark/>
          </w:tcPr>
          <w:p w14:paraId="4818650E"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Produto gerado</w:t>
            </w:r>
          </w:p>
        </w:tc>
      </w:tr>
      <w:tr w:rsidR="00C335ED" w:rsidRPr="00F422C8" w14:paraId="3CCC0036" w14:textId="77777777" w:rsidTr="005173F1">
        <w:tc>
          <w:tcPr>
            <w:cnfStyle w:val="001000000000" w:firstRow="0" w:lastRow="0" w:firstColumn="1" w:lastColumn="0" w:oddVBand="0" w:evenVBand="0" w:oddHBand="0" w:evenHBand="0" w:firstRowFirstColumn="0" w:firstRowLastColumn="0" w:lastRowFirstColumn="0" w:lastRowLastColumn="0"/>
            <w:tcW w:w="1555" w:type="pct"/>
            <w:hideMark/>
          </w:tcPr>
          <w:p w14:paraId="1EDE1CCF" w14:textId="77777777" w:rsidR="00C335ED" w:rsidRPr="00893F81" w:rsidRDefault="00C335ED" w:rsidP="005173F1">
            <w:pPr>
              <w:spacing w:line="276" w:lineRule="auto"/>
              <w:jc w:val="both"/>
              <w:rPr>
                <w:rFonts w:ascii="Times New Roman" w:hAnsi="Times New Roman" w:cs="Times New Roman"/>
                <w:b w:val="0"/>
                <w:bCs w:val="0"/>
                <w:sz w:val="24"/>
                <w:szCs w:val="24"/>
              </w:rPr>
            </w:pPr>
            <w:r w:rsidRPr="00893F81">
              <w:rPr>
                <w:rFonts w:ascii="Times New Roman" w:hAnsi="Times New Roman" w:cs="Times New Roman"/>
                <w:b w:val="0"/>
                <w:bCs w:val="0"/>
                <w:sz w:val="24"/>
                <w:szCs w:val="24"/>
              </w:rPr>
              <w:t>Diagnóstico comunitário</w:t>
            </w:r>
          </w:p>
        </w:tc>
        <w:tc>
          <w:tcPr>
            <w:tcW w:w="2184" w:type="pct"/>
            <w:hideMark/>
          </w:tcPr>
          <w:p w14:paraId="4A03F0AA"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Identificar necessidades relacionadas ao cuidado da pele</w:t>
            </w:r>
          </w:p>
        </w:tc>
        <w:tc>
          <w:tcPr>
            <w:tcW w:w="1261" w:type="pct"/>
            <w:hideMark/>
          </w:tcPr>
          <w:p w14:paraId="14347DD5"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Conhecimento tácito</w:t>
            </w:r>
          </w:p>
        </w:tc>
      </w:tr>
      <w:tr w:rsidR="00C335ED" w:rsidRPr="00F422C8" w14:paraId="26DCE5BA" w14:textId="77777777" w:rsidTr="005173F1">
        <w:tc>
          <w:tcPr>
            <w:cnfStyle w:val="001000000000" w:firstRow="0" w:lastRow="0" w:firstColumn="1" w:lastColumn="0" w:oddVBand="0" w:evenVBand="0" w:oddHBand="0" w:evenHBand="0" w:firstRowFirstColumn="0" w:firstRowLastColumn="0" w:lastRowFirstColumn="0" w:lastRowLastColumn="0"/>
            <w:tcW w:w="1555" w:type="pct"/>
            <w:hideMark/>
          </w:tcPr>
          <w:p w14:paraId="7930FB6B" w14:textId="77777777" w:rsidR="00C335ED" w:rsidRPr="00893F81" w:rsidRDefault="00C335ED" w:rsidP="005173F1">
            <w:pPr>
              <w:spacing w:line="276" w:lineRule="auto"/>
              <w:jc w:val="both"/>
              <w:rPr>
                <w:rFonts w:ascii="Times New Roman" w:hAnsi="Times New Roman" w:cs="Times New Roman"/>
                <w:b w:val="0"/>
                <w:bCs w:val="0"/>
                <w:sz w:val="24"/>
                <w:szCs w:val="24"/>
              </w:rPr>
            </w:pPr>
            <w:r w:rsidRPr="00893F81">
              <w:rPr>
                <w:rFonts w:ascii="Times New Roman" w:hAnsi="Times New Roman" w:cs="Times New Roman"/>
                <w:b w:val="0"/>
                <w:bCs w:val="0"/>
                <w:sz w:val="24"/>
                <w:szCs w:val="24"/>
              </w:rPr>
              <w:t>Revisão científica</w:t>
            </w:r>
          </w:p>
        </w:tc>
        <w:tc>
          <w:tcPr>
            <w:tcW w:w="2184" w:type="pct"/>
            <w:hideMark/>
          </w:tcPr>
          <w:p w14:paraId="672A35F9"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Fundamentar a seleção dos ativos</w:t>
            </w:r>
          </w:p>
        </w:tc>
        <w:tc>
          <w:tcPr>
            <w:tcW w:w="1261" w:type="pct"/>
            <w:hideMark/>
          </w:tcPr>
          <w:p w14:paraId="59658645"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Conhecimento explícito</w:t>
            </w:r>
          </w:p>
        </w:tc>
      </w:tr>
      <w:tr w:rsidR="00C335ED" w:rsidRPr="00F422C8" w14:paraId="248230C2" w14:textId="77777777" w:rsidTr="005173F1">
        <w:tc>
          <w:tcPr>
            <w:cnfStyle w:val="001000000000" w:firstRow="0" w:lastRow="0" w:firstColumn="1" w:lastColumn="0" w:oddVBand="0" w:evenVBand="0" w:oddHBand="0" w:evenHBand="0" w:firstRowFirstColumn="0" w:firstRowLastColumn="0" w:lastRowFirstColumn="0" w:lastRowLastColumn="0"/>
            <w:tcW w:w="1555" w:type="pct"/>
            <w:hideMark/>
          </w:tcPr>
          <w:p w14:paraId="0365D030" w14:textId="77777777" w:rsidR="00C335ED" w:rsidRPr="00893F81" w:rsidRDefault="00C335ED" w:rsidP="005173F1">
            <w:pPr>
              <w:spacing w:line="276" w:lineRule="auto"/>
              <w:jc w:val="both"/>
              <w:rPr>
                <w:rFonts w:ascii="Times New Roman" w:hAnsi="Times New Roman" w:cs="Times New Roman"/>
                <w:b w:val="0"/>
                <w:bCs w:val="0"/>
                <w:sz w:val="24"/>
                <w:szCs w:val="24"/>
              </w:rPr>
            </w:pPr>
            <w:r w:rsidRPr="00893F81">
              <w:rPr>
                <w:rFonts w:ascii="Times New Roman" w:hAnsi="Times New Roman" w:cs="Times New Roman"/>
                <w:b w:val="0"/>
                <w:bCs w:val="0"/>
                <w:sz w:val="24"/>
                <w:szCs w:val="24"/>
              </w:rPr>
              <w:t>Desenvolvimento farmacotécnico</w:t>
            </w:r>
          </w:p>
        </w:tc>
        <w:tc>
          <w:tcPr>
            <w:tcW w:w="2184" w:type="pct"/>
            <w:hideMark/>
          </w:tcPr>
          <w:p w14:paraId="73F07D14"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Elaborar a formulação</w:t>
            </w:r>
          </w:p>
        </w:tc>
        <w:tc>
          <w:tcPr>
            <w:tcW w:w="1261" w:type="pct"/>
            <w:hideMark/>
          </w:tcPr>
          <w:p w14:paraId="6BFB5895"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Gel-creme Derma Hydriss</w:t>
            </w:r>
          </w:p>
        </w:tc>
      </w:tr>
      <w:tr w:rsidR="00C335ED" w:rsidRPr="00F422C8" w14:paraId="04A18B82" w14:textId="77777777" w:rsidTr="005173F1">
        <w:tc>
          <w:tcPr>
            <w:cnfStyle w:val="001000000000" w:firstRow="0" w:lastRow="0" w:firstColumn="1" w:lastColumn="0" w:oddVBand="0" w:evenVBand="0" w:oddHBand="0" w:evenHBand="0" w:firstRowFirstColumn="0" w:firstRowLastColumn="0" w:lastRowFirstColumn="0" w:lastRowLastColumn="0"/>
            <w:tcW w:w="1555" w:type="pct"/>
            <w:hideMark/>
          </w:tcPr>
          <w:p w14:paraId="31955A38" w14:textId="77777777" w:rsidR="00C335ED" w:rsidRPr="00893F81" w:rsidRDefault="00C335ED" w:rsidP="005173F1">
            <w:pPr>
              <w:spacing w:line="276" w:lineRule="auto"/>
              <w:jc w:val="both"/>
              <w:rPr>
                <w:rFonts w:ascii="Times New Roman" w:hAnsi="Times New Roman" w:cs="Times New Roman"/>
                <w:b w:val="0"/>
                <w:bCs w:val="0"/>
                <w:sz w:val="24"/>
                <w:szCs w:val="24"/>
              </w:rPr>
            </w:pPr>
            <w:r w:rsidRPr="00893F81">
              <w:rPr>
                <w:rFonts w:ascii="Times New Roman" w:hAnsi="Times New Roman" w:cs="Times New Roman"/>
                <w:b w:val="0"/>
                <w:bCs w:val="0"/>
                <w:sz w:val="24"/>
                <w:szCs w:val="24"/>
              </w:rPr>
              <w:t>Controle de qualidade</w:t>
            </w:r>
          </w:p>
        </w:tc>
        <w:tc>
          <w:tcPr>
            <w:tcW w:w="2184" w:type="pct"/>
            <w:hideMark/>
          </w:tcPr>
          <w:p w14:paraId="49B2E4B8"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Validar a tecnologia</w:t>
            </w:r>
          </w:p>
        </w:tc>
        <w:tc>
          <w:tcPr>
            <w:tcW w:w="1261" w:type="pct"/>
            <w:hideMark/>
          </w:tcPr>
          <w:p w14:paraId="6EFD4088"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Produto conforme</w:t>
            </w:r>
          </w:p>
        </w:tc>
      </w:tr>
      <w:tr w:rsidR="00C335ED" w:rsidRPr="00F422C8" w14:paraId="6E76D533" w14:textId="77777777" w:rsidTr="005173F1">
        <w:tc>
          <w:tcPr>
            <w:cnfStyle w:val="001000000000" w:firstRow="0" w:lastRow="0" w:firstColumn="1" w:lastColumn="0" w:oddVBand="0" w:evenVBand="0" w:oddHBand="0" w:evenHBand="0" w:firstRowFirstColumn="0" w:firstRowLastColumn="0" w:lastRowFirstColumn="0" w:lastRowLastColumn="0"/>
            <w:tcW w:w="1555" w:type="pct"/>
            <w:hideMark/>
          </w:tcPr>
          <w:p w14:paraId="4471B57F" w14:textId="77777777" w:rsidR="00C335ED" w:rsidRPr="00893F81" w:rsidRDefault="00C335ED" w:rsidP="005173F1">
            <w:pPr>
              <w:spacing w:line="276" w:lineRule="auto"/>
              <w:jc w:val="both"/>
              <w:rPr>
                <w:rFonts w:ascii="Times New Roman" w:hAnsi="Times New Roman" w:cs="Times New Roman"/>
                <w:b w:val="0"/>
                <w:bCs w:val="0"/>
                <w:sz w:val="24"/>
                <w:szCs w:val="24"/>
              </w:rPr>
            </w:pPr>
            <w:r w:rsidRPr="00893F81">
              <w:rPr>
                <w:rFonts w:ascii="Times New Roman" w:hAnsi="Times New Roman" w:cs="Times New Roman"/>
                <w:b w:val="0"/>
                <w:bCs w:val="0"/>
                <w:sz w:val="24"/>
                <w:szCs w:val="24"/>
              </w:rPr>
              <w:t>Avaliação comunitária</w:t>
            </w:r>
          </w:p>
        </w:tc>
        <w:tc>
          <w:tcPr>
            <w:tcW w:w="2184" w:type="pct"/>
            <w:hideMark/>
          </w:tcPr>
          <w:p w14:paraId="594C969D"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Verificar aceitabilidade</w:t>
            </w:r>
          </w:p>
        </w:tc>
        <w:tc>
          <w:tcPr>
            <w:tcW w:w="1261" w:type="pct"/>
            <w:hideMark/>
          </w:tcPr>
          <w:p w14:paraId="6A3AD7D4"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Evidências de uso</w:t>
            </w:r>
          </w:p>
        </w:tc>
      </w:tr>
      <w:tr w:rsidR="00C335ED" w:rsidRPr="00F422C8" w14:paraId="2682A311" w14:textId="77777777" w:rsidTr="005173F1">
        <w:tc>
          <w:tcPr>
            <w:cnfStyle w:val="001000000000" w:firstRow="0" w:lastRow="0" w:firstColumn="1" w:lastColumn="0" w:oddVBand="0" w:evenVBand="0" w:oddHBand="0" w:evenHBand="0" w:firstRowFirstColumn="0" w:firstRowLastColumn="0" w:lastRowFirstColumn="0" w:lastRowLastColumn="0"/>
            <w:tcW w:w="1555" w:type="pct"/>
            <w:hideMark/>
          </w:tcPr>
          <w:p w14:paraId="5FDE0906" w14:textId="77777777" w:rsidR="00C335ED" w:rsidRPr="00893F81" w:rsidRDefault="00C335ED" w:rsidP="005173F1">
            <w:pPr>
              <w:spacing w:line="276" w:lineRule="auto"/>
              <w:jc w:val="both"/>
              <w:rPr>
                <w:rFonts w:ascii="Times New Roman" w:hAnsi="Times New Roman" w:cs="Times New Roman"/>
                <w:b w:val="0"/>
                <w:bCs w:val="0"/>
                <w:sz w:val="24"/>
                <w:szCs w:val="24"/>
              </w:rPr>
            </w:pPr>
            <w:r w:rsidRPr="00893F81">
              <w:rPr>
                <w:rFonts w:ascii="Times New Roman" w:hAnsi="Times New Roman" w:cs="Times New Roman"/>
                <w:b w:val="0"/>
                <w:bCs w:val="0"/>
                <w:sz w:val="24"/>
                <w:szCs w:val="24"/>
              </w:rPr>
              <w:t>Transferência do conhecimento</w:t>
            </w:r>
          </w:p>
        </w:tc>
        <w:tc>
          <w:tcPr>
            <w:tcW w:w="2184" w:type="pct"/>
            <w:hideMark/>
          </w:tcPr>
          <w:p w14:paraId="640D22FD"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Aplicação da tecnologia</w:t>
            </w:r>
          </w:p>
        </w:tc>
        <w:tc>
          <w:tcPr>
            <w:tcW w:w="1261" w:type="pct"/>
            <w:hideMark/>
          </w:tcPr>
          <w:p w14:paraId="67042EC1"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Inovação social</w:t>
            </w:r>
          </w:p>
        </w:tc>
      </w:tr>
    </w:tbl>
    <w:p w14:paraId="7CB68DCD" w14:textId="77777777" w:rsidR="00C335ED" w:rsidRPr="00F422C8"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b/>
          <w:bCs/>
          <w:sz w:val="24"/>
          <w:szCs w:val="24"/>
        </w:rPr>
        <w:t>Fonte:</w:t>
      </w:r>
      <w:r w:rsidRPr="00F422C8">
        <w:rPr>
          <w:rFonts w:ascii="Times New Roman" w:hAnsi="Times New Roman" w:cs="Times New Roman"/>
          <w:sz w:val="24"/>
          <w:szCs w:val="24"/>
        </w:rPr>
        <w:t xml:space="preserve"> Elaborado pelos autores (2026).</w:t>
      </w:r>
    </w:p>
    <w:p w14:paraId="5D95A406" w14:textId="77777777" w:rsidR="00C335ED" w:rsidRDefault="00C335ED" w:rsidP="00C335ED">
      <w:pPr>
        <w:spacing w:line="360" w:lineRule="auto"/>
        <w:jc w:val="both"/>
        <w:rPr>
          <w:rFonts w:ascii="Times New Roman" w:hAnsi="Times New Roman" w:cs="Times New Roman"/>
          <w:sz w:val="24"/>
          <w:szCs w:val="24"/>
        </w:rPr>
      </w:pPr>
    </w:p>
    <w:p w14:paraId="3B159184"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O FIDTEU permitiu integrar, em um único processo metodológico, diagnóstico comunitário, produção científica, desenvolvimento farmacotécnico, validação tecnológica e devolutiva social, caracterizando um ciclo contínuo de criação e aplicação do conhecimento. </w:t>
      </w:r>
      <w:r>
        <w:rPr>
          <w:rFonts w:ascii="Times New Roman" w:hAnsi="Times New Roman" w:cs="Times New Roman"/>
          <w:sz w:val="24"/>
          <w:szCs w:val="24"/>
        </w:rPr>
        <w:t>portanto</w:t>
      </w:r>
      <w:r w:rsidRPr="00F422C8">
        <w:rPr>
          <w:rFonts w:ascii="Times New Roman" w:hAnsi="Times New Roman" w:cs="Times New Roman"/>
          <w:sz w:val="24"/>
          <w:szCs w:val="24"/>
        </w:rPr>
        <w:t>, a metodologia adotada extrapola o desenvolvimento de um produto cosmético, propondo um modelo replicável para projetos de inovação em saúde desenvolvidos em instituições de ensino superior.</w:t>
      </w:r>
    </w:p>
    <w:p w14:paraId="51D6B9DB" w14:textId="77777777" w:rsidR="00C335ED" w:rsidRPr="00C335ED" w:rsidRDefault="00C335ED" w:rsidP="003A0B6E">
      <w:pPr>
        <w:spacing w:line="360" w:lineRule="auto"/>
        <w:ind w:firstLine="720"/>
        <w:jc w:val="both"/>
        <w:rPr>
          <w:rFonts w:ascii="Times New Roman" w:hAnsi="Times New Roman" w:cs="Times New Roman"/>
          <w:sz w:val="24"/>
          <w:szCs w:val="24"/>
        </w:rPr>
      </w:pPr>
    </w:p>
    <w:p w14:paraId="24D958DC" w14:textId="77777777" w:rsidR="00D8471E" w:rsidRDefault="00000000">
      <w:pPr>
        <w:numPr>
          <w:ilvl w:val="0"/>
          <w:numId w:val="3"/>
        </w:numPr>
        <w:pBdr>
          <w:top w:val="nil"/>
          <w:left w:val="nil"/>
          <w:bottom w:val="nil"/>
          <w:right w:val="nil"/>
          <w:between w:val="nil"/>
        </w:pBdr>
        <w:spacing w:line="360" w:lineRule="auto"/>
        <w:ind w:left="426" w:hanging="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RESULTADOS E DISCUSSÃO</w:t>
      </w:r>
    </w:p>
    <w:p w14:paraId="5EB20150" w14:textId="77777777" w:rsidR="00C335ED" w:rsidRDefault="00C335ED">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14:paraId="0254D335"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4.1 Avaliação global do gel-creme Derma Hydriss</w:t>
      </w:r>
    </w:p>
    <w:p w14:paraId="0B374C69"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Participaram da avaliação sensorial entre 27 e 29 voluntários, conforme o número de respostas válidas para cada variável analisada. Foram avaliados atributos relacionados à aparência, odor, textura, consistência, espalhabilidade, absorção, sensação na pele, embalagem, rotulagem e satisfação geral do gel-creme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desenvolvido a partir das necessidades identificadas durante o diagnóstico comunitário.</w:t>
      </w:r>
    </w:p>
    <w:p w14:paraId="637B00F0"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A avaliação global demonstrou elevada aceitação da formulação. Entre os 29 participantes, 58,6% (n = 17) declararam-se </w:t>
      </w:r>
      <w:r w:rsidRPr="00F422C8">
        <w:rPr>
          <w:rFonts w:ascii="Times New Roman" w:hAnsi="Times New Roman" w:cs="Times New Roman"/>
          <w:b/>
          <w:bCs/>
          <w:sz w:val="24"/>
          <w:szCs w:val="24"/>
        </w:rPr>
        <w:t>muito satisfeitos</w:t>
      </w:r>
      <w:r w:rsidRPr="00F422C8">
        <w:rPr>
          <w:rFonts w:ascii="Times New Roman" w:hAnsi="Times New Roman" w:cs="Times New Roman"/>
          <w:sz w:val="24"/>
          <w:szCs w:val="24"/>
        </w:rPr>
        <w:t xml:space="preserve">, enquanto 41,4% (n = 12) relataram estar </w:t>
      </w:r>
      <w:r w:rsidRPr="00F422C8">
        <w:rPr>
          <w:rFonts w:ascii="Times New Roman" w:hAnsi="Times New Roman" w:cs="Times New Roman"/>
          <w:b/>
          <w:bCs/>
          <w:sz w:val="24"/>
          <w:szCs w:val="24"/>
        </w:rPr>
        <w:t>satisfeitos</w:t>
      </w:r>
      <w:r w:rsidRPr="00F422C8">
        <w:rPr>
          <w:rFonts w:ascii="Times New Roman" w:hAnsi="Times New Roman" w:cs="Times New Roman"/>
          <w:sz w:val="24"/>
          <w:szCs w:val="24"/>
        </w:rPr>
        <w:t xml:space="preserve">, não sendo registradas respostas classificadas como indiferentes, insatisfeitas ou muito insatisfeitas (Tabela 1). Dessa forma, o índice global de aceitação atingiu </w:t>
      </w:r>
      <w:r w:rsidRPr="00F422C8">
        <w:rPr>
          <w:rFonts w:ascii="Times New Roman" w:hAnsi="Times New Roman" w:cs="Times New Roman"/>
          <w:b/>
          <w:bCs/>
          <w:sz w:val="24"/>
          <w:szCs w:val="24"/>
        </w:rPr>
        <w:t>100%</w:t>
      </w:r>
      <w:r w:rsidRPr="00F422C8">
        <w:rPr>
          <w:rFonts w:ascii="Times New Roman" w:hAnsi="Times New Roman" w:cs="Times New Roman"/>
          <w:sz w:val="24"/>
          <w:szCs w:val="24"/>
        </w:rPr>
        <w:t>, evidenciando elevada aprovação da tecnologia desenvolvida.</w:t>
      </w:r>
    </w:p>
    <w:p w14:paraId="00DFEFE0" w14:textId="77777777" w:rsidR="00C335ED" w:rsidRDefault="00C335ED" w:rsidP="00C335ED">
      <w:pPr>
        <w:spacing w:line="360" w:lineRule="auto"/>
        <w:jc w:val="both"/>
        <w:rPr>
          <w:rFonts w:ascii="Times New Roman" w:hAnsi="Times New Roman" w:cs="Times New Roman"/>
          <w:b/>
          <w:bCs/>
          <w:sz w:val="24"/>
          <w:szCs w:val="24"/>
        </w:rPr>
      </w:pPr>
    </w:p>
    <w:p w14:paraId="2A0201F9"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lastRenderedPageBreak/>
        <w:t>Tabela 1 – Avaliação global do gel-creme Derma Hydriss (n = 29)</w:t>
      </w:r>
    </w:p>
    <w:tbl>
      <w:tblPr>
        <w:tblStyle w:val="PlainTable2"/>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442"/>
        <w:gridCol w:w="639"/>
        <w:gridCol w:w="5948"/>
      </w:tblGrid>
      <w:tr w:rsidR="00C335ED" w:rsidRPr="00F422C8" w14:paraId="2BA55425" w14:textId="77777777" w:rsidTr="00517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2" w:type="pct"/>
            <w:tcBorders>
              <w:bottom w:val="none" w:sz="0" w:space="0" w:color="auto"/>
            </w:tcBorders>
            <w:hideMark/>
          </w:tcPr>
          <w:p w14:paraId="2A127DA2" w14:textId="77777777" w:rsidR="00C335ED" w:rsidRPr="00F422C8" w:rsidRDefault="00C335ED" w:rsidP="005173F1">
            <w:pPr>
              <w:spacing w:line="276" w:lineRule="auto"/>
              <w:jc w:val="both"/>
              <w:rPr>
                <w:rFonts w:ascii="Times New Roman" w:hAnsi="Times New Roman" w:cs="Times New Roman"/>
                <w:sz w:val="24"/>
                <w:szCs w:val="24"/>
              </w:rPr>
            </w:pPr>
            <w:r w:rsidRPr="00F422C8">
              <w:rPr>
                <w:rFonts w:ascii="Times New Roman" w:hAnsi="Times New Roman" w:cs="Times New Roman"/>
                <w:sz w:val="24"/>
                <w:szCs w:val="24"/>
              </w:rPr>
              <w:t>Variável</w:t>
            </w:r>
          </w:p>
        </w:tc>
        <w:tc>
          <w:tcPr>
            <w:tcW w:w="354" w:type="pct"/>
            <w:tcBorders>
              <w:bottom w:val="none" w:sz="0" w:space="0" w:color="auto"/>
            </w:tcBorders>
            <w:hideMark/>
          </w:tcPr>
          <w:p w14:paraId="226A7C78"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n</w:t>
            </w:r>
          </w:p>
        </w:tc>
        <w:tc>
          <w:tcPr>
            <w:tcW w:w="3294" w:type="pct"/>
            <w:tcBorders>
              <w:bottom w:val="none" w:sz="0" w:space="0" w:color="auto"/>
            </w:tcBorders>
            <w:hideMark/>
          </w:tcPr>
          <w:p w14:paraId="6A35C3CC"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Resultado</w:t>
            </w:r>
          </w:p>
        </w:tc>
      </w:tr>
      <w:tr w:rsidR="00C335ED" w:rsidRPr="00F422C8" w14:paraId="12E702E0"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2" w:type="pct"/>
            <w:tcBorders>
              <w:top w:val="none" w:sz="0" w:space="0" w:color="auto"/>
              <w:bottom w:val="none" w:sz="0" w:space="0" w:color="auto"/>
            </w:tcBorders>
            <w:hideMark/>
          </w:tcPr>
          <w:p w14:paraId="0099E850" w14:textId="77777777" w:rsidR="00C335ED" w:rsidRPr="0099144E" w:rsidRDefault="00C335ED" w:rsidP="005173F1">
            <w:pPr>
              <w:spacing w:line="276" w:lineRule="auto"/>
              <w:jc w:val="both"/>
              <w:rPr>
                <w:rFonts w:ascii="Times New Roman" w:hAnsi="Times New Roman" w:cs="Times New Roman"/>
                <w:b w:val="0"/>
                <w:bCs w:val="0"/>
                <w:sz w:val="24"/>
                <w:szCs w:val="24"/>
              </w:rPr>
            </w:pPr>
            <w:r w:rsidRPr="0099144E">
              <w:rPr>
                <w:rFonts w:ascii="Times New Roman" w:hAnsi="Times New Roman" w:cs="Times New Roman"/>
                <w:b w:val="0"/>
                <w:bCs w:val="0"/>
                <w:sz w:val="24"/>
                <w:szCs w:val="24"/>
              </w:rPr>
              <w:t>Satisfação geral</w:t>
            </w:r>
          </w:p>
        </w:tc>
        <w:tc>
          <w:tcPr>
            <w:tcW w:w="354" w:type="pct"/>
            <w:tcBorders>
              <w:top w:val="none" w:sz="0" w:space="0" w:color="auto"/>
              <w:bottom w:val="none" w:sz="0" w:space="0" w:color="auto"/>
            </w:tcBorders>
            <w:hideMark/>
          </w:tcPr>
          <w:p w14:paraId="2B71E283"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29</w:t>
            </w:r>
          </w:p>
        </w:tc>
        <w:tc>
          <w:tcPr>
            <w:tcW w:w="3294" w:type="pct"/>
            <w:tcBorders>
              <w:top w:val="none" w:sz="0" w:space="0" w:color="auto"/>
              <w:bottom w:val="none" w:sz="0" w:space="0" w:color="auto"/>
            </w:tcBorders>
            <w:hideMark/>
          </w:tcPr>
          <w:p w14:paraId="4B0B7DD4"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58,6% muito satisfeitos; 41,4% satisfeitos</w:t>
            </w:r>
          </w:p>
        </w:tc>
      </w:tr>
    </w:tbl>
    <w:p w14:paraId="436606DE" w14:textId="77777777" w:rsidR="00C335ED" w:rsidRPr="00F422C8"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b/>
          <w:bCs/>
          <w:sz w:val="24"/>
          <w:szCs w:val="24"/>
        </w:rPr>
        <w:t>Fonte:</w:t>
      </w:r>
      <w:r w:rsidRPr="00F422C8">
        <w:rPr>
          <w:rFonts w:ascii="Times New Roman" w:hAnsi="Times New Roman" w:cs="Times New Roman"/>
          <w:sz w:val="24"/>
          <w:szCs w:val="24"/>
        </w:rPr>
        <w:t xml:space="preserve"> Dados da pesquisa (2026).</w:t>
      </w:r>
    </w:p>
    <w:p w14:paraId="3C225508" w14:textId="77777777" w:rsidR="00C335ED" w:rsidRDefault="00C335ED" w:rsidP="00C335ED">
      <w:pPr>
        <w:spacing w:line="360" w:lineRule="auto"/>
        <w:jc w:val="both"/>
        <w:rPr>
          <w:rFonts w:ascii="Times New Roman" w:hAnsi="Times New Roman" w:cs="Times New Roman"/>
          <w:b/>
          <w:bCs/>
          <w:sz w:val="24"/>
          <w:szCs w:val="24"/>
        </w:rPr>
      </w:pPr>
    </w:p>
    <w:p w14:paraId="0C24DA58"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A elevada aceitação observada demonstra que a formulação desenvolvida respondeu adequadamente às demandas identificadas durante o diagnóstico comunitário, corroborando a proposta metodológica adotada neste estudo. Diferentemente do desenvolvimento convencional de produtos cosméticos, cuja formulação geralmente é orientada por tendências de mercado, o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xml:space="preserve"> foi concebido a partir das necessidades expressas pelos próprios usuários, fortalecendo o princípio da inovação centrada nas pessoas.</w:t>
      </w:r>
    </w:p>
    <w:p w14:paraId="7CD90B8D" w14:textId="77777777" w:rsidR="00C335ED" w:rsidRPr="00F422C8" w:rsidRDefault="00C335ED" w:rsidP="00C335E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Na</w:t>
      </w:r>
      <w:r w:rsidRPr="00F422C8">
        <w:rPr>
          <w:rFonts w:ascii="Times New Roman" w:hAnsi="Times New Roman" w:cs="Times New Roman"/>
          <w:sz w:val="24"/>
          <w:szCs w:val="24"/>
        </w:rPr>
        <w:t xml:space="preserve"> perspectiva da </w:t>
      </w:r>
      <w:r w:rsidRPr="00F422C8">
        <w:rPr>
          <w:rFonts w:ascii="Times New Roman" w:hAnsi="Times New Roman" w:cs="Times New Roman"/>
          <w:b/>
          <w:bCs/>
          <w:sz w:val="24"/>
          <w:szCs w:val="24"/>
        </w:rPr>
        <w:t>Gestão do Conhecimento</w:t>
      </w:r>
      <w:r w:rsidRPr="00F422C8">
        <w:rPr>
          <w:rFonts w:ascii="Times New Roman" w:hAnsi="Times New Roman" w:cs="Times New Roman"/>
          <w:sz w:val="24"/>
          <w:szCs w:val="24"/>
        </w:rPr>
        <w:t xml:space="preserve">, esse resultado evidencia a efetividade do </w:t>
      </w:r>
      <w:r w:rsidRPr="00F422C8">
        <w:rPr>
          <w:rFonts w:ascii="Times New Roman" w:hAnsi="Times New Roman" w:cs="Times New Roman"/>
          <w:b/>
          <w:bCs/>
          <w:sz w:val="24"/>
          <w:szCs w:val="24"/>
        </w:rPr>
        <w:t>Fluxo Integrado de Desenvolvimento Tecnológico em Extensão Universitária (FIDTEU)</w:t>
      </w:r>
      <w:r w:rsidRPr="00F422C8">
        <w:rPr>
          <w:rFonts w:ascii="Times New Roman" w:hAnsi="Times New Roman" w:cs="Times New Roman"/>
          <w:sz w:val="24"/>
          <w:szCs w:val="24"/>
        </w:rPr>
        <w:t xml:space="preserve"> ao converter informações provenientes da comunidade em conhecimento científico aplicado. Segundo Nonaka e Takeuchi (1995), a criação do conhecimento ocorre por meio da interação contínua entre conhecimento tácito e explícito. No presente estudo, o conhecimento tácito manifestado pelas experiências dos idosos foi sistematizado, confrontado com evidências científicas e transformado em uma tecnologia validada, caracterizando um processo de inovação fundamentado na aprendizagem coletiva.</w:t>
      </w:r>
    </w:p>
    <w:p w14:paraId="2D9D1929"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Além do desenvolvimento tecnológico, a elevada aceitação do produto reforça a importância da participação comunitária em projetos extensionistas. A literatura demonstra que tecnologias desenvolvidas com envolvimento direto dos usuários apresentam maior aderência, maior aceitabilidade e maior potencial de incorporação às práticas de cuidado, uma vez que contemplam necessidades reais e expectativas da população atendida. Assim, o elevado índice de satisfação observado constitui não apenas um indicador da qualidade da formulação, mas também uma evidência da efetividade da abordagem participativa utilizada ao longo do desenvolvimento.</w:t>
      </w:r>
    </w:p>
    <w:p w14:paraId="7EDAF3F6" w14:textId="77777777" w:rsidR="00C335ED" w:rsidRDefault="00C335ED" w:rsidP="00C335ED">
      <w:pPr>
        <w:spacing w:line="360" w:lineRule="auto"/>
        <w:jc w:val="both"/>
        <w:rPr>
          <w:rFonts w:ascii="Times New Roman" w:hAnsi="Times New Roman" w:cs="Times New Roman"/>
          <w:b/>
          <w:bCs/>
          <w:sz w:val="24"/>
          <w:szCs w:val="24"/>
        </w:rPr>
      </w:pPr>
    </w:p>
    <w:p w14:paraId="30CE1BCE"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4.2 Avaliação dos atributos sensoriais</w:t>
      </w:r>
    </w:p>
    <w:p w14:paraId="6E0D75FD"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Os atributos relacionados à aparência, cor, odor e textura apresentaram elevados índices de aprovação entre os participantes. A cor e o odor foram considerados </w:t>
      </w:r>
      <w:r w:rsidRPr="00F422C8">
        <w:rPr>
          <w:rFonts w:ascii="Times New Roman" w:hAnsi="Times New Roman" w:cs="Times New Roman"/>
          <w:b/>
          <w:bCs/>
          <w:sz w:val="24"/>
          <w:szCs w:val="24"/>
        </w:rPr>
        <w:t>muito agradáveis</w:t>
      </w:r>
      <w:r w:rsidRPr="00F422C8">
        <w:rPr>
          <w:rFonts w:ascii="Times New Roman" w:hAnsi="Times New Roman" w:cs="Times New Roman"/>
          <w:sz w:val="24"/>
          <w:szCs w:val="24"/>
        </w:rPr>
        <w:t xml:space="preserve"> por 48,3% (n = 14) e </w:t>
      </w:r>
      <w:r w:rsidRPr="00F422C8">
        <w:rPr>
          <w:rFonts w:ascii="Times New Roman" w:hAnsi="Times New Roman" w:cs="Times New Roman"/>
          <w:b/>
          <w:bCs/>
          <w:sz w:val="24"/>
          <w:szCs w:val="24"/>
        </w:rPr>
        <w:t>agradáveis</w:t>
      </w:r>
      <w:r w:rsidRPr="00F422C8">
        <w:rPr>
          <w:rFonts w:ascii="Times New Roman" w:hAnsi="Times New Roman" w:cs="Times New Roman"/>
          <w:sz w:val="24"/>
          <w:szCs w:val="24"/>
        </w:rPr>
        <w:t xml:space="preserve"> por 51,7% (n = 15) dos avaliadores. Todos os participantes afirmaram que essas características eram compatíveis com um produto hidratante, evidenciando adequada identidade sensorial da formulação.</w:t>
      </w:r>
    </w:p>
    <w:p w14:paraId="1574680B"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lastRenderedPageBreak/>
        <w:t xml:space="preserve">Em relação à textura, 51,7% classificaram-na como </w:t>
      </w:r>
      <w:r w:rsidRPr="00F422C8">
        <w:rPr>
          <w:rFonts w:ascii="Times New Roman" w:hAnsi="Times New Roman" w:cs="Times New Roman"/>
          <w:b/>
          <w:bCs/>
          <w:sz w:val="24"/>
          <w:szCs w:val="24"/>
        </w:rPr>
        <w:t>muito agradável</w:t>
      </w:r>
      <w:r w:rsidRPr="00F422C8">
        <w:rPr>
          <w:rFonts w:ascii="Times New Roman" w:hAnsi="Times New Roman" w:cs="Times New Roman"/>
          <w:sz w:val="24"/>
          <w:szCs w:val="24"/>
        </w:rPr>
        <w:t xml:space="preserve">, enquanto 48,3% a consideraram </w:t>
      </w:r>
      <w:r w:rsidRPr="00F422C8">
        <w:rPr>
          <w:rFonts w:ascii="Times New Roman" w:hAnsi="Times New Roman" w:cs="Times New Roman"/>
          <w:b/>
          <w:bCs/>
          <w:sz w:val="24"/>
          <w:szCs w:val="24"/>
        </w:rPr>
        <w:t>agradável</w:t>
      </w:r>
      <w:r w:rsidRPr="00F422C8">
        <w:rPr>
          <w:rFonts w:ascii="Times New Roman" w:hAnsi="Times New Roman" w:cs="Times New Roman"/>
          <w:sz w:val="24"/>
          <w:szCs w:val="24"/>
        </w:rPr>
        <w:t>, não sendo registradas avaliações negativas (Tabela 2).</w:t>
      </w:r>
    </w:p>
    <w:p w14:paraId="2DC82EA9" w14:textId="77777777" w:rsidR="00C335ED" w:rsidRDefault="00C335ED" w:rsidP="00C335ED">
      <w:pPr>
        <w:spacing w:line="360" w:lineRule="auto"/>
        <w:jc w:val="both"/>
        <w:rPr>
          <w:rFonts w:ascii="Times New Roman" w:hAnsi="Times New Roman" w:cs="Times New Roman"/>
          <w:b/>
          <w:bCs/>
          <w:sz w:val="24"/>
          <w:szCs w:val="24"/>
        </w:rPr>
      </w:pPr>
    </w:p>
    <w:p w14:paraId="73B2D9DD"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Tabela 2 – Avaliação dos atributos sensoriais do gel-creme Derma Hydriss (n = 29)</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3671"/>
        <w:gridCol w:w="506"/>
        <w:gridCol w:w="4852"/>
      </w:tblGrid>
      <w:tr w:rsidR="00C335ED" w:rsidRPr="00F422C8" w14:paraId="660A3772" w14:textId="77777777" w:rsidTr="00517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3" w:type="pct"/>
            <w:tcBorders>
              <w:top w:val="single" w:sz="4" w:space="0" w:color="auto"/>
              <w:bottom w:val="single" w:sz="4" w:space="0" w:color="auto"/>
            </w:tcBorders>
            <w:hideMark/>
          </w:tcPr>
          <w:p w14:paraId="2F5CF6A3" w14:textId="77777777" w:rsidR="00C335ED" w:rsidRPr="00F422C8" w:rsidRDefault="00C335ED" w:rsidP="005173F1">
            <w:pPr>
              <w:spacing w:line="276" w:lineRule="auto"/>
              <w:jc w:val="both"/>
              <w:rPr>
                <w:rFonts w:ascii="Times New Roman" w:hAnsi="Times New Roman" w:cs="Times New Roman"/>
                <w:sz w:val="24"/>
                <w:szCs w:val="24"/>
              </w:rPr>
            </w:pPr>
            <w:r w:rsidRPr="00F422C8">
              <w:rPr>
                <w:rFonts w:ascii="Times New Roman" w:hAnsi="Times New Roman" w:cs="Times New Roman"/>
                <w:sz w:val="24"/>
                <w:szCs w:val="24"/>
              </w:rPr>
              <w:t>Variável</w:t>
            </w:r>
          </w:p>
        </w:tc>
        <w:tc>
          <w:tcPr>
            <w:tcW w:w="280" w:type="pct"/>
            <w:tcBorders>
              <w:top w:val="single" w:sz="4" w:space="0" w:color="auto"/>
              <w:bottom w:val="single" w:sz="4" w:space="0" w:color="auto"/>
            </w:tcBorders>
            <w:hideMark/>
          </w:tcPr>
          <w:p w14:paraId="1C6E8EBA"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n</w:t>
            </w:r>
          </w:p>
        </w:tc>
        <w:tc>
          <w:tcPr>
            <w:tcW w:w="2687" w:type="pct"/>
            <w:tcBorders>
              <w:top w:val="single" w:sz="4" w:space="0" w:color="auto"/>
              <w:bottom w:val="single" w:sz="4" w:space="0" w:color="auto"/>
            </w:tcBorders>
            <w:hideMark/>
          </w:tcPr>
          <w:p w14:paraId="5866424C"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Resultado</w:t>
            </w:r>
          </w:p>
        </w:tc>
      </w:tr>
      <w:tr w:rsidR="00C335ED" w:rsidRPr="00F422C8" w14:paraId="7ADAD895"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3" w:type="pct"/>
            <w:tcBorders>
              <w:top w:val="single" w:sz="4" w:space="0" w:color="auto"/>
              <w:bottom w:val="none" w:sz="0" w:space="0" w:color="auto"/>
            </w:tcBorders>
            <w:hideMark/>
          </w:tcPr>
          <w:p w14:paraId="30FE0873" w14:textId="77777777" w:rsidR="00C335ED" w:rsidRPr="0099144E" w:rsidRDefault="00C335ED" w:rsidP="005173F1">
            <w:pPr>
              <w:spacing w:line="276" w:lineRule="auto"/>
              <w:jc w:val="both"/>
              <w:rPr>
                <w:rFonts w:ascii="Times New Roman" w:hAnsi="Times New Roman" w:cs="Times New Roman"/>
                <w:b w:val="0"/>
                <w:bCs w:val="0"/>
                <w:sz w:val="24"/>
                <w:szCs w:val="24"/>
              </w:rPr>
            </w:pPr>
            <w:r w:rsidRPr="0099144E">
              <w:rPr>
                <w:rFonts w:ascii="Times New Roman" w:hAnsi="Times New Roman" w:cs="Times New Roman"/>
                <w:b w:val="0"/>
                <w:bCs w:val="0"/>
                <w:sz w:val="24"/>
                <w:szCs w:val="24"/>
              </w:rPr>
              <w:t>Cor e odor</w:t>
            </w:r>
          </w:p>
        </w:tc>
        <w:tc>
          <w:tcPr>
            <w:tcW w:w="280" w:type="pct"/>
            <w:tcBorders>
              <w:top w:val="single" w:sz="4" w:space="0" w:color="auto"/>
              <w:bottom w:val="none" w:sz="0" w:space="0" w:color="auto"/>
            </w:tcBorders>
            <w:hideMark/>
          </w:tcPr>
          <w:p w14:paraId="1C96FD2B"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29</w:t>
            </w:r>
          </w:p>
        </w:tc>
        <w:tc>
          <w:tcPr>
            <w:tcW w:w="2687" w:type="pct"/>
            <w:tcBorders>
              <w:top w:val="single" w:sz="4" w:space="0" w:color="auto"/>
              <w:bottom w:val="none" w:sz="0" w:space="0" w:color="auto"/>
            </w:tcBorders>
            <w:hideMark/>
          </w:tcPr>
          <w:p w14:paraId="677B28D8"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48,3% muito agradáveis; 51,7% agradáveis</w:t>
            </w:r>
          </w:p>
        </w:tc>
      </w:tr>
      <w:tr w:rsidR="00C335ED" w:rsidRPr="00F422C8" w14:paraId="49C87F88" w14:textId="77777777" w:rsidTr="005173F1">
        <w:tc>
          <w:tcPr>
            <w:cnfStyle w:val="001000000000" w:firstRow="0" w:lastRow="0" w:firstColumn="1" w:lastColumn="0" w:oddVBand="0" w:evenVBand="0" w:oddHBand="0" w:evenHBand="0" w:firstRowFirstColumn="0" w:firstRowLastColumn="0" w:lastRowFirstColumn="0" w:lastRowLastColumn="0"/>
            <w:tcW w:w="2033" w:type="pct"/>
            <w:hideMark/>
          </w:tcPr>
          <w:p w14:paraId="38B3BE78" w14:textId="77777777" w:rsidR="00C335ED" w:rsidRPr="0099144E" w:rsidRDefault="00C335ED" w:rsidP="005173F1">
            <w:pPr>
              <w:spacing w:line="276" w:lineRule="auto"/>
              <w:jc w:val="both"/>
              <w:rPr>
                <w:rFonts w:ascii="Times New Roman" w:hAnsi="Times New Roman" w:cs="Times New Roman"/>
                <w:b w:val="0"/>
                <w:bCs w:val="0"/>
                <w:sz w:val="24"/>
                <w:szCs w:val="24"/>
              </w:rPr>
            </w:pPr>
            <w:r w:rsidRPr="0099144E">
              <w:rPr>
                <w:rFonts w:ascii="Times New Roman" w:hAnsi="Times New Roman" w:cs="Times New Roman"/>
                <w:b w:val="0"/>
                <w:bCs w:val="0"/>
                <w:sz w:val="24"/>
                <w:szCs w:val="24"/>
              </w:rPr>
              <w:t>Compatibilidade com hidratante</w:t>
            </w:r>
          </w:p>
        </w:tc>
        <w:tc>
          <w:tcPr>
            <w:tcW w:w="280" w:type="pct"/>
            <w:hideMark/>
          </w:tcPr>
          <w:p w14:paraId="629EE2A0"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29</w:t>
            </w:r>
          </w:p>
        </w:tc>
        <w:tc>
          <w:tcPr>
            <w:tcW w:w="2687" w:type="pct"/>
            <w:hideMark/>
          </w:tcPr>
          <w:p w14:paraId="0468F696"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100% sim</w:t>
            </w:r>
          </w:p>
        </w:tc>
      </w:tr>
      <w:tr w:rsidR="00C335ED" w:rsidRPr="00F422C8" w14:paraId="7C13B4E9"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3" w:type="pct"/>
            <w:tcBorders>
              <w:top w:val="none" w:sz="0" w:space="0" w:color="auto"/>
              <w:bottom w:val="single" w:sz="4" w:space="0" w:color="auto"/>
            </w:tcBorders>
            <w:hideMark/>
          </w:tcPr>
          <w:p w14:paraId="2BD1503C" w14:textId="77777777" w:rsidR="00C335ED" w:rsidRPr="0099144E" w:rsidRDefault="00C335ED" w:rsidP="005173F1">
            <w:pPr>
              <w:spacing w:line="276" w:lineRule="auto"/>
              <w:jc w:val="both"/>
              <w:rPr>
                <w:rFonts w:ascii="Times New Roman" w:hAnsi="Times New Roman" w:cs="Times New Roman"/>
                <w:b w:val="0"/>
                <w:bCs w:val="0"/>
                <w:sz w:val="24"/>
                <w:szCs w:val="24"/>
              </w:rPr>
            </w:pPr>
            <w:r w:rsidRPr="0099144E">
              <w:rPr>
                <w:rFonts w:ascii="Times New Roman" w:hAnsi="Times New Roman" w:cs="Times New Roman"/>
                <w:b w:val="0"/>
                <w:bCs w:val="0"/>
                <w:sz w:val="24"/>
                <w:szCs w:val="24"/>
              </w:rPr>
              <w:t>Textura</w:t>
            </w:r>
          </w:p>
        </w:tc>
        <w:tc>
          <w:tcPr>
            <w:tcW w:w="280" w:type="pct"/>
            <w:tcBorders>
              <w:top w:val="none" w:sz="0" w:space="0" w:color="auto"/>
              <w:bottom w:val="single" w:sz="4" w:space="0" w:color="auto"/>
            </w:tcBorders>
            <w:hideMark/>
          </w:tcPr>
          <w:p w14:paraId="17FFE0BF"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29</w:t>
            </w:r>
          </w:p>
        </w:tc>
        <w:tc>
          <w:tcPr>
            <w:tcW w:w="2687" w:type="pct"/>
            <w:tcBorders>
              <w:top w:val="none" w:sz="0" w:space="0" w:color="auto"/>
              <w:bottom w:val="single" w:sz="4" w:space="0" w:color="auto"/>
            </w:tcBorders>
            <w:hideMark/>
          </w:tcPr>
          <w:p w14:paraId="4E5DB5C9"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51,7% muito agradável; 48,3% agradável</w:t>
            </w:r>
          </w:p>
        </w:tc>
      </w:tr>
    </w:tbl>
    <w:p w14:paraId="1B104722" w14:textId="77777777" w:rsidR="00C335ED" w:rsidRPr="00F422C8"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b/>
          <w:bCs/>
          <w:sz w:val="24"/>
          <w:szCs w:val="24"/>
        </w:rPr>
        <w:t>Fonte:</w:t>
      </w:r>
      <w:r w:rsidRPr="00F422C8">
        <w:rPr>
          <w:rFonts w:ascii="Times New Roman" w:hAnsi="Times New Roman" w:cs="Times New Roman"/>
          <w:sz w:val="24"/>
          <w:szCs w:val="24"/>
        </w:rPr>
        <w:t xml:space="preserve"> Dados da pesquisa (2026).</w:t>
      </w:r>
    </w:p>
    <w:p w14:paraId="5A8599D3" w14:textId="77777777" w:rsidR="00C335ED" w:rsidRDefault="00C335ED" w:rsidP="00C335ED">
      <w:pPr>
        <w:spacing w:line="360" w:lineRule="auto"/>
        <w:jc w:val="both"/>
        <w:rPr>
          <w:rFonts w:ascii="Times New Roman" w:hAnsi="Times New Roman" w:cs="Times New Roman"/>
          <w:b/>
          <w:bCs/>
          <w:sz w:val="24"/>
          <w:szCs w:val="24"/>
        </w:rPr>
      </w:pPr>
    </w:p>
    <w:p w14:paraId="526B0F83"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As propriedades sensoriais representam um dos principais determinantes da aceitação e da adesão ao uso contínuo de produtos cosméticos. Formulações destinadas ao cuidado da pele envelhecida devem apresentar características que favoreçam conforto durante a aplicação, rápida adaptação à rotina de autocuidado e percepção imediata de bem-estar.</w:t>
      </w:r>
    </w:p>
    <w:p w14:paraId="703F08F3"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A elevada aprovação observada neste estudo sugere que a escolha da forma farmacêutica </w:t>
      </w:r>
      <w:r w:rsidRPr="00F422C8">
        <w:rPr>
          <w:rFonts w:ascii="Times New Roman" w:hAnsi="Times New Roman" w:cs="Times New Roman"/>
          <w:b/>
          <w:bCs/>
          <w:sz w:val="24"/>
          <w:szCs w:val="24"/>
        </w:rPr>
        <w:t>gel-creme</w:t>
      </w:r>
      <w:r w:rsidRPr="00F422C8">
        <w:rPr>
          <w:rFonts w:ascii="Times New Roman" w:hAnsi="Times New Roman" w:cs="Times New Roman"/>
          <w:sz w:val="24"/>
          <w:szCs w:val="24"/>
        </w:rPr>
        <w:t xml:space="preserve"> foi adequada para atender às necessidades da população-alvo. Essa forma farmacêutica reúne características desejáveis tanto de géis quanto de emulsões, proporcionando boa espalhabilidade, sensação de leveza e rápida absorção, sem comprometer a capacidade hidratante da formulação. Essas propriedades tornam o gel-creme especialmente indicado para peles envelhecidas, que frequentemente apresentam comprometimento da função barreira, redução da hidratação natural e maior sensibilidade cutânea.</w:t>
      </w:r>
    </w:p>
    <w:p w14:paraId="3D4755DA"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A percepção positiva da textura também pode ser relacionada à seleção criteriosa dos componentes da formulação. A utilização de uma base gel-creme associada a ativos umectantes e calmantes favoreceu uma experiência sensorial agradável, aspecto amplamente reconhecido como fator determinante para a adesão aos tratamentos cosméticos. Estudos sobre desenvolvimento de dermocosméticos demonstram que atributos como textura, espalhabilidade e sensação após a aplicação influenciam diretamente a intenção de uso contínuo, independentemente da eficácia clínica percebida.</w:t>
      </w:r>
    </w:p>
    <w:p w14:paraId="74B56488"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Sob a perspectiva da Gestão do Conhecimento, esses resultados reforçam a importância da etapa de validação junto aos usuários prevista no </w:t>
      </w:r>
      <w:r w:rsidRPr="00F422C8">
        <w:rPr>
          <w:rFonts w:ascii="Times New Roman" w:hAnsi="Times New Roman" w:cs="Times New Roman"/>
          <w:b/>
          <w:bCs/>
          <w:sz w:val="24"/>
          <w:szCs w:val="24"/>
        </w:rPr>
        <w:t>FIDTEU</w:t>
      </w:r>
      <w:r w:rsidRPr="00F422C8">
        <w:rPr>
          <w:rFonts w:ascii="Times New Roman" w:hAnsi="Times New Roman" w:cs="Times New Roman"/>
          <w:sz w:val="24"/>
          <w:szCs w:val="24"/>
        </w:rPr>
        <w:t xml:space="preserve">. A avaliação sensorial não constituiu apenas um procedimento de aceitação do produto, mas uma etapa de retroalimentação do processo de inovação, permitindo confirmar que as decisões tomadas durante o desenvolvimento farmacotécnico atenderam às expectativas da comunidade. </w:t>
      </w:r>
      <w:r>
        <w:rPr>
          <w:rFonts w:ascii="Times New Roman" w:hAnsi="Times New Roman" w:cs="Times New Roman"/>
          <w:sz w:val="24"/>
          <w:szCs w:val="24"/>
        </w:rPr>
        <w:t>Sob esse enfoque</w:t>
      </w:r>
      <w:r w:rsidRPr="00F422C8">
        <w:rPr>
          <w:rFonts w:ascii="Times New Roman" w:hAnsi="Times New Roman" w:cs="Times New Roman"/>
          <w:sz w:val="24"/>
          <w:szCs w:val="24"/>
        </w:rPr>
        <w:t xml:space="preserve">, o conhecimento gerado durante a validação retorna ao ciclo de desenvolvimento, </w:t>
      </w:r>
      <w:r w:rsidRPr="00F422C8">
        <w:rPr>
          <w:rFonts w:ascii="Times New Roman" w:hAnsi="Times New Roman" w:cs="Times New Roman"/>
          <w:sz w:val="24"/>
          <w:szCs w:val="24"/>
        </w:rPr>
        <w:lastRenderedPageBreak/>
        <w:t>contribuindo para o aperfeiçoamento contínuo da tecnologia e consolidando um processo dinâmico de criação e aplicação do conhecimento.</w:t>
      </w:r>
    </w:p>
    <w:p w14:paraId="6DDEBB87" w14:textId="77777777" w:rsidR="00C335ED" w:rsidRDefault="00C335ED" w:rsidP="00C335ED">
      <w:pPr>
        <w:spacing w:line="360" w:lineRule="auto"/>
        <w:jc w:val="both"/>
        <w:rPr>
          <w:rFonts w:ascii="Times New Roman" w:hAnsi="Times New Roman" w:cs="Times New Roman"/>
          <w:b/>
          <w:bCs/>
          <w:sz w:val="24"/>
          <w:szCs w:val="24"/>
        </w:rPr>
      </w:pPr>
    </w:p>
    <w:p w14:paraId="14CD0948"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4.3 Desempenho tecnológico da formulação</w:t>
      </w:r>
    </w:p>
    <w:p w14:paraId="18E9BD8A"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Além da avaliação sensorial, foram investigadas características relacionadas ao desempenho tecnológico do gel-creme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considerando parâmetros que influenciam diretamente a aceitabilidade, a facilidade de aplicação e a experiência de uso. Foram avaliadas a consistência da formulação, a espalhabilidade e a velocidade de absorção, atributos essenciais para produtos destinados ao cuidado da pele envelhecida.</w:t>
      </w:r>
    </w:p>
    <w:p w14:paraId="5A191B51" w14:textId="77777777" w:rsidR="00C335ED"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A consistência foi considerada </w:t>
      </w:r>
      <w:r w:rsidRPr="00F422C8">
        <w:rPr>
          <w:rFonts w:ascii="Times New Roman" w:hAnsi="Times New Roman" w:cs="Times New Roman"/>
          <w:b/>
          <w:bCs/>
          <w:sz w:val="24"/>
          <w:szCs w:val="24"/>
        </w:rPr>
        <w:t>ideal por 79,3%</w:t>
      </w:r>
      <w:r w:rsidRPr="00F422C8">
        <w:rPr>
          <w:rFonts w:ascii="Times New Roman" w:hAnsi="Times New Roman" w:cs="Times New Roman"/>
          <w:sz w:val="24"/>
          <w:szCs w:val="24"/>
        </w:rPr>
        <w:t xml:space="preserve"> (n = 23) dos participantes, enquanto apenas 20,7% classific</w:t>
      </w:r>
      <w:r>
        <w:rPr>
          <w:rFonts w:ascii="Times New Roman" w:hAnsi="Times New Roman" w:cs="Times New Roman"/>
          <w:sz w:val="24"/>
          <w:szCs w:val="24"/>
        </w:rPr>
        <w:t>aram</w:t>
      </w:r>
      <w:r w:rsidRPr="00F422C8">
        <w:rPr>
          <w:rFonts w:ascii="Times New Roman" w:hAnsi="Times New Roman" w:cs="Times New Roman"/>
          <w:sz w:val="24"/>
          <w:szCs w:val="24"/>
        </w:rPr>
        <w:t xml:space="preserve"> a formulação como espessa, fluida ou muito fluida. A espalhabilidade apresentou elevado desempenho, sendo classificada como </w:t>
      </w:r>
      <w:r w:rsidRPr="00F422C8">
        <w:rPr>
          <w:rFonts w:ascii="Times New Roman" w:hAnsi="Times New Roman" w:cs="Times New Roman"/>
          <w:b/>
          <w:bCs/>
          <w:sz w:val="24"/>
          <w:szCs w:val="24"/>
        </w:rPr>
        <w:t>excelente por 72,4%</w:t>
      </w:r>
      <w:r w:rsidRPr="00F422C8">
        <w:rPr>
          <w:rFonts w:ascii="Times New Roman" w:hAnsi="Times New Roman" w:cs="Times New Roman"/>
          <w:sz w:val="24"/>
          <w:szCs w:val="24"/>
        </w:rPr>
        <w:t xml:space="preserve"> (n = 21) e </w:t>
      </w:r>
      <w:r w:rsidRPr="00F422C8">
        <w:rPr>
          <w:rFonts w:ascii="Times New Roman" w:hAnsi="Times New Roman" w:cs="Times New Roman"/>
          <w:b/>
          <w:bCs/>
          <w:sz w:val="24"/>
          <w:szCs w:val="24"/>
        </w:rPr>
        <w:t>boa por 27,6%</w:t>
      </w:r>
      <w:r w:rsidRPr="00F422C8">
        <w:rPr>
          <w:rFonts w:ascii="Times New Roman" w:hAnsi="Times New Roman" w:cs="Times New Roman"/>
          <w:sz w:val="24"/>
          <w:szCs w:val="24"/>
        </w:rPr>
        <w:t xml:space="preserve"> (n = 8). Quanto à absorção, </w:t>
      </w:r>
      <w:r w:rsidRPr="00F422C8">
        <w:rPr>
          <w:rFonts w:ascii="Times New Roman" w:hAnsi="Times New Roman" w:cs="Times New Roman"/>
          <w:b/>
          <w:bCs/>
          <w:sz w:val="24"/>
          <w:szCs w:val="24"/>
        </w:rPr>
        <w:t>34,5%</w:t>
      </w:r>
      <w:r w:rsidRPr="00F422C8">
        <w:rPr>
          <w:rFonts w:ascii="Times New Roman" w:hAnsi="Times New Roman" w:cs="Times New Roman"/>
          <w:sz w:val="24"/>
          <w:szCs w:val="24"/>
        </w:rPr>
        <w:t xml:space="preserve"> (n = 10) relataram absorção muito rápida, </w:t>
      </w:r>
      <w:r w:rsidRPr="00F422C8">
        <w:rPr>
          <w:rFonts w:ascii="Times New Roman" w:hAnsi="Times New Roman" w:cs="Times New Roman"/>
          <w:b/>
          <w:bCs/>
          <w:sz w:val="24"/>
          <w:szCs w:val="24"/>
        </w:rPr>
        <w:t>41,4%</w:t>
      </w:r>
      <w:r w:rsidRPr="00F422C8">
        <w:rPr>
          <w:rFonts w:ascii="Times New Roman" w:hAnsi="Times New Roman" w:cs="Times New Roman"/>
          <w:sz w:val="24"/>
          <w:szCs w:val="24"/>
        </w:rPr>
        <w:t xml:space="preserve"> (n = 12) rápida e </w:t>
      </w:r>
      <w:r w:rsidRPr="00F422C8">
        <w:rPr>
          <w:rFonts w:ascii="Times New Roman" w:hAnsi="Times New Roman" w:cs="Times New Roman"/>
          <w:b/>
          <w:bCs/>
          <w:sz w:val="24"/>
          <w:szCs w:val="24"/>
        </w:rPr>
        <w:t>24,1%</w:t>
      </w:r>
      <w:r w:rsidRPr="00F422C8">
        <w:rPr>
          <w:rFonts w:ascii="Times New Roman" w:hAnsi="Times New Roman" w:cs="Times New Roman"/>
          <w:sz w:val="24"/>
          <w:szCs w:val="24"/>
        </w:rPr>
        <w:t xml:space="preserve"> (n = 7) adequada, não sendo observadas avaliações que indicassem absorção lenta (Tabela 3).</w:t>
      </w:r>
    </w:p>
    <w:p w14:paraId="1039D782" w14:textId="77777777" w:rsidR="00C335ED" w:rsidRPr="00F422C8" w:rsidRDefault="00C335ED" w:rsidP="00C335ED">
      <w:pPr>
        <w:spacing w:line="360" w:lineRule="auto"/>
        <w:jc w:val="both"/>
        <w:rPr>
          <w:rFonts w:ascii="Times New Roman" w:hAnsi="Times New Roman" w:cs="Times New Roman"/>
          <w:sz w:val="24"/>
          <w:szCs w:val="24"/>
        </w:rPr>
      </w:pPr>
    </w:p>
    <w:p w14:paraId="160D4AFB"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Tabela 3 – Avaliação do desempenho tecnológico do gel-creme Derma Hydriss quanto à consistência, espalhabilidade e velocidade de absorção (n = 29)</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4450"/>
        <w:gridCol w:w="2622"/>
        <w:gridCol w:w="818"/>
        <w:gridCol w:w="1139"/>
      </w:tblGrid>
      <w:tr w:rsidR="00C335ED" w:rsidRPr="00F422C8" w14:paraId="24EBD20F" w14:textId="77777777" w:rsidTr="00517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Borders>
              <w:top w:val="single" w:sz="4" w:space="0" w:color="auto"/>
              <w:bottom w:val="single" w:sz="4" w:space="0" w:color="auto"/>
            </w:tcBorders>
            <w:hideMark/>
          </w:tcPr>
          <w:p w14:paraId="17022DDE" w14:textId="77777777" w:rsidR="00C335ED" w:rsidRPr="00F422C8" w:rsidRDefault="00C335ED" w:rsidP="005173F1">
            <w:pPr>
              <w:spacing w:line="276" w:lineRule="auto"/>
              <w:jc w:val="both"/>
              <w:rPr>
                <w:rFonts w:ascii="Times New Roman" w:hAnsi="Times New Roman" w:cs="Times New Roman"/>
                <w:sz w:val="24"/>
                <w:szCs w:val="24"/>
              </w:rPr>
            </w:pPr>
            <w:r w:rsidRPr="00F422C8">
              <w:rPr>
                <w:rFonts w:ascii="Times New Roman" w:hAnsi="Times New Roman" w:cs="Times New Roman"/>
                <w:sz w:val="24"/>
                <w:szCs w:val="24"/>
              </w:rPr>
              <w:t>Variável</w:t>
            </w:r>
          </w:p>
        </w:tc>
        <w:tc>
          <w:tcPr>
            <w:tcW w:w="1452" w:type="pct"/>
            <w:tcBorders>
              <w:top w:val="single" w:sz="4" w:space="0" w:color="auto"/>
              <w:bottom w:val="single" w:sz="4" w:space="0" w:color="auto"/>
            </w:tcBorders>
            <w:hideMark/>
          </w:tcPr>
          <w:p w14:paraId="49A65758"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Categoria</w:t>
            </w:r>
          </w:p>
        </w:tc>
        <w:tc>
          <w:tcPr>
            <w:tcW w:w="453" w:type="pct"/>
            <w:tcBorders>
              <w:top w:val="single" w:sz="4" w:space="0" w:color="auto"/>
              <w:bottom w:val="single" w:sz="4" w:space="0" w:color="auto"/>
            </w:tcBorders>
            <w:hideMark/>
          </w:tcPr>
          <w:p w14:paraId="0D719F91"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n</w:t>
            </w:r>
          </w:p>
        </w:tc>
        <w:tc>
          <w:tcPr>
            <w:tcW w:w="631" w:type="pct"/>
            <w:tcBorders>
              <w:top w:val="single" w:sz="4" w:space="0" w:color="auto"/>
              <w:bottom w:val="single" w:sz="4" w:space="0" w:color="auto"/>
            </w:tcBorders>
            <w:hideMark/>
          </w:tcPr>
          <w:p w14:paraId="5B0333EC"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w:t>
            </w:r>
          </w:p>
        </w:tc>
      </w:tr>
      <w:tr w:rsidR="00C335ED" w:rsidRPr="00F422C8" w14:paraId="0E554AC6"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Borders>
              <w:top w:val="single" w:sz="4" w:space="0" w:color="auto"/>
              <w:bottom w:val="none" w:sz="0" w:space="0" w:color="auto"/>
            </w:tcBorders>
            <w:hideMark/>
          </w:tcPr>
          <w:p w14:paraId="05E63D74" w14:textId="77777777" w:rsidR="00C335ED" w:rsidRPr="005A2DED" w:rsidRDefault="00C335ED" w:rsidP="005173F1">
            <w:pPr>
              <w:spacing w:line="276" w:lineRule="auto"/>
              <w:jc w:val="both"/>
              <w:rPr>
                <w:rFonts w:ascii="Times New Roman" w:hAnsi="Times New Roman" w:cs="Times New Roman"/>
                <w:b w:val="0"/>
                <w:bCs w:val="0"/>
                <w:sz w:val="24"/>
                <w:szCs w:val="24"/>
              </w:rPr>
            </w:pPr>
            <w:r w:rsidRPr="005A2DED">
              <w:rPr>
                <w:rFonts w:ascii="Times New Roman" w:hAnsi="Times New Roman" w:cs="Times New Roman"/>
                <w:b w:val="0"/>
                <w:bCs w:val="0"/>
                <w:sz w:val="24"/>
                <w:szCs w:val="24"/>
              </w:rPr>
              <w:t>Consistência</w:t>
            </w:r>
          </w:p>
        </w:tc>
        <w:tc>
          <w:tcPr>
            <w:tcW w:w="1452" w:type="pct"/>
            <w:tcBorders>
              <w:top w:val="single" w:sz="4" w:space="0" w:color="auto"/>
              <w:bottom w:val="none" w:sz="0" w:space="0" w:color="auto"/>
            </w:tcBorders>
            <w:hideMark/>
          </w:tcPr>
          <w:p w14:paraId="6CD040DD"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Ideal</w:t>
            </w:r>
          </w:p>
        </w:tc>
        <w:tc>
          <w:tcPr>
            <w:tcW w:w="453" w:type="pct"/>
            <w:tcBorders>
              <w:top w:val="single" w:sz="4" w:space="0" w:color="auto"/>
              <w:bottom w:val="none" w:sz="0" w:space="0" w:color="auto"/>
            </w:tcBorders>
            <w:hideMark/>
          </w:tcPr>
          <w:p w14:paraId="0C554132"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23</w:t>
            </w:r>
          </w:p>
        </w:tc>
        <w:tc>
          <w:tcPr>
            <w:tcW w:w="631" w:type="pct"/>
            <w:tcBorders>
              <w:top w:val="single" w:sz="4" w:space="0" w:color="auto"/>
              <w:bottom w:val="none" w:sz="0" w:space="0" w:color="auto"/>
            </w:tcBorders>
            <w:hideMark/>
          </w:tcPr>
          <w:p w14:paraId="3DB2C5A6"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79,3</w:t>
            </w:r>
          </w:p>
        </w:tc>
      </w:tr>
      <w:tr w:rsidR="00C335ED" w:rsidRPr="00F422C8" w14:paraId="53A863BA" w14:textId="77777777" w:rsidTr="005173F1">
        <w:tc>
          <w:tcPr>
            <w:cnfStyle w:val="001000000000" w:firstRow="0" w:lastRow="0" w:firstColumn="1" w:lastColumn="0" w:oddVBand="0" w:evenVBand="0" w:oddHBand="0" w:evenHBand="0" w:firstRowFirstColumn="0" w:firstRowLastColumn="0" w:lastRowFirstColumn="0" w:lastRowLastColumn="0"/>
            <w:tcW w:w="2464" w:type="pct"/>
            <w:hideMark/>
          </w:tcPr>
          <w:p w14:paraId="79223CC2" w14:textId="77777777" w:rsidR="00C335ED" w:rsidRPr="005A2DED" w:rsidRDefault="00C335ED" w:rsidP="005173F1">
            <w:pPr>
              <w:spacing w:line="276" w:lineRule="auto"/>
              <w:jc w:val="both"/>
              <w:rPr>
                <w:rFonts w:ascii="Times New Roman" w:hAnsi="Times New Roman" w:cs="Times New Roman"/>
                <w:b w:val="0"/>
                <w:bCs w:val="0"/>
                <w:sz w:val="24"/>
                <w:szCs w:val="24"/>
              </w:rPr>
            </w:pPr>
          </w:p>
        </w:tc>
        <w:tc>
          <w:tcPr>
            <w:tcW w:w="1452" w:type="pct"/>
            <w:hideMark/>
          </w:tcPr>
          <w:p w14:paraId="3181CC79"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Espessa</w:t>
            </w:r>
          </w:p>
        </w:tc>
        <w:tc>
          <w:tcPr>
            <w:tcW w:w="453" w:type="pct"/>
            <w:hideMark/>
          </w:tcPr>
          <w:p w14:paraId="5B8E0A4F"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w:t>
            </w:r>
          </w:p>
        </w:tc>
        <w:tc>
          <w:tcPr>
            <w:tcW w:w="631" w:type="pct"/>
            <w:hideMark/>
          </w:tcPr>
          <w:p w14:paraId="732E560F"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3,5</w:t>
            </w:r>
          </w:p>
        </w:tc>
      </w:tr>
      <w:tr w:rsidR="00C335ED" w:rsidRPr="00F422C8" w14:paraId="078B5681"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Borders>
              <w:top w:val="none" w:sz="0" w:space="0" w:color="auto"/>
              <w:bottom w:val="none" w:sz="0" w:space="0" w:color="auto"/>
            </w:tcBorders>
            <w:hideMark/>
          </w:tcPr>
          <w:p w14:paraId="7E06AE28" w14:textId="77777777" w:rsidR="00C335ED" w:rsidRPr="005A2DED" w:rsidRDefault="00C335ED" w:rsidP="005173F1">
            <w:pPr>
              <w:spacing w:line="276" w:lineRule="auto"/>
              <w:jc w:val="both"/>
              <w:rPr>
                <w:rFonts w:ascii="Times New Roman" w:hAnsi="Times New Roman" w:cs="Times New Roman"/>
                <w:b w:val="0"/>
                <w:bCs w:val="0"/>
                <w:sz w:val="24"/>
                <w:szCs w:val="24"/>
              </w:rPr>
            </w:pPr>
          </w:p>
        </w:tc>
        <w:tc>
          <w:tcPr>
            <w:tcW w:w="1452" w:type="pct"/>
            <w:tcBorders>
              <w:top w:val="none" w:sz="0" w:space="0" w:color="auto"/>
              <w:bottom w:val="none" w:sz="0" w:space="0" w:color="auto"/>
            </w:tcBorders>
            <w:hideMark/>
          </w:tcPr>
          <w:p w14:paraId="615441B2"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Fluida</w:t>
            </w:r>
          </w:p>
        </w:tc>
        <w:tc>
          <w:tcPr>
            <w:tcW w:w="453" w:type="pct"/>
            <w:tcBorders>
              <w:top w:val="none" w:sz="0" w:space="0" w:color="auto"/>
              <w:bottom w:val="none" w:sz="0" w:space="0" w:color="auto"/>
            </w:tcBorders>
            <w:hideMark/>
          </w:tcPr>
          <w:p w14:paraId="78692B98"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3</w:t>
            </w:r>
          </w:p>
        </w:tc>
        <w:tc>
          <w:tcPr>
            <w:tcW w:w="631" w:type="pct"/>
            <w:tcBorders>
              <w:top w:val="none" w:sz="0" w:space="0" w:color="auto"/>
              <w:bottom w:val="none" w:sz="0" w:space="0" w:color="auto"/>
            </w:tcBorders>
            <w:hideMark/>
          </w:tcPr>
          <w:p w14:paraId="75BA4F91"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10,3</w:t>
            </w:r>
          </w:p>
        </w:tc>
      </w:tr>
      <w:tr w:rsidR="00C335ED" w:rsidRPr="00F422C8" w14:paraId="580F36DD" w14:textId="77777777" w:rsidTr="005173F1">
        <w:tc>
          <w:tcPr>
            <w:cnfStyle w:val="001000000000" w:firstRow="0" w:lastRow="0" w:firstColumn="1" w:lastColumn="0" w:oddVBand="0" w:evenVBand="0" w:oddHBand="0" w:evenHBand="0" w:firstRowFirstColumn="0" w:firstRowLastColumn="0" w:lastRowFirstColumn="0" w:lastRowLastColumn="0"/>
            <w:tcW w:w="2464" w:type="pct"/>
            <w:hideMark/>
          </w:tcPr>
          <w:p w14:paraId="07824AD7" w14:textId="77777777" w:rsidR="00C335ED" w:rsidRPr="005A2DED" w:rsidRDefault="00C335ED" w:rsidP="005173F1">
            <w:pPr>
              <w:spacing w:line="276" w:lineRule="auto"/>
              <w:jc w:val="both"/>
              <w:rPr>
                <w:rFonts w:ascii="Times New Roman" w:hAnsi="Times New Roman" w:cs="Times New Roman"/>
                <w:b w:val="0"/>
                <w:bCs w:val="0"/>
                <w:sz w:val="24"/>
                <w:szCs w:val="24"/>
              </w:rPr>
            </w:pPr>
          </w:p>
        </w:tc>
        <w:tc>
          <w:tcPr>
            <w:tcW w:w="1452" w:type="pct"/>
            <w:hideMark/>
          </w:tcPr>
          <w:p w14:paraId="2C7DC185"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Muito fluida</w:t>
            </w:r>
          </w:p>
        </w:tc>
        <w:tc>
          <w:tcPr>
            <w:tcW w:w="453" w:type="pct"/>
            <w:hideMark/>
          </w:tcPr>
          <w:p w14:paraId="6F75D39F"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w:t>
            </w:r>
          </w:p>
        </w:tc>
        <w:tc>
          <w:tcPr>
            <w:tcW w:w="631" w:type="pct"/>
            <w:hideMark/>
          </w:tcPr>
          <w:p w14:paraId="16445F78"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6,9</w:t>
            </w:r>
          </w:p>
        </w:tc>
      </w:tr>
      <w:tr w:rsidR="00C335ED" w:rsidRPr="00F422C8" w14:paraId="3FFF41AE"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Borders>
              <w:top w:val="none" w:sz="0" w:space="0" w:color="auto"/>
              <w:bottom w:val="none" w:sz="0" w:space="0" w:color="auto"/>
            </w:tcBorders>
            <w:hideMark/>
          </w:tcPr>
          <w:p w14:paraId="5AB8A5EF" w14:textId="77777777" w:rsidR="00C335ED" w:rsidRPr="005A2DED" w:rsidRDefault="00C335ED" w:rsidP="005173F1">
            <w:pPr>
              <w:spacing w:line="276" w:lineRule="auto"/>
              <w:jc w:val="both"/>
              <w:rPr>
                <w:rFonts w:ascii="Times New Roman" w:hAnsi="Times New Roman" w:cs="Times New Roman"/>
                <w:b w:val="0"/>
                <w:bCs w:val="0"/>
                <w:sz w:val="24"/>
                <w:szCs w:val="24"/>
              </w:rPr>
            </w:pPr>
            <w:r w:rsidRPr="005A2DED">
              <w:rPr>
                <w:rFonts w:ascii="Times New Roman" w:hAnsi="Times New Roman" w:cs="Times New Roman"/>
                <w:b w:val="0"/>
                <w:bCs w:val="0"/>
                <w:sz w:val="24"/>
                <w:szCs w:val="24"/>
              </w:rPr>
              <w:t>Espalhabilidade</w:t>
            </w:r>
          </w:p>
        </w:tc>
        <w:tc>
          <w:tcPr>
            <w:tcW w:w="1452" w:type="pct"/>
            <w:tcBorders>
              <w:top w:val="none" w:sz="0" w:space="0" w:color="auto"/>
              <w:bottom w:val="none" w:sz="0" w:space="0" w:color="auto"/>
            </w:tcBorders>
            <w:hideMark/>
          </w:tcPr>
          <w:p w14:paraId="78C2A002"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Excelente</w:t>
            </w:r>
          </w:p>
        </w:tc>
        <w:tc>
          <w:tcPr>
            <w:tcW w:w="453" w:type="pct"/>
            <w:tcBorders>
              <w:top w:val="none" w:sz="0" w:space="0" w:color="auto"/>
              <w:bottom w:val="none" w:sz="0" w:space="0" w:color="auto"/>
            </w:tcBorders>
            <w:hideMark/>
          </w:tcPr>
          <w:p w14:paraId="5D8152ED"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21</w:t>
            </w:r>
          </w:p>
        </w:tc>
        <w:tc>
          <w:tcPr>
            <w:tcW w:w="631" w:type="pct"/>
            <w:tcBorders>
              <w:top w:val="none" w:sz="0" w:space="0" w:color="auto"/>
              <w:bottom w:val="none" w:sz="0" w:space="0" w:color="auto"/>
            </w:tcBorders>
            <w:hideMark/>
          </w:tcPr>
          <w:p w14:paraId="45574502"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72,4</w:t>
            </w:r>
          </w:p>
        </w:tc>
      </w:tr>
      <w:tr w:rsidR="00C335ED" w:rsidRPr="00F422C8" w14:paraId="4CEF0A7C" w14:textId="77777777" w:rsidTr="005173F1">
        <w:tc>
          <w:tcPr>
            <w:cnfStyle w:val="001000000000" w:firstRow="0" w:lastRow="0" w:firstColumn="1" w:lastColumn="0" w:oddVBand="0" w:evenVBand="0" w:oddHBand="0" w:evenHBand="0" w:firstRowFirstColumn="0" w:firstRowLastColumn="0" w:lastRowFirstColumn="0" w:lastRowLastColumn="0"/>
            <w:tcW w:w="2464" w:type="pct"/>
            <w:hideMark/>
          </w:tcPr>
          <w:p w14:paraId="3E8795E4" w14:textId="77777777" w:rsidR="00C335ED" w:rsidRPr="005A2DED" w:rsidRDefault="00C335ED" w:rsidP="005173F1">
            <w:pPr>
              <w:spacing w:line="276" w:lineRule="auto"/>
              <w:jc w:val="both"/>
              <w:rPr>
                <w:rFonts w:ascii="Times New Roman" w:hAnsi="Times New Roman" w:cs="Times New Roman"/>
                <w:b w:val="0"/>
                <w:bCs w:val="0"/>
                <w:sz w:val="24"/>
                <w:szCs w:val="24"/>
              </w:rPr>
            </w:pPr>
          </w:p>
        </w:tc>
        <w:tc>
          <w:tcPr>
            <w:tcW w:w="1452" w:type="pct"/>
            <w:hideMark/>
          </w:tcPr>
          <w:p w14:paraId="728E11F5"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Boa</w:t>
            </w:r>
          </w:p>
        </w:tc>
        <w:tc>
          <w:tcPr>
            <w:tcW w:w="453" w:type="pct"/>
            <w:hideMark/>
          </w:tcPr>
          <w:p w14:paraId="4F53E4CE"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8</w:t>
            </w:r>
          </w:p>
        </w:tc>
        <w:tc>
          <w:tcPr>
            <w:tcW w:w="631" w:type="pct"/>
            <w:hideMark/>
          </w:tcPr>
          <w:p w14:paraId="607D95F7"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27,6</w:t>
            </w:r>
          </w:p>
        </w:tc>
      </w:tr>
      <w:tr w:rsidR="00C335ED" w:rsidRPr="00F422C8" w14:paraId="2A53482A"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Borders>
              <w:top w:val="none" w:sz="0" w:space="0" w:color="auto"/>
              <w:bottom w:val="none" w:sz="0" w:space="0" w:color="auto"/>
            </w:tcBorders>
            <w:hideMark/>
          </w:tcPr>
          <w:p w14:paraId="09720427" w14:textId="77777777" w:rsidR="00C335ED" w:rsidRPr="005A2DED" w:rsidRDefault="00C335ED" w:rsidP="005173F1">
            <w:pPr>
              <w:spacing w:line="276" w:lineRule="auto"/>
              <w:jc w:val="both"/>
              <w:rPr>
                <w:rFonts w:ascii="Times New Roman" w:hAnsi="Times New Roman" w:cs="Times New Roman"/>
                <w:b w:val="0"/>
                <w:bCs w:val="0"/>
                <w:sz w:val="24"/>
                <w:szCs w:val="24"/>
              </w:rPr>
            </w:pPr>
            <w:r w:rsidRPr="005A2DED">
              <w:rPr>
                <w:rFonts w:ascii="Times New Roman" w:hAnsi="Times New Roman" w:cs="Times New Roman"/>
                <w:b w:val="0"/>
                <w:bCs w:val="0"/>
                <w:sz w:val="24"/>
                <w:szCs w:val="24"/>
              </w:rPr>
              <w:t>Velocidade de absorção</w:t>
            </w:r>
          </w:p>
        </w:tc>
        <w:tc>
          <w:tcPr>
            <w:tcW w:w="1452" w:type="pct"/>
            <w:tcBorders>
              <w:top w:val="none" w:sz="0" w:space="0" w:color="auto"/>
              <w:bottom w:val="none" w:sz="0" w:space="0" w:color="auto"/>
            </w:tcBorders>
            <w:hideMark/>
          </w:tcPr>
          <w:p w14:paraId="7615FC1E"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Muito rápida</w:t>
            </w:r>
          </w:p>
        </w:tc>
        <w:tc>
          <w:tcPr>
            <w:tcW w:w="453" w:type="pct"/>
            <w:tcBorders>
              <w:top w:val="none" w:sz="0" w:space="0" w:color="auto"/>
              <w:bottom w:val="none" w:sz="0" w:space="0" w:color="auto"/>
            </w:tcBorders>
            <w:hideMark/>
          </w:tcPr>
          <w:p w14:paraId="447614B1"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10</w:t>
            </w:r>
          </w:p>
        </w:tc>
        <w:tc>
          <w:tcPr>
            <w:tcW w:w="631" w:type="pct"/>
            <w:tcBorders>
              <w:top w:val="none" w:sz="0" w:space="0" w:color="auto"/>
              <w:bottom w:val="none" w:sz="0" w:space="0" w:color="auto"/>
            </w:tcBorders>
            <w:hideMark/>
          </w:tcPr>
          <w:p w14:paraId="0104A5A4"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34,5</w:t>
            </w:r>
          </w:p>
        </w:tc>
      </w:tr>
      <w:tr w:rsidR="00C335ED" w:rsidRPr="00F422C8" w14:paraId="22163508" w14:textId="77777777" w:rsidTr="005173F1">
        <w:tc>
          <w:tcPr>
            <w:cnfStyle w:val="001000000000" w:firstRow="0" w:lastRow="0" w:firstColumn="1" w:lastColumn="0" w:oddVBand="0" w:evenVBand="0" w:oddHBand="0" w:evenHBand="0" w:firstRowFirstColumn="0" w:firstRowLastColumn="0" w:lastRowFirstColumn="0" w:lastRowLastColumn="0"/>
            <w:tcW w:w="2464" w:type="pct"/>
            <w:hideMark/>
          </w:tcPr>
          <w:p w14:paraId="580446F4" w14:textId="77777777" w:rsidR="00C335ED" w:rsidRPr="00F422C8" w:rsidRDefault="00C335ED" w:rsidP="005173F1">
            <w:pPr>
              <w:spacing w:line="276" w:lineRule="auto"/>
              <w:jc w:val="both"/>
              <w:rPr>
                <w:rFonts w:ascii="Times New Roman" w:hAnsi="Times New Roman" w:cs="Times New Roman"/>
                <w:sz w:val="24"/>
                <w:szCs w:val="24"/>
              </w:rPr>
            </w:pPr>
          </w:p>
        </w:tc>
        <w:tc>
          <w:tcPr>
            <w:tcW w:w="1452" w:type="pct"/>
            <w:hideMark/>
          </w:tcPr>
          <w:p w14:paraId="3722DFDC"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Rápida</w:t>
            </w:r>
          </w:p>
        </w:tc>
        <w:tc>
          <w:tcPr>
            <w:tcW w:w="453" w:type="pct"/>
            <w:hideMark/>
          </w:tcPr>
          <w:p w14:paraId="4FF2DB94"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12</w:t>
            </w:r>
          </w:p>
        </w:tc>
        <w:tc>
          <w:tcPr>
            <w:tcW w:w="631" w:type="pct"/>
            <w:hideMark/>
          </w:tcPr>
          <w:p w14:paraId="32DEA2BF"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41,4</w:t>
            </w:r>
          </w:p>
        </w:tc>
      </w:tr>
      <w:tr w:rsidR="00C335ED" w:rsidRPr="00F422C8" w14:paraId="23964668"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Borders>
              <w:top w:val="none" w:sz="0" w:space="0" w:color="auto"/>
              <w:bottom w:val="single" w:sz="4" w:space="0" w:color="auto"/>
            </w:tcBorders>
            <w:hideMark/>
          </w:tcPr>
          <w:p w14:paraId="48FD3DDC" w14:textId="77777777" w:rsidR="00C335ED" w:rsidRPr="00F422C8" w:rsidRDefault="00C335ED" w:rsidP="005173F1">
            <w:pPr>
              <w:spacing w:line="276" w:lineRule="auto"/>
              <w:jc w:val="both"/>
              <w:rPr>
                <w:rFonts w:ascii="Times New Roman" w:hAnsi="Times New Roman" w:cs="Times New Roman"/>
                <w:sz w:val="24"/>
                <w:szCs w:val="24"/>
              </w:rPr>
            </w:pPr>
          </w:p>
        </w:tc>
        <w:tc>
          <w:tcPr>
            <w:tcW w:w="1452" w:type="pct"/>
            <w:tcBorders>
              <w:top w:val="none" w:sz="0" w:space="0" w:color="auto"/>
              <w:bottom w:val="single" w:sz="4" w:space="0" w:color="auto"/>
            </w:tcBorders>
            <w:hideMark/>
          </w:tcPr>
          <w:p w14:paraId="363B057A"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Adequada</w:t>
            </w:r>
          </w:p>
        </w:tc>
        <w:tc>
          <w:tcPr>
            <w:tcW w:w="453" w:type="pct"/>
            <w:tcBorders>
              <w:top w:val="none" w:sz="0" w:space="0" w:color="auto"/>
              <w:bottom w:val="single" w:sz="4" w:space="0" w:color="auto"/>
            </w:tcBorders>
            <w:hideMark/>
          </w:tcPr>
          <w:p w14:paraId="114DEA05"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w:t>
            </w:r>
          </w:p>
        </w:tc>
        <w:tc>
          <w:tcPr>
            <w:tcW w:w="631" w:type="pct"/>
            <w:tcBorders>
              <w:top w:val="none" w:sz="0" w:space="0" w:color="auto"/>
              <w:bottom w:val="single" w:sz="4" w:space="0" w:color="auto"/>
            </w:tcBorders>
            <w:hideMark/>
          </w:tcPr>
          <w:p w14:paraId="75178D57"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24,1</w:t>
            </w:r>
          </w:p>
        </w:tc>
      </w:tr>
    </w:tbl>
    <w:p w14:paraId="5717CABD" w14:textId="77777777" w:rsidR="00C335ED" w:rsidRPr="00F422C8"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b/>
          <w:bCs/>
          <w:sz w:val="24"/>
          <w:szCs w:val="24"/>
        </w:rPr>
        <w:t>Fonte:</w:t>
      </w:r>
      <w:r w:rsidRPr="00F422C8">
        <w:rPr>
          <w:rFonts w:ascii="Times New Roman" w:hAnsi="Times New Roman" w:cs="Times New Roman"/>
          <w:sz w:val="24"/>
          <w:szCs w:val="24"/>
        </w:rPr>
        <w:t xml:space="preserve"> Dados da pesquisa (2026).</w:t>
      </w:r>
    </w:p>
    <w:p w14:paraId="46C98F06"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As propriedades reológicas e sensoriais de formulações cosméticas constituem fatores determinantes para sua aceitação e utilização contínua, sobretudo quando destinadas à pele envelhecida. Formulações que apresentam consistência adequada, boa espalhabilidade e rápida absorção favorecem maior conforto durante a aplicação, melhor distribuição sobre a superfície cutânea e menor sensação residual, características associadas à maior adesão ao tratamento cosmético.</w:t>
      </w:r>
    </w:p>
    <w:p w14:paraId="3D80B544"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lastRenderedPageBreak/>
        <w:t xml:space="preserve">Os resultados obtidos demonstram que a escolha da forma farmacêutica </w:t>
      </w:r>
      <w:r w:rsidRPr="00F422C8">
        <w:rPr>
          <w:rFonts w:ascii="Times New Roman" w:hAnsi="Times New Roman" w:cs="Times New Roman"/>
          <w:b/>
          <w:bCs/>
          <w:sz w:val="24"/>
          <w:szCs w:val="24"/>
        </w:rPr>
        <w:t>gel-creme</w:t>
      </w:r>
      <w:r w:rsidRPr="00F422C8">
        <w:rPr>
          <w:rFonts w:ascii="Times New Roman" w:hAnsi="Times New Roman" w:cs="Times New Roman"/>
          <w:sz w:val="24"/>
          <w:szCs w:val="24"/>
        </w:rPr>
        <w:t xml:space="preserve"> foi apropriada para atender às necessidades identificadas durante o diagnóstico comunitário. Diferentemente de cremes mais densos, que frequentemente deixam sensação oleosa, ou de géis convencionais, que podem apresentar menor capacidade emoliente, o gel-creme combina a leveza característica dos sistemas gelificados com a capacidade hidratante das emulsões, proporcionando rápida absorção sem comprometer a formação de um filme protetor sobre a pele.</w:t>
      </w:r>
    </w:p>
    <w:p w14:paraId="0DB6D49D"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A elevada aprovação observada pode ser atribuída, ainda, à seleção racional dos ativos utilizados na formulação. O </w:t>
      </w:r>
      <w:r w:rsidRPr="00F422C8">
        <w:rPr>
          <w:rFonts w:ascii="Times New Roman" w:hAnsi="Times New Roman" w:cs="Times New Roman"/>
          <w:b/>
          <w:bCs/>
          <w:sz w:val="24"/>
          <w:szCs w:val="24"/>
        </w:rPr>
        <w:t>ácido hialurônico</w:t>
      </w:r>
      <w:r w:rsidRPr="00F422C8">
        <w:rPr>
          <w:rFonts w:ascii="Times New Roman" w:hAnsi="Times New Roman" w:cs="Times New Roman"/>
          <w:sz w:val="24"/>
          <w:szCs w:val="24"/>
        </w:rPr>
        <w:t xml:space="preserve"> atua como umectante de elevada capacidade higroscópica, favorecendo a retenção de água no estrato córneo. O </w:t>
      </w:r>
      <w:r w:rsidRPr="00F422C8">
        <w:rPr>
          <w:rFonts w:ascii="Times New Roman" w:hAnsi="Times New Roman" w:cs="Times New Roman"/>
          <w:b/>
          <w:bCs/>
          <w:sz w:val="24"/>
          <w:szCs w:val="24"/>
        </w:rPr>
        <w:t>Ajidew® NL-50</w:t>
      </w:r>
      <w:r w:rsidRPr="00F422C8">
        <w:rPr>
          <w:rFonts w:ascii="Times New Roman" w:hAnsi="Times New Roman" w:cs="Times New Roman"/>
          <w:sz w:val="24"/>
          <w:szCs w:val="24"/>
        </w:rPr>
        <w:t xml:space="preserve"> contribui para a manutenção da hidratação epidérmica por mecanismos semelhantes aos componentes do Fator Natural de Hidratação (Natural Moisturizing Factor – NMF), enquanto o </w:t>
      </w:r>
      <w:r w:rsidRPr="00F422C8">
        <w:rPr>
          <w:rFonts w:ascii="Times New Roman" w:hAnsi="Times New Roman" w:cs="Times New Roman"/>
          <w:b/>
          <w:bCs/>
          <w:sz w:val="24"/>
          <w:szCs w:val="24"/>
        </w:rPr>
        <w:t>D-pantenol</w:t>
      </w:r>
      <w:r w:rsidRPr="00F422C8">
        <w:rPr>
          <w:rFonts w:ascii="Times New Roman" w:hAnsi="Times New Roman" w:cs="Times New Roman"/>
          <w:sz w:val="24"/>
          <w:szCs w:val="24"/>
        </w:rPr>
        <w:t xml:space="preserve"> favorece a reparação da barreira cutânea e auxilia na redução da perda transepidérmica de água. O </w:t>
      </w:r>
      <w:r w:rsidRPr="00F422C8">
        <w:rPr>
          <w:rFonts w:ascii="Times New Roman" w:hAnsi="Times New Roman" w:cs="Times New Roman"/>
          <w:b/>
          <w:bCs/>
          <w:sz w:val="24"/>
          <w:szCs w:val="24"/>
        </w:rPr>
        <w:t>alfa-bisabolol</w:t>
      </w:r>
      <w:r w:rsidRPr="00F422C8">
        <w:rPr>
          <w:rFonts w:ascii="Times New Roman" w:hAnsi="Times New Roman" w:cs="Times New Roman"/>
          <w:sz w:val="24"/>
          <w:szCs w:val="24"/>
        </w:rPr>
        <w:t xml:space="preserve"> e o </w:t>
      </w:r>
      <w:r w:rsidRPr="00F422C8">
        <w:rPr>
          <w:rFonts w:ascii="Times New Roman" w:hAnsi="Times New Roman" w:cs="Times New Roman"/>
          <w:b/>
          <w:bCs/>
          <w:sz w:val="24"/>
          <w:szCs w:val="24"/>
        </w:rPr>
        <w:t>extrato glicólico de camomila</w:t>
      </w:r>
      <w:r w:rsidRPr="00F422C8">
        <w:rPr>
          <w:rFonts w:ascii="Times New Roman" w:hAnsi="Times New Roman" w:cs="Times New Roman"/>
          <w:sz w:val="24"/>
          <w:szCs w:val="24"/>
        </w:rPr>
        <w:t>, por sua vez, exercem ação calmante e contribuem para minimizar desconfortos frequentemente relatados por indivíduos com pele seca e sensível.</w:t>
      </w:r>
    </w:p>
    <w:p w14:paraId="3A073585"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Sob a perspectiva tecnológica, esses resultados evidenciam que o desempenho funcional da formulação não depende exclusivamente da eficácia dos ativos, mas também da adequação da forma farmacêutica às características fisiológicas da população-alvo. Assim, a combinação entre base cosmética, propriedades reológicas e seleção criteriosa dos ingredientes ativos mostrou-se fundamental para obtenção de uma formulação com elevada aceitabilidade.</w:t>
      </w:r>
    </w:p>
    <w:p w14:paraId="419D08C8"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No contexto da Gestão do Conhecimento, a validação dessas características representa uma etapa essencial do </w:t>
      </w:r>
      <w:r w:rsidRPr="00F422C8">
        <w:rPr>
          <w:rFonts w:ascii="Times New Roman" w:hAnsi="Times New Roman" w:cs="Times New Roman"/>
          <w:b/>
          <w:bCs/>
          <w:sz w:val="24"/>
          <w:szCs w:val="24"/>
        </w:rPr>
        <w:t>Fluxo Integrado de Desenvolvimento Tecnológico em Extensão Universitária (FIDTEU)</w:t>
      </w:r>
      <w:r w:rsidRPr="00F422C8">
        <w:rPr>
          <w:rFonts w:ascii="Times New Roman" w:hAnsi="Times New Roman" w:cs="Times New Roman"/>
          <w:sz w:val="24"/>
          <w:szCs w:val="24"/>
        </w:rPr>
        <w:t>. As informações obtidas durante a avaliação do desempenho tecnológico retornam ao processo de desenvolvimento, permitindo confirmar que as decisões farmacotécnicas adotadas foram compatíveis com as expectativas dos usuários e contribuindo para o aperfeiçoamento contínuo da tecnologia desenvolvida.</w:t>
      </w:r>
    </w:p>
    <w:p w14:paraId="4066B5DA" w14:textId="77777777" w:rsidR="00C335ED" w:rsidRDefault="00C335ED" w:rsidP="00C335ED">
      <w:pPr>
        <w:spacing w:line="360" w:lineRule="auto"/>
        <w:jc w:val="both"/>
        <w:rPr>
          <w:rFonts w:ascii="Times New Roman" w:hAnsi="Times New Roman" w:cs="Times New Roman"/>
          <w:b/>
          <w:bCs/>
          <w:sz w:val="24"/>
          <w:szCs w:val="24"/>
        </w:rPr>
      </w:pPr>
    </w:p>
    <w:p w14:paraId="3F5B33D4"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4.4 Avaliação da embalagem, rotulagem e aceitabilidade comercial</w:t>
      </w:r>
    </w:p>
    <w:p w14:paraId="28E0185F"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Além das características da formulação, foram avaliados aspectos relacionados à apresentação comercial do produto, incluindo embalagem, rotulagem, identidade visual e facilidade de utilização. Esses elementos constituem importante componente da experiência do usuário, influenciando tanto a percepção de qualidade quanto o uso correto do produto.</w:t>
      </w:r>
    </w:p>
    <w:p w14:paraId="3813AB83"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lastRenderedPageBreak/>
        <w:t xml:space="preserve">A embalagem recebeu avaliação predominantemente positiva, sendo considerada </w:t>
      </w:r>
      <w:r w:rsidRPr="00F422C8">
        <w:rPr>
          <w:rFonts w:ascii="Times New Roman" w:hAnsi="Times New Roman" w:cs="Times New Roman"/>
          <w:b/>
          <w:bCs/>
          <w:sz w:val="24"/>
          <w:szCs w:val="24"/>
        </w:rPr>
        <w:t>excelente por 58,6%</w:t>
      </w:r>
      <w:r w:rsidRPr="00F422C8">
        <w:rPr>
          <w:rFonts w:ascii="Times New Roman" w:hAnsi="Times New Roman" w:cs="Times New Roman"/>
          <w:sz w:val="24"/>
          <w:szCs w:val="24"/>
        </w:rPr>
        <w:t xml:space="preserve"> (n = 17) e </w:t>
      </w:r>
      <w:r w:rsidRPr="00F422C8">
        <w:rPr>
          <w:rFonts w:ascii="Times New Roman" w:hAnsi="Times New Roman" w:cs="Times New Roman"/>
          <w:b/>
          <w:bCs/>
          <w:sz w:val="24"/>
          <w:szCs w:val="24"/>
        </w:rPr>
        <w:t>boa por 34,5%</w:t>
      </w:r>
      <w:r w:rsidRPr="00F422C8">
        <w:rPr>
          <w:rFonts w:ascii="Times New Roman" w:hAnsi="Times New Roman" w:cs="Times New Roman"/>
          <w:sz w:val="24"/>
          <w:szCs w:val="24"/>
        </w:rPr>
        <w:t xml:space="preserve"> (n = 10) dos participantes. Apenas 6,9% (n = 2) classificaram esse aspecto como regular. Quanto ao tamanho da embalagem, </w:t>
      </w:r>
      <w:r w:rsidRPr="00F422C8">
        <w:rPr>
          <w:rFonts w:ascii="Times New Roman" w:hAnsi="Times New Roman" w:cs="Times New Roman"/>
          <w:b/>
          <w:bCs/>
          <w:sz w:val="24"/>
          <w:szCs w:val="24"/>
        </w:rPr>
        <w:t>79,3%</w:t>
      </w:r>
      <w:r w:rsidRPr="00F422C8">
        <w:rPr>
          <w:rFonts w:ascii="Times New Roman" w:hAnsi="Times New Roman" w:cs="Times New Roman"/>
          <w:sz w:val="24"/>
          <w:szCs w:val="24"/>
        </w:rPr>
        <w:t xml:space="preserve"> (n = 23) consideraram o volume adequado, enquanto 17,2% (n = 5) sugeriram maior quantidade de produto e apenas 3,5% (n = 1) avaliaram a embalagem como grande.</w:t>
      </w:r>
    </w:p>
    <w:p w14:paraId="65A78080"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O nome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xml:space="preserve"> foi considerado adequado por </w:t>
      </w:r>
      <w:r w:rsidRPr="00F422C8">
        <w:rPr>
          <w:rFonts w:ascii="Times New Roman" w:hAnsi="Times New Roman" w:cs="Times New Roman"/>
          <w:b/>
          <w:bCs/>
          <w:sz w:val="24"/>
          <w:szCs w:val="24"/>
        </w:rPr>
        <w:t>92,9%</w:t>
      </w:r>
      <w:r w:rsidRPr="00F422C8">
        <w:rPr>
          <w:rFonts w:ascii="Times New Roman" w:hAnsi="Times New Roman" w:cs="Times New Roman"/>
          <w:sz w:val="24"/>
          <w:szCs w:val="24"/>
        </w:rPr>
        <w:t xml:space="preserve"> dos participantes, indicando boa identificação entre a proposta do produto e sua identidade comercial. Em relação às informações presentes no rótulo, </w:t>
      </w:r>
      <w:r w:rsidRPr="00F422C8">
        <w:rPr>
          <w:rFonts w:ascii="Times New Roman" w:hAnsi="Times New Roman" w:cs="Times New Roman"/>
          <w:b/>
          <w:bCs/>
          <w:sz w:val="24"/>
          <w:szCs w:val="24"/>
        </w:rPr>
        <w:t>67,9%</w:t>
      </w:r>
      <w:r w:rsidRPr="00F422C8">
        <w:rPr>
          <w:rFonts w:ascii="Times New Roman" w:hAnsi="Times New Roman" w:cs="Times New Roman"/>
          <w:sz w:val="24"/>
          <w:szCs w:val="24"/>
        </w:rPr>
        <w:t xml:space="preserve"> relataram facilidade de compreensão, embora 25,0% tenham apontado alguma dificuldade de leitura e 7,1% consideraram as informações insuficientemente claras (Tabela 4).</w:t>
      </w:r>
    </w:p>
    <w:p w14:paraId="65F9AC61"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A avaliação positiva da embalagem e da identidade visual demonstra que a percepção de qualidade de um produto cosmético envolve aspectos que extrapolam sua composição química. A embalagem constitui o primeiro contato entre o usuário e a tecnologia desenvolvida, influenciando expectativas relacionadas à segurança, praticidade e confiabilidade do produto.</w:t>
      </w:r>
    </w:p>
    <w:p w14:paraId="3656E513" w14:textId="77777777" w:rsidR="00C335ED" w:rsidRPr="00F422C8"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A elevada aprovação observada indica que as decisões relacionadas ao design da embalagem atenderam às expectativas da população avaliada. Entretanto, as sugestões referentes ao aumento do volume da embalagem e ao aprimoramento das informações presentes no rótulo evidenciam que a participação dos usuários também contribui para o aperfeiçoamento de aspectos mercadológicos e regulatórios do produto.</w:t>
      </w:r>
    </w:p>
    <w:p w14:paraId="3E9EC998" w14:textId="77777777" w:rsidR="00C335ED" w:rsidRDefault="00C335ED" w:rsidP="00C335ED">
      <w:pPr>
        <w:spacing w:line="360" w:lineRule="auto"/>
        <w:jc w:val="both"/>
        <w:rPr>
          <w:rFonts w:ascii="Times New Roman" w:hAnsi="Times New Roman" w:cs="Times New Roman"/>
          <w:b/>
          <w:bCs/>
          <w:sz w:val="24"/>
          <w:szCs w:val="24"/>
        </w:rPr>
      </w:pPr>
    </w:p>
    <w:p w14:paraId="6CA88ED4"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Tabela 4 – Avaliação da embalagem e da rotulagem do gel-creme Derma Hydriss</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4495"/>
        <w:gridCol w:w="3137"/>
        <w:gridCol w:w="583"/>
        <w:gridCol w:w="814"/>
      </w:tblGrid>
      <w:tr w:rsidR="00C335ED" w:rsidRPr="00F422C8" w14:paraId="50CDAFE5" w14:textId="77777777" w:rsidTr="00517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single" w:sz="4" w:space="0" w:color="auto"/>
              <w:bottom w:val="single" w:sz="4" w:space="0" w:color="auto"/>
            </w:tcBorders>
            <w:hideMark/>
          </w:tcPr>
          <w:p w14:paraId="197C4737" w14:textId="77777777" w:rsidR="00C335ED" w:rsidRPr="00F422C8" w:rsidRDefault="00C335ED" w:rsidP="005173F1">
            <w:pPr>
              <w:spacing w:line="276" w:lineRule="auto"/>
              <w:jc w:val="both"/>
              <w:rPr>
                <w:rFonts w:ascii="Times New Roman" w:hAnsi="Times New Roman" w:cs="Times New Roman"/>
                <w:sz w:val="24"/>
                <w:szCs w:val="24"/>
              </w:rPr>
            </w:pPr>
            <w:r w:rsidRPr="00F422C8">
              <w:rPr>
                <w:rFonts w:ascii="Times New Roman" w:hAnsi="Times New Roman" w:cs="Times New Roman"/>
                <w:sz w:val="24"/>
                <w:szCs w:val="24"/>
              </w:rPr>
              <w:t>Variável</w:t>
            </w:r>
          </w:p>
        </w:tc>
        <w:tc>
          <w:tcPr>
            <w:tcW w:w="1737" w:type="pct"/>
            <w:tcBorders>
              <w:top w:val="single" w:sz="4" w:space="0" w:color="auto"/>
              <w:bottom w:val="single" w:sz="4" w:space="0" w:color="auto"/>
            </w:tcBorders>
            <w:hideMark/>
          </w:tcPr>
          <w:p w14:paraId="4FC4C78C"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Categoria</w:t>
            </w:r>
          </w:p>
        </w:tc>
        <w:tc>
          <w:tcPr>
            <w:tcW w:w="323" w:type="pct"/>
            <w:tcBorders>
              <w:top w:val="single" w:sz="4" w:space="0" w:color="auto"/>
              <w:bottom w:val="single" w:sz="4" w:space="0" w:color="auto"/>
            </w:tcBorders>
            <w:hideMark/>
          </w:tcPr>
          <w:p w14:paraId="4B281309"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n</w:t>
            </w:r>
          </w:p>
        </w:tc>
        <w:tc>
          <w:tcPr>
            <w:tcW w:w="451" w:type="pct"/>
            <w:tcBorders>
              <w:top w:val="single" w:sz="4" w:space="0" w:color="auto"/>
              <w:bottom w:val="single" w:sz="4" w:space="0" w:color="auto"/>
            </w:tcBorders>
            <w:hideMark/>
          </w:tcPr>
          <w:p w14:paraId="5B6F1D8E" w14:textId="77777777" w:rsidR="00C335ED" w:rsidRPr="00F422C8" w:rsidRDefault="00C335ED" w:rsidP="005173F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w:t>
            </w:r>
          </w:p>
        </w:tc>
      </w:tr>
      <w:tr w:rsidR="00C335ED" w:rsidRPr="00F422C8" w14:paraId="39B6AFDE"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single" w:sz="4" w:space="0" w:color="auto"/>
              <w:bottom w:val="none" w:sz="0" w:space="0" w:color="auto"/>
            </w:tcBorders>
            <w:hideMark/>
          </w:tcPr>
          <w:p w14:paraId="7DE1BFD3" w14:textId="77777777" w:rsidR="00C335ED" w:rsidRPr="005745B9" w:rsidRDefault="00C335ED" w:rsidP="005173F1">
            <w:pPr>
              <w:spacing w:line="276" w:lineRule="auto"/>
              <w:jc w:val="both"/>
              <w:rPr>
                <w:rFonts w:ascii="Times New Roman" w:hAnsi="Times New Roman" w:cs="Times New Roman"/>
                <w:b w:val="0"/>
                <w:bCs w:val="0"/>
                <w:sz w:val="24"/>
                <w:szCs w:val="24"/>
              </w:rPr>
            </w:pPr>
            <w:r w:rsidRPr="005745B9">
              <w:rPr>
                <w:rFonts w:ascii="Times New Roman" w:hAnsi="Times New Roman" w:cs="Times New Roman"/>
                <w:b w:val="0"/>
                <w:bCs w:val="0"/>
                <w:sz w:val="24"/>
                <w:szCs w:val="24"/>
              </w:rPr>
              <w:t>Avaliação da embalagem</w:t>
            </w:r>
          </w:p>
        </w:tc>
        <w:tc>
          <w:tcPr>
            <w:tcW w:w="1737" w:type="pct"/>
            <w:tcBorders>
              <w:top w:val="single" w:sz="4" w:space="0" w:color="auto"/>
              <w:bottom w:val="none" w:sz="0" w:space="0" w:color="auto"/>
            </w:tcBorders>
            <w:hideMark/>
          </w:tcPr>
          <w:p w14:paraId="58890779"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Excelente</w:t>
            </w:r>
          </w:p>
        </w:tc>
        <w:tc>
          <w:tcPr>
            <w:tcW w:w="323" w:type="pct"/>
            <w:tcBorders>
              <w:top w:val="single" w:sz="4" w:space="0" w:color="auto"/>
              <w:bottom w:val="none" w:sz="0" w:space="0" w:color="auto"/>
            </w:tcBorders>
            <w:hideMark/>
          </w:tcPr>
          <w:p w14:paraId="1BF096AF"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17</w:t>
            </w:r>
          </w:p>
        </w:tc>
        <w:tc>
          <w:tcPr>
            <w:tcW w:w="451" w:type="pct"/>
            <w:tcBorders>
              <w:top w:val="single" w:sz="4" w:space="0" w:color="auto"/>
              <w:bottom w:val="none" w:sz="0" w:space="0" w:color="auto"/>
            </w:tcBorders>
            <w:hideMark/>
          </w:tcPr>
          <w:p w14:paraId="77D1765C"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58,6</w:t>
            </w:r>
          </w:p>
        </w:tc>
      </w:tr>
      <w:tr w:rsidR="00C335ED" w:rsidRPr="00F422C8" w14:paraId="1FE03B36" w14:textId="77777777" w:rsidTr="005173F1">
        <w:tc>
          <w:tcPr>
            <w:cnfStyle w:val="001000000000" w:firstRow="0" w:lastRow="0" w:firstColumn="1" w:lastColumn="0" w:oddVBand="0" w:evenVBand="0" w:oddHBand="0" w:evenHBand="0" w:firstRowFirstColumn="0" w:firstRowLastColumn="0" w:lastRowFirstColumn="0" w:lastRowLastColumn="0"/>
            <w:tcW w:w="2489" w:type="pct"/>
            <w:hideMark/>
          </w:tcPr>
          <w:p w14:paraId="3085A8A6" w14:textId="77777777" w:rsidR="00C335ED" w:rsidRPr="005745B9" w:rsidRDefault="00C335ED" w:rsidP="005173F1">
            <w:pPr>
              <w:spacing w:line="276" w:lineRule="auto"/>
              <w:jc w:val="both"/>
              <w:rPr>
                <w:rFonts w:ascii="Times New Roman" w:hAnsi="Times New Roman" w:cs="Times New Roman"/>
                <w:b w:val="0"/>
                <w:bCs w:val="0"/>
                <w:sz w:val="24"/>
                <w:szCs w:val="24"/>
              </w:rPr>
            </w:pPr>
          </w:p>
        </w:tc>
        <w:tc>
          <w:tcPr>
            <w:tcW w:w="1737" w:type="pct"/>
            <w:hideMark/>
          </w:tcPr>
          <w:p w14:paraId="12A3A958"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Boa</w:t>
            </w:r>
          </w:p>
        </w:tc>
        <w:tc>
          <w:tcPr>
            <w:tcW w:w="323" w:type="pct"/>
            <w:hideMark/>
          </w:tcPr>
          <w:p w14:paraId="2BA461EC"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10</w:t>
            </w:r>
          </w:p>
        </w:tc>
        <w:tc>
          <w:tcPr>
            <w:tcW w:w="451" w:type="pct"/>
            <w:hideMark/>
          </w:tcPr>
          <w:p w14:paraId="5C4D631D"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34,5</w:t>
            </w:r>
          </w:p>
        </w:tc>
      </w:tr>
      <w:tr w:rsidR="00C335ED" w:rsidRPr="00F422C8" w14:paraId="3ADD6081"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none" w:sz="0" w:space="0" w:color="auto"/>
              <w:bottom w:val="none" w:sz="0" w:space="0" w:color="auto"/>
            </w:tcBorders>
            <w:hideMark/>
          </w:tcPr>
          <w:p w14:paraId="784C3AC4" w14:textId="77777777" w:rsidR="00C335ED" w:rsidRPr="005745B9" w:rsidRDefault="00C335ED" w:rsidP="005173F1">
            <w:pPr>
              <w:spacing w:line="276" w:lineRule="auto"/>
              <w:jc w:val="both"/>
              <w:rPr>
                <w:rFonts w:ascii="Times New Roman" w:hAnsi="Times New Roman" w:cs="Times New Roman"/>
                <w:b w:val="0"/>
                <w:bCs w:val="0"/>
                <w:sz w:val="24"/>
                <w:szCs w:val="24"/>
              </w:rPr>
            </w:pPr>
          </w:p>
        </w:tc>
        <w:tc>
          <w:tcPr>
            <w:tcW w:w="1737" w:type="pct"/>
            <w:tcBorders>
              <w:top w:val="none" w:sz="0" w:space="0" w:color="auto"/>
              <w:bottom w:val="none" w:sz="0" w:space="0" w:color="auto"/>
            </w:tcBorders>
            <w:hideMark/>
          </w:tcPr>
          <w:p w14:paraId="1F775B3B"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Regular</w:t>
            </w:r>
          </w:p>
        </w:tc>
        <w:tc>
          <w:tcPr>
            <w:tcW w:w="323" w:type="pct"/>
            <w:tcBorders>
              <w:top w:val="none" w:sz="0" w:space="0" w:color="auto"/>
              <w:bottom w:val="none" w:sz="0" w:space="0" w:color="auto"/>
            </w:tcBorders>
            <w:hideMark/>
          </w:tcPr>
          <w:p w14:paraId="40F39ACF"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w:t>
            </w:r>
          </w:p>
        </w:tc>
        <w:tc>
          <w:tcPr>
            <w:tcW w:w="451" w:type="pct"/>
            <w:tcBorders>
              <w:top w:val="none" w:sz="0" w:space="0" w:color="auto"/>
              <w:bottom w:val="none" w:sz="0" w:space="0" w:color="auto"/>
            </w:tcBorders>
            <w:hideMark/>
          </w:tcPr>
          <w:p w14:paraId="5C86CFC3"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6,9</w:t>
            </w:r>
          </w:p>
        </w:tc>
      </w:tr>
      <w:tr w:rsidR="00C335ED" w:rsidRPr="00F422C8" w14:paraId="24A6E69A" w14:textId="77777777" w:rsidTr="005173F1">
        <w:tc>
          <w:tcPr>
            <w:cnfStyle w:val="001000000000" w:firstRow="0" w:lastRow="0" w:firstColumn="1" w:lastColumn="0" w:oddVBand="0" w:evenVBand="0" w:oddHBand="0" w:evenHBand="0" w:firstRowFirstColumn="0" w:firstRowLastColumn="0" w:lastRowFirstColumn="0" w:lastRowLastColumn="0"/>
            <w:tcW w:w="2489" w:type="pct"/>
            <w:hideMark/>
          </w:tcPr>
          <w:p w14:paraId="59CC0795" w14:textId="77777777" w:rsidR="00C335ED" w:rsidRPr="005745B9" w:rsidRDefault="00C335ED" w:rsidP="005173F1">
            <w:pPr>
              <w:spacing w:line="276" w:lineRule="auto"/>
              <w:jc w:val="both"/>
              <w:rPr>
                <w:rFonts w:ascii="Times New Roman" w:hAnsi="Times New Roman" w:cs="Times New Roman"/>
                <w:b w:val="0"/>
                <w:bCs w:val="0"/>
                <w:sz w:val="24"/>
                <w:szCs w:val="24"/>
              </w:rPr>
            </w:pPr>
            <w:r w:rsidRPr="005745B9">
              <w:rPr>
                <w:rFonts w:ascii="Times New Roman" w:hAnsi="Times New Roman" w:cs="Times New Roman"/>
                <w:b w:val="0"/>
                <w:bCs w:val="0"/>
                <w:sz w:val="24"/>
                <w:szCs w:val="24"/>
              </w:rPr>
              <w:t>Tamanho da embalagem</w:t>
            </w:r>
          </w:p>
        </w:tc>
        <w:tc>
          <w:tcPr>
            <w:tcW w:w="1737" w:type="pct"/>
            <w:hideMark/>
          </w:tcPr>
          <w:p w14:paraId="034BCD5A"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Adequado</w:t>
            </w:r>
          </w:p>
        </w:tc>
        <w:tc>
          <w:tcPr>
            <w:tcW w:w="323" w:type="pct"/>
            <w:hideMark/>
          </w:tcPr>
          <w:p w14:paraId="0E11B098"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23</w:t>
            </w:r>
          </w:p>
        </w:tc>
        <w:tc>
          <w:tcPr>
            <w:tcW w:w="451" w:type="pct"/>
            <w:hideMark/>
          </w:tcPr>
          <w:p w14:paraId="57B061DB"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79,3</w:t>
            </w:r>
          </w:p>
        </w:tc>
      </w:tr>
      <w:tr w:rsidR="00C335ED" w:rsidRPr="00F422C8" w14:paraId="7049BDC1"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none" w:sz="0" w:space="0" w:color="auto"/>
              <w:bottom w:val="none" w:sz="0" w:space="0" w:color="auto"/>
            </w:tcBorders>
            <w:hideMark/>
          </w:tcPr>
          <w:p w14:paraId="31E965D5" w14:textId="77777777" w:rsidR="00C335ED" w:rsidRPr="005745B9" w:rsidRDefault="00C335ED" w:rsidP="005173F1">
            <w:pPr>
              <w:spacing w:line="276" w:lineRule="auto"/>
              <w:jc w:val="both"/>
              <w:rPr>
                <w:rFonts w:ascii="Times New Roman" w:hAnsi="Times New Roman" w:cs="Times New Roman"/>
                <w:b w:val="0"/>
                <w:bCs w:val="0"/>
                <w:sz w:val="24"/>
                <w:szCs w:val="24"/>
              </w:rPr>
            </w:pPr>
          </w:p>
        </w:tc>
        <w:tc>
          <w:tcPr>
            <w:tcW w:w="1737" w:type="pct"/>
            <w:tcBorders>
              <w:top w:val="none" w:sz="0" w:space="0" w:color="auto"/>
              <w:bottom w:val="none" w:sz="0" w:space="0" w:color="auto"/>
            </w:tcBorders>
            <w:hideMark/>
          </w:tcPr>
          <w:p w14:paraId="61F46595"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Pequeno</w:t>
            </w:r>
          </w:p>
        </w:tc>
        <w:tc>
          <w:tcPr>
            <w:tcW w:w="323" w:type="pct"/>
            <w:tcBorders>
              <w:top w:val="none" w:sz="0" w:space="0" w:color="auto"/>
              <w:bottom w:val="none" w:sz="0" w:space="0" w:color="auto"/>
            </w:tcBorders>
            <w:hideMark/>
          </w:tcPr>
          <w:p w14:paraId="77E9F0B9"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5</w:t>
            </w:r>
          </w:p>
        </w:tc>
        <w:tc>
          <w:tcPr>
            <w:tcW w:w="451" w:type="pct"/>
            <w:tcBorders>
              <w:top w:val="none" w:sz="0" w:space="0" w:color="auto"/>
              <w:bottom w:val="none" w:sz="0" w:space="0" w:color="auto"/>
            </w:tcBorders>
            <w:hideMark/>
          </w:tcPr>
          <w:p w14:paraId="64C4E31D"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17,2</w:t>
            </w:r>
          </w:p>
        </w:tc>
      </w:tr>
      <w:tr w:rsidR="00C335ED" w:rsidRPr="00F422C8" w14:paraId="5C6FF9D6" w14:textId="77777777" w:rsidTr="005173F1">
        <w:tc>
          <w:tcPr>
            <w:cnfStyle w:val="001000000000" w:firstRow="0" w:lastRow="0" w:firstColumn="1" w:lastColumn="0" w:oddVBand="0" w:evenVBand="0" w:oddHBand="0" w:evenHBand="0" w:firstRowFirstColumn="0" w:firstRowLastColumn="0" w:lastRowFirstColumn="0" w:lastRowLastColumn="0"/>
            <w:tcW w:w="2489" w:type="pct"/>
            <w:hideMark/>
          </w:tcPr>
          <w:p w14:paraId="5801765E" w14:textId="77777777" w:rsidR="00C335ED" w:rsidRPr="005745B9" w:rsidRDefault="00C335ED" w:rsidP="005173F1">
            <w:pPr>
              <w:spacing w:line="276" w:lineRule="auto"/>
              <w:jc w:val="both"/>
              <w:rPr>
                <w:rFonts w:ascii="Times New Roman" w:hAnsi="Times New Roman" w:cs="Times New Roman"/>
                <w:b w:val="0"/>
                <w:bCs w:val="0"/>
                <w:sz w:val="24"/>
                <w:szCs w:val="24"/>
              </w:rPr>
            </w:pPr>
          </w:p>
        </w:tc>
        <w:tc>
          <w:tcPr>
            <w:tcW w:w="1737" w:type="pct"/>
            <w:hideMark/>
          </w:tcPr>
          <w:p w14:paraId="4B26EBA9"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Grande</w:t>
            </w:r>
          </w:p>
        </w:tc>
        <w:tc>
          <w:tcPr>
            <w:tcW w:w="323" w:type="pct"/>
            <w:hideMark/>
          </w:tcPr>
          <w:p w14:paraId="2F2B815F"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w:t>
            </w:r>
          </w:p>
        </w:tc>
        <w:tc>
          <w:tcPr>
            <w:tcW w:w="451" w:type="pct"/>
            <w:hideMark/>
          </w:tcPr>
          <w:p w14:paraId="330EDE39"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3,5</w:t>
            </w:r>
          </w:p>
        </w:tc>
      </w:tr>
      <w:tr w:rsidR="00C335ED" w:rsidRPr="00F422C8" w14:paraId="5EE8407A"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none" w:sz="0" w:space="0" w:color="auto"/>
              <w:bottom w:val="none" w:sz="0" w:space="0" w:color="auto"/>
            </w:tcBorders>
            <w:hideMark/>
          </w:tcPr>
          <w:p w14:paraId="4ED06B5F" w14:textId="77777777" w:rsidR="00C335ED" w:rsidRPr="005745B9" w:rsidRDefault="00C335ED" w:rsidP="005173F1">
            <w:pPr>
              <w:spacing w:line="276" w:lineRule="auto"/>
              <w:jc w:val="both"/>
              <w:rPr>
                <w:rFonts w:ascii="Times New Roman" w:hAnsi="Times New Roman" w:cs="Times New Roman"/>
                <w:b w:val="0"/>
                <w:bCs w:val="0"/>
                <w:sz w:val="24"/>
                <w:szCs w:val="24"/>
              </w:rPr>
            </w:pPr>
            <w:r w:rsidRPr="005745B9">
              <w:rPr>
                <w:rFonts w:ascii="Times New Roman" w:hAnsi="Times New Roman" w:cs="Times New Roman"/>
                <w:b w:val="0"/>
                <w:bCs w:val="0"/>
                <w:sz w:val="24"/>
                <w:szCs w:val="24"/>
              </w:rPr>
              <w:t>Nome do produto</w:t>
            </w:r>
          </w:p>
        </w:tc>
        <w:tc>
          <w:tcPr>
            <w:tcW w:w="1737" w:type="pct"/>
            <w:tcBorders>
              <w:top w:val="none" w:sz="0" w:space="0" w:color="auto"/>
              <w:bottom w:val="none" w:sz="0" w:space="0" w:color="auto"/>
            </w:tcBorders>
            <w:hideMark/>
          </w:tcPr>
          <w:p w14:paraId="2CB3F32E"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Adequado</w:t>
            </w:r>
          </w:p>
        </w:tc>
        <w:tc>
          <w:tcPr>
            <w:tcW w:w="323" w:type="pct"/>
            <w:tcBorders>
              <w:top w:val="none" w:sz="0" w:space="0" w:color="auto"/>
              <w:bottom w:val="none" w:sz="0" w:space="0" w:color="auto"/>
            </w:tcBorders>
            <w:hideMark/>
          </w:tcPr>
          <w:p w14:paraId="0E84F31F"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26</w:t>
            </w:r>
          </w:p>
        </w:tc>
        <w:tc>
          <w:tcPr>
            <w:tcW w:w="451" w:type="pct"/>
            <w:tcBorders>
              <w:top w:val="none" w:sz="0" w:space="0" w:color="auto"/>
              <w:bottom w:val="none" w:sz="0" w:space="0" w:color="auto"/>
            </w:tcBorders>
            <w:hideMark/>
          </w:tcPr>
          <w:p w14:paraId="1D6FA3B6"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92,9</w:t>
            </w:r>
          </w:p>
        </w:tc>
      </w:tr>
      <w:tr w:rsidR="00C335ED" w:rsidRPr="00F422C8" w14:paraId="51FFF9F7" w14:textId="77777777" w:rsidTr="005173F1">
        <w:tc>
          <w:tcPr>
            <w:cnfStyle w:val="001000000000" w:firstRow="0" w:lastRow="0" w:firstColumn="1" w:lastColumn="0" w:oddVBand="0" w:evenVBand="0" w:oddHBand="0" w:evenHBand="0" w:firstRowFirstColumn="0" w:firstRowLastColumn="0" w:lastRowFirstColumn="0" w:lastRowLastColumn="0"/>
            <w:tcW w:w="2489" w:type="pct"/>
            <w:hideMark/>
          </w:tcPr>
          <w:p w14:paraId="0EFE6D7A" w14:textId="77777777" w:rsidR="00C335ED" w:rsidRPr="005745B9" w:rsidRDefault="00C335ED" w:rsidP="005173F1">
            <w:pPr>
              <w:spacing w:line="276" w:lineRule="auto"/>
              <w:jc w:val="both"/>
              <w:rPr>
                <w:rFonts w:ascii="Times New Roman" w:hAnsi="Times New Roman" w:cs="Times New Roman"/>
                <w:b w:val="0"/>
                <w:bCs w:val="0"/>
                <w:sz w:val="24"/>
                <w:szCs w:val="24"/>
              </w:rPr>
            </w:pPr>
          </w:p>
        </w:tc>
        <w:tc>
          <w:tcPr>
            <w:tcW w:w="1737" w:type="pct"/>
            <w:hideMark/>
          </w:tcPr>
          <w:p w14:paraId="51BA9D0A"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Parcialmente adequado</w:t>
            </w:r>
          </w:p>
        </w:tc>
        <w:tc>
          <w:tcPr>
            <w:tcW w:w="323" w:type="pct"/>
            <w:hideMark/>
          </w:tcPr>
          <w:p w14:paraId="7F27598D"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w:t>
            </w:r>
          </w:p>
        </w:tc>
        <w:tc>
          <w:tcPr>
            <w:tcW w:w="451" w:type="pct"/>
            <w:hideMark/>
          </w:tcPr>
          <w:p w14:paraId="23A37D05"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7,1</w:t>
            </w:r>
          </w:p>
        </w:tc>
      </w:tr>
      <w:tr w:rsidR="00C335ED" w:rsidRPr="00F422C8" w14:paraId="712B7963"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none" w:sz="0" w:space="0" w:color="auto"/>
              <w:bottom w:val="none" w:sz="0" w:space="0" w:color="auto"/>
            </w:tcBorders>
            <w:hideMark/>
          </w:tcPr>
          <w:p w14:paraId="642547B4" w14:textId="77777777" w:rsidR="00C335ED" w:rsidRPr="005745B9" w:rsidRDefault="00C335ED" w:rsidP="005173F1">
            <w:pPr>
              <w:spacing w:line="276" w:lineRule="auto"/>
              <w:jc w:val="both"/>
              <w:rPr>
                <w:rFonts w:ascii="Times New Roman" w:hAnsi="Times New Roman" w:cs="Times New Roman"/>
                <w:b w:val="0"/>
                <w:bCs w:val="0"/>
                <w:sz w:val="24"/>
                <w:szCs w:val="24"/>
              </w:rPr>
            </w:pPr>
            <w:r w:rsidRPr="005745B9">
              <w:rPr>
                <w:rFonts w:ascii="Times New Roman" w:hAnsi="Times New Roman" w:cs="Times New Roman"/>
                <w:b w:val="0"/>
                <w:bCs w:val="0"/>
                <w:sz w:val="24"/>
                <w:szCs w:val="24"/>
              </w:rPr>
              <w:t>Clareza das informações do rótulo</w:t>
            </w:r>
          </w:p>
        </w:tc>
        <w:tc>
          <w:tcPr>
            <w:tcW w:w="1737" w:type="pct"/>
            <w:tcBorders>
              <w:top w:val="none" w:sz="0" w:space="0" w:color="auto"/>
              <w:bottom w:val="none" w:sz="0" w:space="0" w:color="auto"/>
            </w:tcBorders>
            <w:hideMark/>
          </w:tcPr>
          <w:p w14:paraId="053CAF78"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Fácil compreensão</w:t>
            </w:r>
          </w:p>
        </w:tc>
        <w:tc>
          <w:tcPr>
            <w:tcW w:w="323" w:type="pct"/>
            <w:tcBorders>
              <w:top w:val="none" w:sz="0" w:space="0" w:color="auto"/>
              <w:bottom w:val="none" w:sz="0" w:space="0" w:color="auto"/>
            </w:tcBorders>
            <w:hideMark/>
          </w:tcPr>
          <w:p w14:paraId="0424315D"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19</w:t>
            </w:r>
          </w:p>
        </w:tc>
        <w:tc>
          <w:tcPr>
            <w:tcW w:w="451" w:type="pct"/>
            <w:tcBorders>
              <w:top w:val="none" w:sz="0" w:space="0" w:color="auto"/>
              <w:bottom w:val="none" w:sz="0" w:space="0" w:color="auto"/>
            </w:tcBorders>
            <w:hideMark/>
          </w:tcPr>
          <w:p w14:paraId="7B867B0C"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67,9</w:t>
            </w:r>
          </w:p>
        </w:tc>
      </w:tr>
      <w:tr w:rsidR="00C335ED" w:rsidRPr="00F422C8" w14:paraId="7A3383F8" w14:textId="77777777" w:rsidTr="005173F1">
        <w:tc>
          <w:tcPr>
            <w:cnfStyle w:val="001000000000" w:firstRow="0" w:lastRow="0" w:firstColumn="1" w:lastColumn="0" w:oddVBand="0" w:evenVBand="0" w:oddHBand="0" w:evenHBand="0" w:firstRowFirstColumn="0" w:firstRowLastColumn="0" w:lastRowFirstColumn="0" w:lastRowLastColumn="0"/>
            <w:tcW w:w="2489" w:type="pct"/>
            <w:hideMark/>
          </w:tcPr>
          <w:p w14:paraId="2BDCB8E3" w14:textId="77777777" w:rsidR="00C335ED" w:rsidRPr="00F422C8" w:rsidRDefault="00C335ED" w:rsidP="005173F1">
            <w:pPr>
              <w:spacing w:line="276" w:lineRule="auto"/>
              <w:jc w:val="both"/>
              <w:rPr>
                <w:rFonts w:ascii="Times New Roman" w:hAnsi="Times New Roman" w:cs="Times New Roman"/>
                <w:sz w:val="24"/>
                <w:szCs w:val="24"/>
              </w:rPr>
            </w:pPr>
          </w:p>
        </w:tc>
        <w:tc>
          <w:tcPr>
            <w:tcW w:w="1737" w:type="pct"/>
            <w:hideMark/>
          </w:tcPr>
          <w:p w14:paraId="4DADA1EC"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Alguma dificuldade</w:t>
            </w:r>
          </w:p>
        </w:tc>
        <w:tc>
          <w:tcPr>
            <w:tcW w:w="323" w:type="pct"/>
            <w:hideMark/>
          </w:tcPr>
          <w:p w14:paraId="1929C330"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w:t>
            </w:r>
          </w:p>
        </w:tc>
        <w:tc>
          <w:tcPr>
            <w:tcW w:w="451" w:type="pct"/>
            <w:hideMark/>
          </w:tcPr>
          <w:p w14:paraId="7231C3DA" w14:textId="77777777" w:rsidR="00C335ED" w:rsidRPr="00F422C8" w:rsidRDefault="00C335ED" w:rsidP="005173F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25,0</w:t>
            </w:r>
          </w:p>
        </w:tc>
      </w:tr>
      <w:tr w:rsidR="00C335ED" w:rsidRPr="00F422C8" w14:paraId="4DD262BF" w14:textId="77777777" w:rsidTr="00517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9" w:type="pct"/>
            <w:tcBorders>
              <w:top w:val="none" w:sz="0" w:space="0" w:color="auto"/>
              <w:bottom w:val="single" w:sz="4" w:space="0" w:color="auto"/>
            </w:tcBorders>
            <w:hideMark/>
          </w:tcPr>
          <w:p w14:paraId="255AB203" w14:textId="77777777" w:rsidR="00C335ED" w:rsidRPr="00F422C8" w:rsidRDefault="00C335ED" w:rsidP="005173F1">
            <w:pPr>
              <w:spacing w:line="276" w:lineRule="auto"/>
              <w:jc w:val="both"/>
              <w:rPr>
                <w:rFonts w:ascii="Times New Roman" w:hAnsi="Times New Roman" w:cs="Times New Roman"/>
                <w:sz w:val="24"/>
                <w:szCs w:val="24"/>
              </w:rPr>
            </w:pPr>
          </w:p>
        </w:tc>
        <w:tc>
          <w:tcPr>
            <w:tcW w:w="1737" w:type="pct"/>
            <w:tcBorders>
              <w:top w:val="none" w:sz="0" w:space="0" w:color="auto"/>
              <w:bottom w:val="single" w:sz="4" w:space="0" w:color="auto"/>
            </w:tcBorders>
            <w:hideMark/>
          </w:tcPr>
          <w:p w14:paraId="236BECBE"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Pouco claras</w:t>
            </w:r>
          </w:p>
        </w:tc>
        <w:tc>
          <w:tcPr>
            <w:tcW w:w="323" w:type="pct"/>
            <w:tcBorders>
              <w:top w:val="none" w:sz="0" w:space="0" w:color="auto"/>
              <w:bottom w:val="single" w:sz="4" w:space="0" w:color="auto"/>
            </w:tcBorders>
            <w:hideMark/>
          </w:tcPr>
          <w:p w14:paraId="7E65EBB8"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2</w:t>
            </w:r>
          </w:p>
        </w:tc>
        <w:tc>
          <w:tcPr>
            <w:tcW w:w="451" w:type="pct"/>
            <w:tcBorders>
              <w:top w:val="none" w:sz="0" w:space="0" w:color="auto"/>
              <w:bottom w:val="single" w:sz="4" w:space="0" w:color="auto"/>
            </w:tcBorders>
            <w:hideMark/>
          </w:tcPr>
          <w:p w14:paraId="2710E29D" w14:textId="77777777" w:rsidR="00C335ED" w:rsidRPr="00F422C8" w:rsidRDefault="00C335ED" w:rsidP="005173F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22C8">
              <w:rPr>
                <w:rFonts w:ascii="Times New Roman" w:hAnsi="Times New Roman" w:cs="Times New Roman"/>
                <w:sz w:val="24"/>
                <w:szCs w:val="24"/>
              </w:rPr>
              <w:t>7,1</w:t>
            </w:r>
          </w:p>
        </w:tc>
      </w:tr>
    </w:tbl>
    <w:p w14:paraId="1B231EB1" w14:textId="77777777" w:rsidR="00C335ED" w:rsidRPr="00F422C8" w:rsidRDefault="00C335ED" w:rsidP="00C335ED">
      <w:pPr>
        <w:spacing w:line="360" w:lineRule="auto"/>
        <w:jc w:val="both"/>
        <w:rPr>
          <w:rFonts w:ascii="Times New Roman" w:hAnsi="Times New Roman" w:cs="Times New Roman"/>
          <w:sz w:val="24"/>
          <w:szCs w:val="24"/>
        </w:rPr>
      </w:pPr>
      <w:r w:rsidRPr="00F422C8">
        <w:rPr>
          <w:rFonts w:ascii="Times New Roman" w:hAnsi="Times New Roman" w:cs="Times New Roman"/>
          <w:b/>
          <w:bCs/>
          <w:sz w:val="24"/>
          <w:szCs w:val="24"/>
        </w:rPr>
        <w:t>Fonte:</w:t>
      </w:r>
      <w:r w:rsidRPr="00F422C8">
        <w:rPr>
          <w:rFonts w:ascii="Times New Roman" w:hAnsi="Times New Roman" w:cs="Times New Roman"/>
          <w:sz w:val="24"/>
          <w:szCs w:val="24"/>
        </w:rPr>
        <w:t xml:space="preserve"> Dados da pesquisa (2026).</w:t>
      </w:r>
    </w:p>
    <w:p w14:paraId="2D5D35F5" w14:textId="77777777" w:rsidR="00C335ED" w:rsidRDefault="00C335ED" w:rsidP="00C335ED">
      <w:pPr>
        <w:spacing w:line="360" w:lineRule="auto"/>
        <w:jc w:val="both"/>
        <w:rPr>
          <w:rFonts w:ascii="Times New Roman" w:hAnsi="Times New Roman" w:cs="Times New Roman"/>
          <w:b/>
          <w:bCs/>
          <w:sz w:val="24"/>
          <w:szCs w:val="24"/>
        </w:rPr>
      </w:pPr>
    </w:p>
    <w:p w14:paraId="6BEBC0AF"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lastRenderedPageBreak/>
        <w:t>Sob o ponto de vista regulatório, a rotulagem representa um dos principais instrumentos de comunicação entre fabricante e consumidor, devendo apresentar informações claras, completas e compatíveis com a legislação sanitária vigente. A identificação de dificuldades de leitura por parte de alguns participantes reforça a importância da linguagem acessível e da organização visual das informações, especialmente quando o público-alvo é composto predominantemente por idosos.</w:t>
      </w:r>
    </w:p>
    <w:p w14:paraId="4E4BDAC1"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No âmbito do </w:t>
      </w:r>
      <w:r w:rsidRPr="00F422C8">
        <w:rPr>
          <w:rFonts w:ascii="Times New Roman" w:hAnsi="Times New Roman" w:cs="Times New Roman"/>
          <w:b/>
          <w:bCs/>
          <w:sz w:val="24"/>
          <w:szCs w:val="24"/>
        </w:rPr>
        <w:t>FIDTEU</w:t>
      </w:r>
      <w:r w:rsidRPr="00F422C8">
        <w:rPr>
          <w:rFonts w:ascii="Times New Roman" w:hAnsi="Times New Roman" w:cs="Times New Roman"/>
          <w:sz w:val="24"/>
          <w:szCs w:val="24"/>
        </w:rPr>
        <w:t>, a avaliação da embalagem e da rotulagem representa a etapa final do processo de validação tecnológica, na qual aspectos científicos, regulatórios e sociais convergem para o aperfeiçoamento da tecnologia desenvolvida. Assim, a participação da comunidade não apenas válida a formulação, mas também contribui para qualificar sua apresentação final, fortalecendo a transferência do conhecimento científico para a sociedade.</w:t>
      </w:r>
    </w:p>
    <w:p w14:paraId="4F140E94" w14:textId="77777777" w:rsidR="00C335ED" w:rsidRDefault="00C335ED" w:rsidP="00C335ED">
      <w:pPr>
        <w:spacing w:line="360" w:lineRule="auto"/>
        <w:jc w:val="both"/>
        <w:rPr>
          <w:rFonts w:ascii="Times New Roman" w:hAnsi="Times New Roman" w:cs="Times New Roman"/>
          <w:sz w:val="24"/>
          <w:szCs w:val="24"/>
        </w:rPr>
      </w:pPr>
    </w:p>
    <w:p w14:paraId="4F803641" w14:textId="77777777" w:rsidR="00C335ED" w:rsidRPr="00C42D88" w:rsidRDefault="00C335ED" w:rsidP="00C335ED">
      <w:pPr>
        <w:spacing w:line="360" w:lineRule="auto"/>
        <w:jc w:val="both"/>
        <w:rPr>
          <w:rFonts w:ascii="Times New Roman" w:hAnsi="Times New Roman" w:cs="Times New Roman"/>
          <w:b/>
          <w:bCs/>
          <w:sz w:val="24"/>
          <w:szCs w:val="24"/>
        </w:rPr>
      </w:pPr>
      <w:r w:rsidRPr="00C42D88">
        <w:rPr>
          <w:rFonts w:ascii="Times New Roman" w:hAnsi="Times New Roman" w:cs="Times New Roman"/>
          <w:b/>
          <w:bCs/>
          <w:sz w:val="24"/>
          <w:szCs w:val="24"/>
        </w:rPr>
        <w:t>4.5 Gestão do Conhecimento aplicada ao desenvolvimento do Derma Hydriss</w:t>
      </w:r>
    </w:p>
    <w:p w14:paraId="04AE4A70" w14:textId="77777777" w:rsidR="00C335ED" w:rsidRPr="00965CCD" w:rsidRDefault="00C335ED" w:rsidP="00216CF3">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Os resultados obtidos evidenciam que o desenvolvimento do gel-creme não se limitou à elaboração de uma formulação cosmética, mas constituiu um processo estruturado de produção, validação e aplicação do conhecimento.</w:t>
      </w:r>
    </w:p>
    <w:p w14:paraId="2D6A509A" w14:textId="77777777" w:rsidR="00C335ED" w:rsidRPr="00965CCD" w:rsidRDefault="00C335ED" w:rsidP="00216CF3">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O diagnóstico comunitário permitiu identificar demandas relacionadas à xerose cutânea e ao desconforto associado ao envelhecimento da pele, convertendo essas necessidades em requisitos técnicos para o desenvolvimento farmacotécnico. Posteriormente, a seleção dos ativos, a produção piloto, o controle de qualidade e a validação sensorial consolidaram um fluxo contínuo de criação do conhecimento, compatível com o modelo SECI proposto por Nonaka e Takeuchi.</w:t>
      </w:r>
    </w:p>
    <w:p w14:paraId="62A2FA56" w14:textId="77777777" w:rsidR="00C335ED" w:rsidRPr="00965CCD" w:rsidRDefault="00C335ED" w:rsidP="00216CF3">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Sob essa perspectiva, o Fluxo Integrado de Desenvolvimento Tecnológico em Extensão Universitária (FIDTEU) mostrou-se capaz de integrar ensino, pesquisa, extensão universitária e inovação tecnológica em um único processo metodológico. O conhecimento produzido deixou de permanecer restrito ao ambiente acadêmico e foi convertido em uma tecnologia aplicada às necessidades da comunidade, caracterizando um processo de inovação social fundamentado na Gestão do Conhecimento.</w:t>
      </w:r>
    </w:p>
    <w:p w14:paraId="216A9FA4" w14:textId="77777777" w:rsidR="00C335ED" w:rsidRPr="00965CCD" w:rsidRDefault="00C335ED" w:rsidP="00C335ED">
      <w:pPr>
        <w:spacing w:line="360" w:lineRule="auto"/>
        <w:jc w:val="both"/>
        <w:rPr>
          <w:rFonts w:ascii="Times New Roman" w:hAnsi="Times New Roman" w:cs="Times New Roman"/>
          <w:sz w:val="24"/>
          <w:szCs w:val="24"/>
        </w:rPr>
      </w:pPr>
    </w:p>
    <w:p w14:paraId="127B2DB9" w14:textId="77777777" w:rsidR="00C335ED" w:rsidRPr="00C42D88" w:rsidRDefault="00C335ED" w:rsidP="00C335ED">
      <w:pPr>
        <w:spacing w:line="360" w:lineRule="auto"/>
        <w:jc w:val="both"/>
        <w:rPr>
          <w:rFonts w:ascii="Times New Roman" w:hAnsi="Times New Roman" w:cs="Times New Roman"/>
          <w:b/>
          <w:bCs/>
          <w:sz w:val="24"/>
          <w:szCs w:val="24"/>
        </w:rPr>
      </w:pPr>
      <w:r w:rsidRPr="00C42D88">
        <w:rPr>
          <w:rFonts w:ascii="Times New Roman" w:hAnsi="Times New Roman" w:cs="Times New Roman"/>
          <w:b/>
          <w:bCs/>
          <w:sz w:val="24"/>
          <w:szCs w:val="24"/>
        </w:rPr>
        <w:t>4.6 Discussão integrativa dos resultados</w:t>
      </w:r>
    </w:p>
    <w:p w14:paraId="1A95CF34"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 xml:space="preserve">Os resultados obtidos demonstram que o desenvolvimento do gel-creme Derma Hydriss foi capaz de atender às necessidades identificadas durante o diagnóstico comunitário, apresentando elevada aceitação sensorial e desempenho tecnológico compatível com sua finalidade de uso. Entretanto, a principal contribuição deste estudo ultrapassa a obtenção de </w:t>
      </w:r>
      <w:r w:rsidRPr="00965CCD">
        <w:rPr>
          <w:rFonts w:ascii="Times New Roman" w:hAnsi="Times New Roman" w:cs="Times New Roman"/>
          <w:sz w:val="24"/>
          <w:szCs w:val="24"/>
        </w:rPr>
        <w:lastRenderedPageBreak/>
        <w:t>uma formulação cosmética estável e bem aceita pelos participantes. O diferencial reside na forma como o conhecimento foi produzido, organizado, validado e aplicado ao longo de todo o processo de desenvolvimento tecnológico.</w:t>
      </w:r>
    </w:p>
    <w:p w14:paraId="003AABD3"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A utilização do Fluxo Integrado de Desenvolvimento Tecnológico em Extensão Universitária (FIDTEU) permitiu estruturar um processo contínuo de criação do conhecimento, iniciando-se pela identificação das demandas da comunidade, passando pela seleção racional dos ativos, desenvolvimento farmacotécnico, controle de qualidade e validação do produto junto aos usuários. Essa sequência metodológica evidencia que o desenvolvimento tecnológico ocorreu de maneira integrada e fundamentada em evidências científicas, reduzindo a distância tradicional entre produção acadêmica e aplicação prática do conhecimento.</w:t>
      </w:r>
    </w:p>
    <w:p w14:paraId="65DE7E63"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Sob a perspectiva da Gestão do Conhecimento, o estudo materializa o modelo de criação do conhecimento proposto por Nonaka e Takeuchi (1995). O diagnóstico comunitário possibilitou captar o conhecimento tácito expresso pelas experiências e necessidades dos idosos participantes. A sistematização dessas informações, associada à revisão da literatura científica e ao desenvolvimento farmacotécnico, promoveu a externalização e a combinação do conhecimento, convertendo informações empíricas em conhecimento científico estruturado. Finalmente, a validação da formulação e sua devolutiva à comunidade representam a etapa de internalização, caracterizando um ciclo contínuo de aprendizagem e inovação.</w:t>
      </w:r>
    </w:p>
    <w:p w14:paraId="23A399C6"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Outro aspecto relevante refere-se ao papel da extensão universitária como ambiente de produção do conhecimento. Tradicionalmente compreendida como um mecanismo de interação entre universidade e sociedade, a extensão assume, neste estudo, uma função mais ampla ao atuar como espaço de identificação de problemas reais, construção coletiva de soluções e validação social das tecnologias desenvolvidas. Dessa forma, ensino, pesquisa e extensão deixam de constituir atividades independentes e passam a integrar um único processo de desenvolvimento tecnológico orientado pelas necessidades da comunidade.</w:t>
      </w:r>
    </w:p>
    <w:p w14:paraId="564F01D1"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Os resultados também reforçam a importância da participação ativa dos usuários durante o processo de desenvolvimento de tecnologias em saúde. A elevada aceitação da formulação, observada em praticamente todos os atributos avaliados, sugere que a incorporação das percepções da comunidade desde as fases iniciais do projeto contribuiu para o desenvolvimento de um produto mais compatível com as expectativas dos futuros usuários. Esse achado está em consonância com os princípios da inovação social, que defendem a participação dos beneficiários não apenas como receptores das soluções, mas como atores fundamentais na definição dos problemas e na construção das respostas tecnológicas.</w:t>
      </w:r>
    </w:p>
    <w:p w14:paraId="3005944E"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lastRenderedPageBreak/>
        <w:t>Sob o ponto de vista farmacotécnico, o desenvolvimento do gel-creme Derma Hydriss demonstrou que a seleção racional da forma farmacêutica e dos ativos cosméticos pode resultar em uma formulação com características sensoriais favoráveis, adequada espalhabilidade, rápida absorção e elevada aceitabilidade. Esses aspectos são particularmente relevantes para produtos destinados ao cuidado da pele envelhecida, uma vez que a adesão ao uso contínuo está diretamente relacionada à experiência sensorial proporcionada pela formulação, além de sua eficácia percebida pelo usuário.</w:t>
      </w:r>
    </w:p>
    <w:p w14:paraId="611744F5"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O controle de qualidade realizado ao longo do estudo complementou esse processo ao fornecer evidências da conformidade físico-química, microbiológica e regulatória da formulação. Mais do que uma etapa obrigatória do desenvolvimento cosmético, os ensaios laboratoriais representaram a validação técnica do conhecimento produzido, assegurando que a tecnologia desenvolvida apresentasse condições adequadas de qualidade, estabilidade e segurança para sua utilização.</w:t>
      </w:r>
    </w:p>
    <w:p w14:paraId="54BD55ED" w14:textId="77777777" w:rsidR="00C335ED" w:rsidRPr="00965CC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Em conjunto, esses resultados demonstram que o presente estudo extrapola a descrição do desenvolvimento de um produto cosmético. O Derma Hydriss constitui a evidência prática de um processo metodológico que integra diagnóstico comunitário, pesquisa científica, desenvolvimento farmacotécnico, controle de qualidade e inovação social em um único fluxo de produção do conhecimento. Essa integração confere ao FIDTEU potencial para ser utilizado como modelo metodológico em projetos de desenvolvimento tecnológico voltados às necessidades da sociedade, fortalecendo o papel da universidade como instituição produtora, disseminadora e aplicadora do conhecimento.</w:t>
      </w:r>
    </w:p>
    <w:p w14:paraId="7E9646A7" w14:textId="77777777" w:rsidR="00C335ED" w:rsidRDefault="00C335ED" w:rsidP="00C335ED">
      <w:pPr>
        <w:spacing w:line="360" w:lineRule="auto"/>
        <w:ind w:firstLine="720"/>
        <w:jc w:val="both"/>
        <w:rPr>
          <w:rFonts w:ascii="Times New Roman" w:hAnsi="Times New Roman" w:cs="Times New Roman"/>
          <w:sz w:val="24"/>
          <w:szCs w:val="24"/>
        </w:rPr>
      </w:pPr>
      <w:r w:rsidRPr="00965CCD">
        <w:rPr>
          <w:rFonts w:ascii="Times New Roman" w:hAnsi="Times New Roman" w:cs="Times New Roman"/>
          <w:sz w:val="24"/>
          <w:szCs w:val="24"/>
        </w:rPr>
        <w:t>Assim, mais do que desenvolver um gel-creme hidratante para pele senil, este estudo demonstra que a articulação entre Gestão do Conhecimento, extensão universitária, tecnologia farmacêutica e inovação social possibilita transformar demandas reais da comunidade em soluções tecnológicas cientificamente fundamentadas. Nessa perspectiva, o FIDTEU representa uma contribuição metodológica original, passível de adaptação para diferentes áreas da saúde e capaz de ampliar o impacto social das universidades por meio da produção de tecnologias orientadas pelas necessidades da população.</w:t>
      </w:r>
    </w:p>
    <w:p w14:paraId="66216189" w14:textId="77777777" w:rsidR="00C335ED" w:rsidRPr="00F422C8" w:rsidRDefault="00C335ED" w:rsidP="00C335ED">
      <w:pPr>
        <w:spacing w:line="360" w:lineRule="auto"/>
        <w:jc w:val="both"/>
        <w:rPr>
          <w:rFonts w:ascii="Times New Roman" w:hAnsi="Times New Roman" w:cs="Times New Roman"/>
          <w:sz w:val="24"/>
          <w:szCs w:val="24"/>
        </w:rPr>
      </w:pPr>
    </w:p>
    <w:p w14:paraId="19243A6F" w14:textId="77777777" w:rsidR="00C335ED" w:rsidRDefault="00C335ED" w:rsidP="00C335ED">
      <w:pPr>
        <w:numPr>
          <w:ilvl w:val="0"/>
          <w:numId w:val="3"/>
        </w:numPr>
        <w:pBdr>
          <w:top w:val="nil"/>
          <w:left w:val="nil"/>
          <w:bottom w:val="nil"/>
          <w:right w:val="nil"/>
          <w:between w:val="nil"/>
        </w:pBdr>
        <w:spacing w:line="360" w:lineRule="auto"/>
        <w:ind w:left="426" w:hanging="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CONSIDERAÇÕES FINAIS E IMPLICAÇÕES</w:t>
      </w:r>
    </w:p>
    <w:p w14:paraId="23CF1B0C" w14:textId="4B5F18E8"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O presente estudo demonstrou que a integração entre ensino, pesquisa e extensão universitária constitui uma estratégia eficaz para transformar demandas comunitárias em tecnologias aplicadas à saúde, fundamentadas em evidências científicas. A partir da </w:t>
      </w:r>
      <w:r w:rsidRPr="00F422C8">
        <w:rPr>
          <w:rFonts w:ascii="Times New Roman" w:hAnsi="Times New Roman" w:cs="Times New Roman"/>
          <w:sz w:val="24"/>
          <w:szCs w:val="24"/>
        </w:rPr>
        <w:lastRenderedPageBreak/>
        <w:t xml:space="preserve">identificação das necessidades relacionadas ao cuidado da pele de idosos atendidos pelo Centro de Convivência Vovô Zeid, foi possível desenvolver e validar tecnologicamente o gel-creme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cuja formulação apresentou elevada aceitação sensorial, desempenho tecnológico compatível com sua finalidade e conformidade com os parâmetros de qualidade físico-químicos, microbiológicos e regulatórios avaliados.</w:t>
      </w:r>
      <w:r>
        <w:rPr>
          <w:rFonts w:ascii="Times New Roman" w:hAnsi="Times New Roman" w:cs="Times New Roman"/>
          <w:sz w:val="24"/>
          <w:szCs w:val="24"/>
        </w:rPr>
        <w:t xml:space="preserve"> </w:t>
      </w:r>
      <w:r w:rsidRPr="006F7C27">
        <w:rPr>
          <w:rFonts w:ascii="Times New Roman" w:hAnsi="Times New Roman" w:cs="Times New Roman"/>
          <w:sz w:val="24"/>
          <w:szCs w:val="24"/>
        </w:rPr>
        <w:t>Apesar dos resultados favoráveis, eles devem ser interpretados considerando a natureza exploratória da pesquisa e o número relativamente reduzido de participantes</w:t>
      </w:r>
    </w:p>
    <w:p w14:paraId="5B4D5188"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 xml:space="preserve">Entretanto, a principal contribuição deste trabalho transcende o desenvolvimento de um produto cosmético. O estudo evidencia que o conhecimento produzido pela comunidade pode ser sistematizado, validado cientificamente e convertido em inovação tecnológica por meio de um processo estruturado de Gestão do Conhecimento. Nesse contexto, o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xml:space="preserve"> representa a materialização de um ciclo contínuo de produção, compartilhamento e aplicação do conhecimento, no qual experiências, necessidades e saberes comunitários foram transformados em uma tecnologia voltada à promoção da saúde.</w:t>
      </w:r>
    </w:p>
    <w:p w14:paraId="403DB4C2"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Os resultados obtidos reforçam o papel da universidade como agente de inovação social, demonstrando que projetos extensionistas podem extrapolar ações assistenciais e constituir ambientes de desenvolvimento científico e tecnológico. A participação ativa da comunidade durante todas as etapas do processo permitiu alinhar o desenvolvimento farmacotécnico às necessidades reais dos usuários, fortalecendo a construção colaborativa do conhecimento e ampliando o impacto social da tecnologia desenvolvida.</w:t>
      </w:r>
    </w:p>
    <w:p w14:paraId="1A4C54F7" w14:textId="77777777" w:rsidR="00C335ED" w:rsidRDefault="00C335ED" w:rsidP="00C335ED">
      <w:pPr>
        <w:spacing w:line="360" w:lineRule="auto"/>
        <w:jc w:val="both"/>
        <w:rPr>
          <w:rFonts w:ascii="Times New Roman" w:hAnsi="Times New Roman" w:cs="Times New Roman"/>
          <w:b/>
          <w:bCs/>
          <w:sz w:val="24"/>
          <w:szCs w:val="24"/>
        </w:rPr>
      </w:pPr>
    </w:p>
    <w:p w14:paraId="7D643D13"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5.1 Contribuição do trabalho</w:t>
      </w:r>
    </w:p>
    <w:p w14:paraId="09880EB2"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E0527B">
        <w:rPr>
          <w:rFonts w:ascii="Times New Roman" w:hAnsi="Times New Roman" w:cs="Times New Roman"/>
          <w:sz w:val="24"/>
          <w:szCs w:val="24"/>
        </w:rPr>
        <w:t>A principal contribuição científica deste estudo consiste na proposição e validação conceitual do Fluxo Integrado de Desenvolvimento Tecnológico em Extensão Universitária (FIDTEU), um modelo metodológico original que sistematiza a conversão do conhecimento tácito da comunidade em conhecimento científico, desenvolvimento tecnológico e inovação social em saúde.</w:t>
      </w:r>
      <w:r>
        <w:rPr>
          <w:rFonts w:ascii="Times New Roman" w:hAnsi="Times New Roman" w:cs="Times New Roman"/>
          <w:sz w:val="24"/>
          <w:szCs w:val="24"/>
        </w:rPr>
        <w:t xml:space="preserve"> </w:t>
      </w:r>
      <w:r w:rsidRPr="00F422C8">
        <w:rPr>
          <w:rFonts w:ascii="Times New Roman" w:hAnsi="Times New Roman" w:cs="Times New Roman"/>
          <w:sz w:val="24"/>
          <w:szCs w:val="24"/>
        </w:rPr>
        <w:t>Diferentemente de estudos voltados exclusivamente ao desenvolvimento de formulações cosméticas, o presente trabalho sistematiza um processo de criação do conhecimento que integra diagnóstico comunitário, produção científica, desenvolvimento farmacotécnico, controle de qualidade, validação tecnológica e devolutiva à comunidade em um fluxo contínuo de aprendizagem e inovação.</w:t>
      </w:r>
    </w:p>
    <w:p w14:paraId="43A881D4" w14:textId="77777777" w:rsidR="00C335ED" w:rsidRPr="00F422C8" w:rsidRDefault="00C335ED" w:rsidP="00C335E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Considerando o modelo proposto</w:t>
      </w:r>
      <w:r w:rsidRPr="00F422C8">
        <w:rPr>
          <w:rFonts w:ascii="Times New Roman" w:hAnsi="Times New Roman" w:cs="Times New Roman"/>
          <w:sz w:val="24"/>
          <w:szCs w:val="24"/>
        </w:rPr>
        <w:t xml:space="preserve">, o FIDTEU operacionaliza a conversão do conhecimento tácito em conhecimento explícito, conforme proposto por Nonaka e Takeuchi (1995), demonstrando como necessidades identificadas junto à população podem originar </w:t>
      </w:r>
      <w:r w:rsidRPr="00F422C8">
        <w:rPr>
          <w:rFonts w:ascii="Times New Roman" w:hAnsi="Times New Roman" w:cs="Times New Roman"/>
          <w:sz w:val="24"/>
          <w:szCs w:val="24"/>
        </w:rPr>
        <w:lastRenderedPageBreak/>
        <w:t xml:space="preserve">tecnologias socialmente relevantes e cientificamente fundamentadas. </w:t>
      </w:r>
      <w:r>
        <w:rPr>
          <w:rFonts w:ascii="Times New Roman" w:hAnsi="Times New Roman" w:cs="Times New Roman"/>
          <w:sz w:val="24"/>
          <w:szCs w:val="24"/>
        </w:rPr>
        <w:t>Assim</w:t>
      </w:r>
      <w:r w:rsidRPr="00F422C8">
        <w:rPr>
          <w:rFonts w:ascii="Times New Roman" w:hAnsi="Times New Roman" w:cs="Times New Roman"/>
          <w:sz w:val="24"/>
          <w:szCs w:val="24"/>
        </w:rPr>
        <w:t xml:space="preserve"> o modelo amplia a compreensão da extensão universitária como espaço de produção de conhecimento, inovação e desenvolvimento tecnológico.</w:t>
      </w:r>
    </w:p>
    <w:p w14:paraId="32898094" w14:textId="77777777" w:rsidR="00C335ED" w:rsidRDefault="00C335ED" w:rsidP="00C335ED">
      <w:pPr>
        <w:spacing w:line="360" w:lineRule="auto"/>
        <w:jc w:val="both"/>
        <w:rPr>
          <w:rFonts w:ascii="Times New Roman" w:hAnsi="Times New Roman" w:cs="Times New Roman"/>
          <w:b/>
          <w:bCs/>
          <w:sz w:val="24"/>
          <w:szCs w:val="24"/>
        </w:rPr>
      </w:pPr>
    </w:p>
    <w:p w14:paraId="60166A15"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5.2 Implicações teóricas e práticas</w:t>
      </w:r>
    </w:p>
    <w:p w14:paraId="56F089EF"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Do ponto de vista teórico, os resultados contribuem para ampliar a aplicação dos princípios da Gestão do Conhecimento em contextos de desenvolvimento tecnológico em saúde, demonstrando que modelos originalmente concebidos para ambientes organizacionais podem ser adaptados à realidade da extensão universitária e da inovação social.</w:t>
      </w:r>
    </w:p>
    <w:p w14:paraId="64E87BA6"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O estudo também fortalece o campo da Farmácia e da Cosmetologia ao evidenciar que o desenvolvimento farmacotécnico orientado por diagnóstico participativo favorece a elaboração de tecnologias mais aderentes às necessidades da população. Além disso, reforça o potencial da extensão universitária como estratégia para integração entre ensino, pesquisa e inovação, promovendo formação profissional baseada em problemas reais e produção de conhecimento socialmente relevante.</w:t>
      </w:r>
    </w:p>
    <w:p w14:paraId="45DC89BD"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Sob o ponto de vista prático, o FIDTEU apresenta potencial de aplicação em diferentes cenários de formação e desenvolvimento tecnológico, incluindo farmácias universitárias, clínicas-escola, laboratórios de pesquisa, projetos extensionistas e Instituições de Longa Permanência para Idosos (ILPIs). Sua utilização pode contribuir para estruturar processos de desenvolvimento de tecnologias voltadas às necessidades da comunidade, fortalecendo a interação entre universidade e sociedade e ampliando a transferência do conhecimento científico para contextos assistenciais.</w:t>
      </w:r>
    </w:p>
    <w:p w14:paraId="389CE9DB" w14:textId="77777777" w:rsidR="00C335ED" w:rsidRDefault="00C335ED" w:rsidP="00C335ED">
      <w:pPr>
        <w:spacing w:line="360" w:lineRule="auto"/>
        <w:jc w:val="both"/>
        <w:rPr>
          <w:rFonts w:ascii="Times New Roman" w:hAnsi="Times New Roman" w:cs="Times New Roman"/>
          <w:b/>
          <w:bCs/>
          <w:sz w:val="24"/>
          <w:szCs w:val="24"/>
        </w:rPr>
      </w:pPr>
    </w:p>
    <w:p w14:paraId="76C45A5C"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5.3 Implicações gerenciais</w:t>
      </w:r>
    </w:p>
    <w:p w14:paraId="65CB7986" w14:textId="77777777" w:rsidR="00C335ED" w:rsidRPr="00BD6491" w:rsidRDefault="00C335ED" w:rsidP="00C335ED">
      <w:pPr>
        <w:spacing w:line="360" w:lineRule="auto"/>
        <w:ind w:firstLine="708"/>
        <w:jc w:val="both"/>
        <w:rPr>
          <w:rFonts w:ascii="Times New Roman" w:hAnsi="Times New Roman" w:cs="Times New Roman"/>
          <w:sz w:val="24"/>
          <w:szCs w:val="24"/>
        </w:rPr>
      </w:pPr>
      <w:r w:rsidRPr="00BD6491">
        <w:rPr>
          <w:rFonts w:ascii="Times New Roman" w:hAnsi="Times New Roman" w:cs="Times New Roman"/>
          <w:sz w:val="24"/>
          <w:szCs w:val="24"/>
        </w:rPr>
        <w:t>O Fluxo Integrado de Desenvolvimento Tecnológico em Extensão Universitária (FIDTEU) apresenta potencial de aplicação em diferentes contextos institucionais voltados à inovação em saúde e à Gestão do Conhecimento. Para gestores universitários, o modelo oferece uma metodologia estruturada para integrar ensino, pesquisa, extensão e desenvolvimento tecnológico em um processo contínuo de geração de conhecimento orientado às demandas sociais.</w:t>
      </w:r>
    </w:p>
    <w:p w14:paraId="4A01FE7E" w14:textId="77777777" w:rsidR="00C335ED" w:rsidRPr="00BD6491" w:rsidRDefault="00C335ED" w:rsidP="00C335ED">
      <w:pPr>
        <w:spacing w:line="360" w:lineRule="auto"/>
        <w:ind w:firstLine="708"/>
        <w:jc w:val="both"/>
        <w:rPr>
          <w:rFonts w:ascii="Times New Roman" w:hAnsi="Times New Roman" w:cs="Times New Roman"/>
          <w:sz w:val="24"/>
          <w:szCs w:val="24"/>
        </w:rPr>
      </w:pPr>
      <w:r w:rsidRPr="00BD6491">
        <w:rPr>
          <w:rFonts w:ascii="Times New Roman" w:hAnsi="Times New Roman" w:cs="Times New Roman"/>
          <w:sz w:val="24"/>
          <w:szCs w:val="24"/>
        </w:rPr>
        <w:t xml:space="preserve">No âmbito da gestão acadêmica, o FIDTEU contribui para a curricularização da extensão ao fornecer um fluxo operacional que permite transformar problemas identificados na comunidade em projetos de pesquisa aplicada e inovação tecnológica. Para laboratórios universitários, farmácias-escola, clínicas-escola e centros de pesquisa, o modelo possibilita </w:t>
      </w:r>
      <w:r w:rsidRPr="00BD6491">
        <w:rPr>
          <w:rFonts w:ascii="Times New Roman" w:hAnsi="Times New Roman" w:cs="Times New Roman"/>
          <w:sz w:val="24"/>
          <w:szCs w:val="24"/>
        </w:rPr>
        <w:lastRenderedPageBreak/>
        <w:t>padronizar etapas de diagnóstico participativo, desenvolvimento de tecnologias, validação científica e devolutiva social, favorecendo maior eficiência na gestão de projetos.</w:t>
      </w:r>
    </w:p>
    <w:p w14:paraId="498D086E" w14:textId="77777777" w:rsidR="00C335ED" w:rsidRDefault="00C335ED" w:rsidP="00C335ED">
      <w:pPr>
        <w:spacing w:line="360" w:lineRule="auto"/>
        <w:ind w:firstLine="708"/>
        <w:jc w:val="both"/>
        <w:rPr>
          <w:rFonts w:ascii="Times New Roman" w:hAnsi="Times New Roman" w:cs="Times New Roman"/>
          <w:sz w:val="24"/>
          <w:szCs w:val="24"/>
        </w:rPr>
      </w:pPr>
      <w:r w:rsidRPr="00BD6491">
        <w:rPr>
          <w:rFonts w:ascii="Times New Roman" w:hAnsi="Times New Roman" w:cs="Times New Roman"/>
          <w:sz w:val="24"/>
          <w:szCs w:val="24"/>
        </w:rPr>
        <w:t>Além disso, a utilização do FIDTEU fortalece processos de tomada de decisão baseados em evidências, amplia a interação entre diferentes atores institucionais e estimula a produção de tecnologias socialmente relevantes, alinhadas aos princípios da inovação aberta, da sustentabilidade e da Gestão do Conhecimento.</w:t>
      </w:r>
    </w:p>
    <w:p w14:paraId="428949F0" w14:textId="77777777" w:rsidR="00C335ED" w:rsidRDefault="00C335ED" w:rsidP="00C335ED">
      <w:pPr>
        <w:spacing w:line="360" w:lineRule="auto"/>
        <w:jc w:val="both"/>
        <w:rPr>
          <w:rFonts w:ascii="Times New Roman" w:hAnsi="Times New Roman" w:cs="Times New Roman"/>
          <w:b/>
          <w:bCs/>
          <w:sz w:val="24"/>
          <w:szCs w:val="24"/>
        </w:rPr>
      </w:pPr>
    </w:p>
    <w:p w14:paraId="27E65E32" w14:textId="77777777" w:rsidR="00C335ED" w:rsidRPr="00F422C8" w:rsidRDefault="00C335ED" w:rsidP="00C335ED">
      <w:pPr>
        <w:spacing w:line="360" w:lineRule="auto"/>
        <w:jc w:val="both"/>
        <w:rPr>
          <w:rFonts w:ascii="Times New Roman" w:hAnsi="Times New Roman" w:cs="Times New Roman"/>
          <w:b/>
          <w:bCs/>
          <w:sz w:val="24"/>
          <w:szCs w:val="24"/>
        </w:rPr>
      </w:pPr>
      <w:r w:rsidRPr="00F422C8">
        <w:rPr>
          <w:rFonts w:ascii="Times New Roman" w:hAnsi="Times New Roman" w:cs="Times New Roman"/>
          <w:b/>
          <w:bCs/>
          <w:sz w:val="24"/>
          <w:szCs w:val="24"/>
        </w:rPr>
        <w:t>5.4 Limitações da pesquisa e perspectivas futuras</w:t>
      </w:r>
    </w:p>
    <w:p w14:paraId="4BB86E1E"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Embora os resultados obtidos sejam promissores, algumas limitações devem ser consideradas. O estudo foi desenvolvido com participantes de uma única comunidade, o que limita a extrapolação dos achados para outras populações. Além disso, o desenvolvimento da formulação ocorreu em escala piloto, característica inerente a projetos acadêmicos de pesquisa e extensão, não contemplando produção em escala industrial.</w:t>
      </w:r>
    </w:p>
    <w:p w14:paraId="7D655973" w14:textId="77777777" w:rsidR="00C335ED" w:rsidRPr="00F422C8" w:rsidRDefault="00C335ED" w:rsidP="00C335ED">
      <w:pPr>
        <w:spacing w:line="360" w:lineRule="auto"/>
        <w:ind w:firstLine="708"/>
        <w:jc w:val="both"/>
        <w:rPr>
          <w:rFonts w:ascii="Times New Roman" w:hAnsi="Times New Roman" w:cs="Times New Roman"/>
          <w:sz w:val="24"/>
          <w:szCs w:val="24"/>
        </w:rPr>
      </w:pPr>
      <w:r w:rsidRPr="00F422C8">
        <w:rPr>
          <w:rFonts w:ascii="Times New Roman" w:hAnsi="Times New Roman" w:cs="Times New Roman"/>
          <w:sz w:val="24"/>
          <w:szCs w:val="24"/>
        </w:rPr>
        <w:t>Outra limitação refere-se à ausência de ensaios clínicos de longa duração para avaliação da eficácia do gel-creme sobre parâmetros objetivos de hidratação cutânea e recuperação da função barreira. A avaliação concentrou-se na aceitabilidade do produto, em parâmetros tecnológicos e em ensaios preliminares de qualidade, não incluindo métodos instrumentais como corneometria, tewametria ou análises clínicas controladas.</w:t>
      </w:r>
    </w:p>
    <w:p w14:paraId="342587D7" w14:textId="77777777" w:rsidR="00C335ED" w:rsidRPr="00F422C8" w:rsidRDefault="00C335ED" w:rsidP="00C335ED">
      <w:pPr>
        <w:spacing w:line="360" w:lineRule="auto"/>
        <w:ind w:firstLine="360"/>
        <w:jc w:val="both"/>
        <w:rPr>
          <w:rFonts w:ascii="Times New Roman" w:hAnsi="Times New Roman" w:cs="Times New Roman"/>
          <w:sz w:val="24"/>
          <w:szCs w:val="24"/>
        </w:rPr>
      </w:pPr>
      <w:r w:rsidRPr="00F422C8">
        <w:rPr>
          <w:rFonts w:ascii="Times New Roman" w:hAnsi="Times New Roman" w:cs="Times New Roman"/>
          <w:sz w:val="24"/>
          <w:szCs w:val="24"/>
        </w:rPr>
        <w:t>Diante dessas limitações, recomenda-se que estudos futuros contemplem:</w:t>
      </w:r>
    </w:p>
    <w:p w14:paraId="1ED90EB6" w14:textId="77777777" w:rsidR="00C335ED" w:rsidRPr="00F422C8" w:rsidRDefault="00C335ED" w:rsidP="00C335ED">
      <w:pPr>
        <w:numPr>
          <w:ilvl w:val="0"/>
          <w:numId w:val="4"/>
        </w:num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 xml:space="preserve">realização de ensaios clínicos randomizados e controlados para avaliação da eficácia do </w:t>
      </w:r>
      <w:r w:rsidRPr="00F422C8">
        <w:rPr>
          <w:rFonts w:ascii="Times New Roman" w:hAnsi="Times New Roman" w:cs="Times New Roman"/>
          <w:b/>
          <w:bCs/>
          <w:sz w:val="24"/>
          <w:szCs w:val="24"/>
        </w:rPr>
        <w:t>Derma Hydriss</w:t>
      </w:r>
      <w:r w:rsidRPr="00F422C8">
        <w:rPr>
          <w:rFonts w:ascii="Times New Roman" w:hAnsi="Times New Roman" w:cs="Times New Roman"/>
          <w:sz w:val="24"/>
          <w:szCs w:val="24"/>
        </w:rPr>
        <w:t xml:space="preserve">; </w:t>
      </w:r>
    </w:p>
    <w:p w14:paraId="08161A29" w14:textId="77777777" w:rsidR="00C335ED" w:rsidRPr="00F422C8" w:rsidRDefault="00C335ED" w:rsidP="00C335ED">
      <w:pPr>
        <w:numPr>
          <w:ilvl w:val="0"/>
          <w:numId w:val="4"/>
        </w:num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 xml:space="preserve">estudos de estabilidade acelerada e de longa duração, conforme as diretrizes da ANVISA; </w:t>
      </w:r>
    </w:p>
    <w:p w14:paraId="52F659A8" w14:textId="77777777" w:rsidR="00C335ED" w:rsidRPr="00F422C8" w:rsidRDefault="00C335ED" w:rsidP="00C335ED">
      <w:pPr>
        <w:numPr>
          <w:ilvl w:val="0"/>
          <w:numId w:val="4"/>
        </w:num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 xml:space="preserve">avaliação instrumental da hidratação cutânea, da perda transepidérmica de água (TEWL) e da integridade da barreira epidérmica; </w:t>
      </w:r>
    </w:p>
    <w:p w14:paraId="4FDA55CD" w14:textId="77777777" w:rsidR="00C335ED" w:rsidRPr="00F422C8" w:rsidRDefault="00C335ED" w:rsidP="00C335ED">
      <w:pPr>
        <w:numPr>
          <w:ilvl w:val="0"/>
          <w:numId w:val="4"/>
        </w:num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 xml:space="preserve">escalonamento da produção para análise da reprodutibilidade industrial da formulação; </w:t>
      </w:r>
    </w:p>
    <w:p w14:paraId="061A762A" w14:textId="77777777" w:rsidR="00C335ED" w:rsidRPr="00F422C8" w:rsidRDefault="00C335ED" w:rsidP="00C335ED">
      <w:pPr>
        <w:numPr>
          <w:ilvl w:val="0"/>
          <w:numId w:val="4"/>
        </w:num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 xml:space="preserve">elaboração do dossiê técnico visando à regularização sanitária e eventual transferência tecnológica para produção em maior escala; </w:t>
      </w:r>
    </w:p>
    <w:p w14:paraId="4033D0D2" w14:textId="77777777" w:rsidR="00C335ED" w:rsidRPr="00F422C8" w:rsidRDefault="00C335ED" w:rsidP="00C335ED">
      <w:pPr>
        <w:numPr>
          <w:ilvl w:val="0"/>
          <w:numId w:val="4"/>
        </w:numPr>
        <w:spacing w:line="360" w:lineRule="auto"/>
        <w:jc w:val="both"/>
        <w:rPr>
          <w:rFonts w:ascii="Times New Roman" w:hAnsi="Times New Roman" w:cs="Times New Roman"/>
          <w:sz w:val="24"/>
          <w:szCs w:val="24"/>
        </w:rPr>
      </w:pPr>
      <w:r w:rsidRPr="00F422C8">
        <w:rPr>
          <w:rFonts w:ascii="Times New Roman" w:hAnsi="Times New Roman" w:cs="Times New Roman"/>
          <w:sz w:val="24"/>
          <w:szCs w:val="24"/>
        </w:rPr>
        <w:t xml:space="preserve">aplicação do </w:t>
      </w:r>
      <w:r w:rsidRPr="00F422C8">
        <w:rPr>
          <w:rFonts w:ascii="Times New Roman" w:hAnsi="Times New Roman" w:cs="Times New Roman"/>
          <w:b/>
          <w:bCs/>
          <w:sz w:val="24"/>
          <w:szCs w:val="24"/>
        </w:rPr>
        <w:t>FIDTEU</w:t>
      </w:r>
      <w:r w:rsidRPr="00F422C8">
        <w:rPr>
          <w:rFonts w:ascii="Times New Roman" w:hAnsi="Times New Roman" w:cs="Times New Roman"/>
          <w:sz w:val="24"/>
          <w:szCs w:val="24"/>
        </w:rPr>
        <w:t xml:space="preserve"> em outras áreas da saúde, investigando sua capacidade de apoiar o desenvolvimento de diferentes tecnologias orientadas pelas necessidades da comunidade. </w:t>
      </w:r>
    </w:p>
    <w:p w14:paraId="4826DA19" w14:textId="77777777" w:rsidR="00216CF3" w:rsidRPr="00216CF3" w:rsidRDefault="00216CF3" w:rsidP="00216CF3">
      <w:pPr>
        <w:ind w:firstLine="720"/>
        <w:jc w:val="both"/>
        <w:rPr>
          <w:rFonts w:ascii="Times New Roman" w:hAnsi="Times New Roman" w:cs="Times New Roman"/>
          <w:sz w:val="24"/>
          <w:szCs w:val="24"/>
        </w:rPr>
      </w:pPr>
      <w:r w:rsidRPr="00216CF3">
        <w:rPr>
          <w:rFonts w:ascii="Times New Roman" w:hAnsi="Times New Roman" w:cs="Times New Roman"/>
          <w:sz w:val="24"/>
          <w:szCs w:val="24"/>
        </w:rPr>
        <w:t xml:space="preserve">Conclui-se que o desenvolvimento do gel-creme </w:t>
      </w:r>
      <w:r w:rsidRPr="00216CF3">
        <w:rPr>
          <w:rFonts w:ascii="Times New Roman" w:hAnsi="Times New Roman" w:cs="Times New Roman"/>
          <w:b/>
          <w:bCs/>
          <w:sz w:val="24"/>
          <w:szCs w:val="24"/>
        </w:rPr>
        <w:t>Derma Hydriss</w:t>
      </w:r>
      <w:r w:rsidRPr="00216CF3">
        <w:rPr>
          <w:rFonts w:ascii="Times New Roman" w:hAnsi="Times New Roman" w:cs="Times New Roman"/>
          <w:sz w:val="24"/>
          <w:szCs w:val="24"/>
        </w:rPr>
        <w:t xml:space="preserve"> representa mais do que a obtenção de uma formulação cosmética destinada ao cuidado da pele envelhecida. O estudo demonstra que a articulação entre </w:t>
      </w:r>
      <w:r w:rsidRPr="00216CF3">
        <w:rPr>
          <w:rFonts w:ascii="Times New Roman" w:hAnsi="Times New Roman" w:cs="Times New Roman"/>
          <w:b/>
          <w:bCs/>
          <w:sz w:val="24"/>
          <w:szCs w:val="24"/>
        </w:rPr>
        <w:t xml:space="preserve">Gestão do Conhecimento, extensão universitária, </w:t>
      </w:r>
      <w:r w:rsidRPr="00216CF3">
        <w:rPr>
          <w:rFonts w:ascii="Times New Roman" w:hAnsi="Times New Roman" w:cs="Times New Roman"/>
          <w:b/>
          <w:bCs/>
          <w:sz w:val="24"/>
          <w:szCs w:val="24"/>
        </w:rPr>
        <w:lastRenderedPageBreak/>
        <w:t>desenvolvimento farmacotécnico, controle de qualidade e inovação social</w:t>
      </w:r>
      <w:r w:rsidRPr="00216CF3">
        <w:rPr>
          <w:rFonts w:ascii="Times New Roman" w:hAnsi="Times New Roman" w:cs="Times New Roman"/>
          <w:sz w:val="24"/>
          <w:szCs w:val="24"/>
        </w:rPr>
        <w:t xml:space="preserve"> possibilita transformar necessidades comunitárias em tecnologias cientificamente fundamentadas e socialmente relevantes.</w:t>
      </w:r>
    </w:p>
    <w:p w14:paraId="1589C2D5" w14:textId="77777777" w:rsidR="00216CF3" w:rsidRPr="00216CF3" w:rsidRDefault="00216CF3" w:rsidP="00216CF3">
      <w:pPr>
        <w:ind w:firstLine="426"/>
        <w:jc w:val="both"/>
        <w:rPr>
          <w:rFonts w:ascii="Times New Roman" w:hAnsi="Times New Roman" w:cs="Times New Roman"/>
          <w:sz w:val="24"/>
          <w:szCs w:val="24"/>
        </w:rPr>
      </w:pPr>
      <w:r w:rsidRPr="00216CF3">
        <w:rPr>
          <w:rFonts w:ascii="Times New Roman" w:hAnsi="Times New Roman" w:cs="Times New Roman"/>
          <w:sz w:val="24"/>
          <w:szCs w:val="24"/>
        </w:rPr>
        <w:t xml:space="preserve">Ao propor o </w:t>
      </w:r>
      <w:r w:rsidRPr="00216CF3">
        <w:rPr>
          <w:rFonts w:ascii="Times New Roman" w:hAnsi="Times New Roman" w:cs="Times New Roman"/>
          <w:b/>
          <w:bCs/>
          <w:sz w:val="24"/>
          <w:szCs w:val="24"/>
        </w:rPr>
        <w:t>Fluxo Integrado de Desenvolvimento Tecnológico em Extensão Universitária (FIDTEU)</w:t>
      </w:r>
      <w:r w:rsidRPr="00216CF3">
        <w:rPr>
          <w:rFonts w:ascii="Times New Roman" w:hAnsi="Times New Roman" w:cs="Times New Roman"/>
          <w:sz w:val="24"/>
          <w:szCs w:val="24"/>
        </w:rPr>
        <w:t>, este trabalho oferece uma contribuição metodológica original para a Gestão do Conhecimento aplicada à saúde, evidenciando que a universidade pode atuar como ambiente de criação, validação e transferência do conhecimento. A replicabilidade do modelo amplia seu potencial de aplicação em diferentes contextos acadêmicos e assistenciais, fortalecendo o papel das instituições de ensino superior como promotoras de inovação, desenvolvimento tecnológico e transformação social.</w:t>
      </w:r>
    </w:p>
    <w:p w14:paraId="521D2A69" w14:textId="77777777" w:rsidR="00D8471E" w:rsidRDefault="00D8471E">
      <w:pPr>
        <w:pBdr>
          <w:top w:val="nil"/>
          <w:left w:val="nil"/>
          <w:bottom w:val="nil"/>
          <w:right w:val="nil"/>
          <w:between w:val="nil"/>
        </w:pBdr>
        <w:spacing w:line="360" w:lineRule="auto"/>
        <w:jc w:val="both"/>
        <w:rPr>
          <w:rFonts w:ascii="Times New Roman" w:eastAsia="Times New Roman" w:hAnsi="Times New Roman" w:cs="Times New Roman"/>
          <w:b/>
          <w:sz w:val="24"/>
          <w:szCs w:val="24"/>
        </w:rPr>
      </w:pPr>
    </w:p>
    <w:p w14:paraId="570EC4FD" w14:textId="77777777" w:rsidR="00D8471E" w:rsidRDefault="00000000">
      <w:pPr>
        <w:numPr>
          <w:ilvl w:val="0"/>
          <w:numId w:val="3"/>
        </w:numPr>
        <w:pBdr>
          <w:top w:val="nil"/>
          <w:left w:val="nil"/>
          <w:bottom w:val="nil"/>
          <w:right w:val="nil"/>
          <w:between w:val="nil"/>
        </w:pBdr>
        <w:spacing w:line="360" w:lineRule="auto"/>
        <w:ind w:left="426" w:hanging="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REFERÊNCIAS</w:t>
      </w:r>
    </w:p>
    <w:p w14:paraId="7B362205" w14:textId="77777777" w:rsidR="00216CF3" w:rsidRPr="00D01A94" w:rsidRDefault="00216CF3" w:rsidP="00216CF3">
      <w:pPr>
        <w:jc w:val="both"/>
        <w:rPr>
          <w:rFonts w:ascii="Times New Roman" w:hAnsi="Times New Roman" w:cs="Times New Roman"/>
          <w:sz w:val="24"/>
          <w:szCs w:val="24"/>
          <w:lang w:val="en-US"/>
        </w:rPr>
      </w:pPr>
      <w:r w:rsidRPr="00D01A94">
        <w:rPr>
          <w:rFonts w:ascii="Times New Roman" w:hAnsi="Times New Roman" w:cs="Times New Roman"/>
          <w:b/>
          <w:bCs/>
          <w:sz w:val="24"/>
          <w:szCs w:val="24"/>
          <w:lang w:val="en-US"/>
        </w:rPr>
        <w:t>ANSEL</w:t>
      </w:r>
      <w:r w:rsidRPr="00D01A94">
        <w:rPr>
          <w:rFonts w:ascii="Times New Roman" w:hAnsi="Times New Roman" w:cs="Times New Roman"/>
          <w:sz w:val="24"/>
          <w:szCs w:val="24"/>
          <w:lang w:val="en-US"/>
        </w:rPr>
        <w:t>, Howard C.; POPOVICH, Nicholas G.; ALLEN JUNIOR, Loyd V. Ansel's pharmaceutical dosage forms and drug delivery systems. 10. ed. Philadelphia: Lippincott Williams &amp; Wilkins, 2013.</w:t>
      </w:r>
    </w:p>
    <w:p w14:paraId="66C40E07" w14:textId="77777777" w:rsidR="00216CF3" w:rsidRPr="00D01A94" w:rsidRDefault="00216CF3" w:rsidP="00216CF3">
      <w:pPr>
        <w:jc w:val="both"/>
        <w:rPr>
          <w:rFonts w:ascii="Times New Roman" w:hAnsi="Times New Roman" w:cs="Times New Roman"/>
          <w:lang w:val="en-US"/>
        </w:rPr>
      </w:pPr>
    </w:p>
    <w:p w14:paraId="0A5B1842" w14:textId="77777777" w:rsidR="00216CF3" w:rsidRPr="00BD11A6" w:rsidRDefault="00216CF3" w:rsidP="00216CF3">
      <w:pPr>
        <w:jc w:val="both"/>
        <w:rPr>
          <w:rFonts w:ascii="Times New Roman" w:hAnsi="Times New Roman" w:cs="Times New Roman"/>
          <w:sz w:val="24"/>
          <w:szCs w:val="24"/>
        </w:rPr>
      </w:pPr>
      <w:r w:rsidRPr="00D01A94">
        <w:rPr>
          <w:rFonts w:ascii="Times New Roman" w:hAnsi="Times New Roman" w:cs="Times New Roman"/>
          <w:b/>
          <w:bCs/>
          <w:sz w:val="24"/>
          <w:szCs w:val="24"/>
          <w:lang w:val="en-US"/>
        </w:rPr>
        <w:t>AULTON,</w:t>
      </w:r>
      <w:r w:rsidRPr="00D01A94">
        <w:rPr>
          <w:rFonts w:ascii="Times New Roman" w:hAnsi="Times New Roman" w:cs="Times New Roman"/>
          <w:sz w:val="24"/>
          <w:szCs w:val="24"/>
          <w:lang w:val="en-US"/>
        </w:rPr>
        <w:t xml:space="preserve"> Michael E.; TAYLOR, Kevin M. G. Aulton's pharmaceutics: the design and manufacture of medicines. </w:t>
      </w:r>
      <w:r w:rsidRPr="00BD11A6">
        <w:rPr>
          <w:rFonts w:ascii="Times New Roman" w:hAnsi="Times New Roman" w:cs="Times New Roman"/>
          <w:sz w:val="24"/>
          <w:szCs w:val="24"/>
        </w:rPr>
        <w:t>6. ed. London: Elsevier, 2022.</w:t>
      </w:r>
    </w:p>
    <w:p w14:paraId="63BE5D2A" w14:textId="77777777" w:rsidR="00216CF3" w:rsidRPr="00D1249F" w:rsidRDefault="00216CF3" w:rsidP="00216CF3">
      <w:pPr>
        <w:jc w:val="both"/>
        <w:rPr>
          <w:rFonts w:ascii="Times New Roman" w:hAnsi="Times New Roman" w:cs="Times New Roman"/>
        </w:rPr>
      </w:pPr>
    </w:p>
    <w:p w14:paraId="1908EF26" w14:textId="77777777" w:rsidR="00216CF3" w:rsidRPr="00BD11A6" w:rsidRDefault="00216CF3" w:rsidP="00216CF3">
      <w:pPr>
        <w:jc w:val="both"/>
        <w:rPr>
          <w:rFonts w:ascii="Times New Roman" w:hAnsi="Times New Roman" w:cs="Times New Roman"/>
          <w:sz w:val="24"/>
          <w:szCs w:val="24"/>
        </w:rPr>
      </w:pPr>
      <w:r w:rsidRPr="00BD11A6">
        <w:rPr>
          <w:rFonts w:ascii="Times New Roman" w:hAnsi="Times New Roman" w:cs="Times New Roman"/>
          <w:b/>
          <w:bCs/>
          <w:sz w:val="24"/>
          <w:szCs w:val="24"/>
        </w:rPr>
        <w:t>BRASIL</w:t>
      </w:r>
      <w:r w:rsidRPr="00BD11A6">
        <w:rPr>
          <w:rFonts w:ascii="Times New Roman" w:hAnsi="Times New Roman" w:cs="Times New Roman"/>
          <w:sz w:val="24"/>
          <w:szCs w:val="24"/>
        </w:rPr>
        <w:t>. Agência Nacional de Vigilância Sanitária. Guia de estabilidade de produtos cosméticos. Brasília: ANVISA, 2004.</w:t>
      </w:r>
    </w:p>
    <w:p w14:paraId="06CB44F2" w14:textId="77777777" w:rsidR="00216CF3" w:rsidRPr="00D1249F" w:rsidRDefault="00216CF3" w:rsidP="00216CF3">
      <w:pPr>
        <w:jc w:val="both"/>
        <w:rPr>
          <w:rFonts w:ascii="Times New Roman" w:hAnsi="Times New Roman" w:cs="Times New Roman"/>
        </w:rPr>
      </w:pPr>
    </w:p>
    <w:p w14:paraId="3F20BDF9" w14:textId="77777777" w:rsidR="00216CF3" w:rsidRPr="00BD11A6" w:rsidRDefault="00216CF3" w:rsidP="00216CF3">
      <w:pPr>
        <w:jc w:val="both"/>
        <w:rPr>
          <w:rFonts w:ascii="Times New Roman" w:hAnsi="Times New Roman" w:cs="Times New Roman"/>
          <w:sz w:val="24"/>
          <w:szCs w:val="24"/>
        </w:rPr>
      </w:pPr>
      <w:r w:rsidRPr="00BD11A6">
        <w:rPr>
          <w:rFonts w:ascii="Times New Roman" w:hAnsi="Times New Roman" w:cs="Times New Roman"/>
          <w:b/>
          <w:bCs/>
          <w:sz w:val="24"/>
          <w:szCs w:val="24"/>
        </w:rPr>
        <w:t>BRASIL</w:t>
      </w:r>
      <w:r w:rsidRPr="00BD11A6">
        <w:rPr>
          <w:rFonts w:ascii="Times New Roman" w:hAnsi="Times New Roman" w:cs="Times New Roman"/>
          <w:sz w:val="24"/>
          <w:szCs w:val="24"/>
        </w:rPr>
        <w:t>. Agência Nacional de Vigilância Sanitária. Guia para avaliação de segurança de produtos cosméticos. Brasília: ANVISA, 2012.</w:t>
      </w:r>
    </w:p>
    <w:p w14:paraId="6624CCED" w14:textId="77777777" w:rsidR="00216CF3" w:rsidRPr="00D1249F" w:rsidRDefault="00216CF3" w:rsidP="00216CF3">
      <w:pPr>
        <w:jc w:val="both"/>
        <w:rPr>
          <w:rFonts w:ascii="Times New Roman" w:hAnsi="Times New Roman" w:cs="Times New Roman"/>
        </w:rPr>
      </w:pPr>
    </w:p>
    <w:p w14:paraId="2CD68747" w14:textId="77777777" w:rsidR="00216CF3" w:rsidRPr="00BD11A6" w:rsidRDefault="00216CF3" w:rsidP="00216CF3">
      <w:pPr>
        <w:jc w:val="both"/>
        <w:rPr>
          <w:rFonts w:ascii="Times New Roman" w:hAnsi="Times New Roman" w:cs="Times New Roman"/>
          <w:sz w:val="24"/>
          <w:szCs w:val="24"/>
        </w:rPr>
      </w:pPr>
      <w:r w:rsidRPr="00BD11A6">
        <w:rPr>
          <w:rFonts w:ascii="Times New Roman" w:hAnsi="Times New Roman" w:cs="Times New Roman"/>
          <w:b/>
          <w:bCs/>
          <w:sz w:val="24"/>
          <w:szCs w:val="24"/>
        </w:rPr>
        <w:t>BRASIL</w:t>
      </w:r>
      <w:r w:rsidRPr="00BD11A6">
        <w:rPr>
          <w:rFonts w:ascii="Times New Roman" w:hAnsi="Times New Roman" w:cs="Times New Roman"/>
          <w:sz w:val="24"/>
          <w:szCs w:val="24"/>
        </w:rPr>
        <w:t>. Agência Nacional de Vigilância Sanitária. Resolução RDC nº 7, de 10 de fevereiro de 2015. Dispõe sobre os requisitos técnicos para a regularização de produtos de higiene pessoal, cosméticos e perfumes. Diário Oficial da União: Brasília, DF, 11 fev. 2015.</w:t>
      </w:r>
    </w:p>
    <w:p w14:paraId="3D1066D7" w14:textId="77777777" w:rsidR="00216CF3" w:rsidRDefault="00216CF3" w:rsidP="00216CF3">
      <w:pPr>
        <w:jc w:val="both"/>
        <w:rPr>
          <w:rFonts w:ascii="Times New Roman" w:hAnsi="Times New Roman" w:cs="Times New Roman"/>
          <w:b/>
          <w:bCs/>
          <w:sz w:val="24"/>
          <w:szCs w:val="24"/>
        </w:rPr>
      </w:pPr>
    </w:p>
    <w:p w14:paraId="39461ADA" w14:textId="77777777" w:rsidR="00216CF3" w:rsidRPr="00BD11A6" w:rsidRDefault="00216CF3" w:rsidP="00216CF3">
      <w:pPr>
        <w:jc w:val="both"/>
        <w:rPr>
          <w:rFonts w:ascii="Times New Roman" w:hAnsi="Times New Roman" w:cs="Times New Roman"/>
          <w:sz w:val="24"/>
          <w:szCs w:val="24"/>
        </w:rPr>
      </w:pPr>
      <w:r w:rsidRPr="00BD11A6">
        <w:rPr>
          <w:rFonts w:ascii="Times New Roman" w:hAnsi="Times New Roman" w:cs="Times New Roman"/>
          <w:b/>
          <w:bCs/>
          <w:sz w:val="24"/>
          <w:szCs w:val="24"/>
        </w:rPr>
        <w:t>BRASIL</w:t>
      </w:r>
      <w:r w:rsidRPr="00BD11A6">
        <w:rPr>
          <w:rFonts w:ascii="Times New Roman" w:hAnsi="Times New Roman" w:cs="Times New Roman"/>
          <w:sz w:val="24"/>
          <w:szCs w:val="24"/>
        </w:rPr>
        <w:t>. Agência Nacional de Vigilância Sanitária. Resolução RDC nº 752, de 19 de setembro de 2022. Dispõe sobre a regularização de produtos de higiene pessoal, cosméticos e perfumes. Diário Oficial da União: Brasília, DF, 21 set. 2022.</w:t>
      </w:r>
    </w:p>
    <w:p w14:paraId="5180E161" w14:textId="77777777" w:rsidR="00216CF3" w:rsidRPr="00BD11A6" w:rsidRDefault="00216CF3" w:rsidP="00216CF3">
      <w:pPr>
        <w:jc w:val="both"/>
        <w:rPr>
          <w:rFonts w:ascii="Times New Roman" w:hAnsi="Times New Roman" w:cs="Times New Roman"/>
          <w:sz w:val="24"/>
          <w:szCs w:val="24"/>
        </w:rPr>
      </w:pPr>
    </w:p>
    <w:p w14:paraId="58532B51" w14:textId="77777777" w:rsidR="00216CF3" w:rsidRPr="00BD11A6" w:rsidRDefault="00216CF3" w:rsidP="00216CF3">
      <w:pPr>
        <w:jc w:val="both"/>
        <w:rPr>
          <w:rFonts w:ascii="Times New Roman" w:hAnsi="Times New Roman" w:cs="Times New Roman"/>
          <w:sz w:val="24"/>
          <w:szCs w:val="24"/>
        </w:rPr>
      </w:pPr>
      <w:r w:rsidRPr="00BD11A6">
        <w:rPr>
          <w:rFonts w:ascii="Times New Roman" w:hAnsi="Times New Roman" w:cs="Times New Roman"/>
          <w:b/>
          <w:bCs/>
          <w:sz w:val="24"/>
          <w:szCs w:val="24"/>
        </w:rPr>
        <w:t>BRASIL</w:t>
      </w:r>
      <w:r w:rsidRPr="00BD11A6">
        <w:rPr>
          <w:rFonts w:ascii="Times New Roman" w:hAnsi="Times New Roman" w:cs="Times New Roman"/>
          <w:sz w:val="24"/>
          <w:szCs w:val="24"/>
        </w:rPr>
        <w:t>. Ministério da Educação. Conselho Nacional de Educação. Resolução CNE/CES nº 7, de 18 de dezembro de 2018. Estabelece as Diretrizes para a Extensão na Educação Superior Brasileira. Diário Oficial da União: Brasília, DF, 19 dez. 2018.</w:t>
      </w:r>
    </w:p>
    <w:p w14:paraId="09B19D8B" w14:textId="77777777" w:rsidR="00216CF3" w:rsidRPr="00D1249F" w:rsidRDefault="00216CF3" w:rsidP="00216CF3">
      <w:pPr>
        <w:jc w:val="both"/>
        <w:rPr>
          <w:rFonts w:ascii="Times New Roman" w:hAnsi="Times New Roman" w:cs="Times New Roman"/>
        </w:rPr>
      </w:pPr>
    </w:p>
    <w:p w14:paraId="7DF58C2C" w14:textId="77777777" w:rsidR="00216CF3" w:rsidRPr="00BD11A6" w:rsidRDefault="00216CF3" w:rsidP="00216CF3">
      <w:pPr>
        <w:jc w:val="both"/>
        <w:rPr>
          <w:rFonts w:ascii="Times New Roman" w:hAnsi="Times New Roman" w:cs="Times New Roman"/>
          <w:sz w:val="24"/>
          <w:szCs w:val="24"/>
        </w:rPr>
      </w:pPr>
      <w:r w:rsidRPr="00BD11A6">
        <w:rPr>
          <w:rFonts w:ascii="Times New Roman" w:hAnsi="Times New Roman" w:cs="Times New Roman"/>
          <w:b/>
          <w:bCs/>
          <w:sz w:val="24"/>
          <w:szCs w:val="24"/>
        </w:rPr>
        <w:t>BRASIL</w:t>
      </w:r>
      <w:r w:rsidRPr="00BD11A6">
        <w:rPr>
          <w:rFonts w:ascii="Times New Roman" w:hAnsi="Times New Roman" w:cs="Times New Roman"/>
          <w:sz w:val="24"/>
          <w:szCs w:val="24"/>
        </w:rPr>
        <w:t>. Presidência da República. Lei nº 13.243, de 11 de janeiro de 2016. Dispõe sobre estímulos ao desenvolvimento científico, à pesquisa, à capacitação científica e tecnológica e à inovação. Diário Oficial da União: Brasília, DF, 12 jan. 2016.</w:t>
      </w:r>
    </w:p>
    <w:p w14:paraId="500F7A68" w14:textId="77777777" w:rsidR="00216CF3" w:rsidRPr="00D1249F" w:rsidRDefault="00216CF3" w:rsidP="00216CF3">
      <w:pPr>
        <w:jc w:val="both"/>
        <w:rPr>
          <w:rFonts w:ascii="Times New Roman" w:hAnsi="Times New Roman" w:cs="Times New Roman"/>
        </w:rPr>
      </w:pPr>
    </w:p>
    <w:p w14:paraId="7CD7BC86" w14:textId="77777777" w:rsidR="00216CF3" w:rsidRPr="00D01A94" w:rsidRDefault="00216CF3" w:rsidP="00216CF3">
      <w:pPr>
        <w:jc w:val="both"/>
        <w:rPr>
          <w:rFonts w:ascii="Times New Roman" w:hAnsi="Times New Roman" w:cs="Times New Roman"/>
          <w:sz w:val="24"/>
          <w:szCs w:val="24"/>
          <w:lang w:val="en-US"/>
        </w:rPr>
      </w:pPr>
      <w:r w:rsidRPr="0036767A">
        <w:rPr>
          <w:rFonts w:ascii="Times New Roman" w:hAnsi="Times New Roman" w:cs="Times New Roman"/>
          <w:sz w:val="24"/>
          <w:szCs w:val="24"/>
        </w:rPr>
        <w:t>DAVENPORT,</w:t>
      </w:r>
      <w:r w:rsidRPr="00BD11A6">
        <w:rPr>
          <w:rFonts w:ascii="Times New Roman" w:hAnsi="Times New Roman" w:cs="Times New Roman"/>
          <w:sz w:val="24"/>
          <w:szCs w:val="24"/>
        </w:rPr>
        <w:t xml:space="preserve"> Thomas H.; PRUSAK, Laurence. </w:t>
      </w:r>
      <w:r w:rsidRPr="0036767A">
        <w:rPr>
          <w:rFonts w:ascii="Times New Roman" w:hAnsi="Times New Roman" w:cs="Times New Roman"/>
          <w:b/>
          <w:bCs/>
          <w:sz w:val="24"/>
          <w:szCs w:val="24"/>
        </w:rPr>
        <w:t>Conhecimento empresarial: como as organizações gerenciam o seu capital intelectual.</w:t>
      </w:r>
      <w:r w:rsidRPr="00BD11A6">
        <w:rPr>
          <w:rFonts w:ascii="Times New Roman" w:hAnsi="Times New Roman" w:cs="Times New Roman"/>
          <w:sz w:val="24"/>
          <w:szCs w:val="24"/>
        </w:rPr>
        <w:t xml:space="preserve"> </w:t>
      </w:r>
      <w:r w:rsidRPr="00D01A94">
        <w:rPr>
          <w:rFonts w:ascii="Times New Roman" w:hAnsi="Times New Roman" w:cs="Times New Roman"/>
          <w:sz w:val="24"/>
          <w:szCs w:val="24"/>
          <w:lang w:val="en-US"/>
        </w:rPr>
        <w:t>Rio de Janeiro: Elsevier, 1998.</w:t>
      </w:r>
    </w:p>
    <w:p w14:paraId="7B684B39" w14:textId="77777777" w:rsidR="00216CF3" w:rsidRPr="00D01A94" w:rsidRDefault="00216CF3" w:rsidP="00216CF3">
      <w:pPr>
        <w:jc w:val="both"/>
        <w:rPr>
          <w:rFonts w:ascii="Times New Roman" w:hAnsi="Times New Roman" w:cs="Times New Roman"/>
          <w:lang w:val="en-US"/>
        </w:rPr>
      </w:pPr>
    </w:p>
    <w:p w14:paraId="6B1AD54C" w14:textId="77777777" w:rsidR="00216CF3" w:rsidRPr="00D01A94" w:rsidRDefault="00216CF3" w:rsidP="00216CF3">
      <w:pPr>
        <w:jc w:val="both"/>
        <w:rPr>
          <w:rFonts w:ascii="Times New Roman" w:hAnsi="Times New Roman" w:cs="Times New Roman"/>
          <w:sz w:val="24"/>
          <w:szCs w:val="24"/>
          <w:lang w:val="en-US"/>
        </w:rPr>
      </w:pPr>
      <w:r w:rsidRPr="00D01A94">
        <w:rPr>
          <w:rFonts w:ascii="Times New Roman" w:hAnsi="Times New Roman" w:cs="Times New Roman"/>
          <w:sz w:val="24"/>
          <w:szCs w:val="24"/>
          <w:lang w:val="en-US"/>
        </w:rPr>
        <w:t xml:space="preserve">ECCLESTON, Gordon M. </w:t>
      </w:r>
      <w:r w:rsidRPr="00D01A94">
        <w:rPr>
          <w:rFonts w:ascii="Times New Roman" w:hAnsi="Times New Roman" w:cs="Times New Roman"/>
          <w:b/>
          <w:bCs/>
          <w:sz w:val="24"/>
          <w:szCs w:val="24"/>
          <w:lang w:val="en-US"/>
        </w:rPr>
        <w:t>Functions of mixed emulsifiers and emulsifying waxes in dermatological lotions and creams. Colloids and Surfaces A: Physicochemical and Engineering Aspects,</w:t>
      </w:r>
      <w:r w:rsidRPr="00D01A94">
        <w:rPr>
          <w:rFonts w:ascii="Times New Roman" w:hAnsi="Times New Roman" w:cs="Times New Roman"/>
          <w:sz w:val="24"/>
          <w:szCs w:val="24"/>
          <w:lang w:val="en-US"/>
        </w:rPr>
        <w:t xml:space="preserve"> Amsterdam, v. 123-124, p. 169-182, 1997.</w:t>
      </w:r>
    </w:p>
    <w:p w14:paraId="7F75ADBB" w14:textId="77777777" w:rsidR="00216CF3" w:rsidRPr="00D01A94" w:rsidRDefault="00216CF3" w:rsidP="00216CF3">
      <w:pPr>
        <w:jc w:val="both"/>
        <w:rPr>
          <w:rFonts w:ascii="Times New Roman" w:hAnsi="Times New Roman" w:cs="Times New Roman"/>
          <w:lang w:val="en-US"/>
        </w:rPr>
      </w:pPr>
    </w:p>
    <w:p w14:paraId="6096D924" w14:textId="77777777" w:rsidR="00216CF3" w:rsidRPr="00D01A94" w:rsidRDefault="00216CF3" w:rsidP="00216CF3">
      <w:pPr>
        <w:jc w:val="both"/>
        <w:rPr>
          <w:rFonts w:ascii="Times New Roman" w:hAnsi="Times New Roman" w:cs="Times New Roman"/>
          <w:sz w:val="24"/>
          <w:szCs w:val="24"/>
          <w:lang w:val="en-US"/>
        </w:rPr>
      </w:pPr>
      <w:r w:rsidRPr="00D01A94">
        <w:rPr>
          <w:rFonts w:ascii="Times New Roman" w:hAnsi="Times New Roman" w:cs="Times New Roman"/>
          <w:sz w:val="24"/>
          <w:szCs w:val="24"/>
          <w:lang w:val="en-US"/>
        </w:rPr>
        <w:t xml:space="preserve">ELIAS, Peter M. </w:t>
      </w:r>
      <w:r w:rsidRPr="00D01A94">
        <w:rPr>
          <w:rFonts w:ascii="Times New Roman" w:hAnsi="Times New Roman" w:cs="Times New Roman"/>
          <w:b/>
          <w:bCs/>
          <w:sz w:val="24"/>
          <w:szCs w:val="24"/>
          <w:lang w:val="en-US"/>
        </w:rPr>
        <w:t>Stratum corneum defensive functions: an integrated view. Journal of Investigative Dermatology,</w:t>
      </w:r>
      <w:r w:rsidRPr="00D01A94">
        <w:rPr>
          <w:rFonts w:ascii="Times New Roman" w:hAnsi="Times New Roman" w:cs="Times New Roman"/>
          <w:sz w:val="24"/>
          <w:szCs w:val="24"/>
          <w:lang w:val="en-US"/>
        </w:rPr>
        <w:t xml:space="preserve"> New York, v. 125, n. 2, p. 183-200, 2005.</w:t>
      </w:r>
    </w:p>
    <w:p w14:paraId="16151DD0" w14:textId="77777777" w:rsidR="00216CF3" w:rsidRPr="00D01A94" w:rsidRDefault="00216CF3" w:rsidP="00216CF3">
      <w:pPr>
        <w:jc w:val="both"/>
        <w:rPr>
          <w:rFonts w:ascii="Times New Roman" w:hAnsi="Times New Roman" w:cs="Times New Roman"/>
          <w:lang w:val="en-US"/>
        </w:rPr>
      </w:pPr>
    </w:p>
    <w:p w14:paraId="43255EF9" w14:textId="77777777" w:rsidR="00216CF3" w:rsidRPr="00D01A94" w:rsidRDefault="00216CF3" w:rsidP="00216CF3">
      <w:pPr>
        <w:jc w:val="both"/>
        <w:rPr>
          <w:rFonts w:ascii="Times New Roman" w:hAnsi="Times New Roman" w:cs="Times New Roman"/>
          <w:sz w:val="24"/>
          <w:szCs w:val="24"/>
          <w:lang w:val="en-US"/>
        </w:rPr>
      </w:pPr>
      <w:r w:rsidRPr="00D01A94">
        <w:rPr>
          <w:rFonts w:ascii="Times New Roman" w:hAnsi="Times New Roman" w:cs="Times New Roman"/>
          <w:sz w:val="24"/>
          <w:szCs w:val="24"/>
          <w:lang w:val="en-US"/>
        </w:rPr>
        <w:t xml:space="preserve">FARAGE, Miranda A. et al. </w:t>
      </w:r>
      <w:r w:rsidRPr="00D01A94">
        <w:rPr>
          <w:rFonts w:ascii="Times New Roman" w:hAnsi="Times New Roman" w:cs="Times New Roman"/>
          <w:b/>
          <w:bCs/>
          <w:sz w:val="24"/>
          <w:szCs w:val="24"/>
          <w:lang w:val="en-US"/>
        </w:rPr>
        <w:t>Characteristics of the aging skin. Advances in Wound Care, New Rochelle</w:t>
      </w:r>
      <w:r w:rsidRPr="00D01A94">
        <w:rPr>
          <w:rFonts w:ascii="Times New Roman" w:hAnsi="Times New Roman" w:cs="Times New Roman"/>
          <w:sz w:val="24"/>
          <w:szCs w:val="24"/>
          <w:lang w:val="en-US"/>
        </w:rPr>
        <w:t>, v. 2, n. 1, p. 5-10, 2013.</w:t>
      </w:r>
    </w:p>
    <w:p w14:paraId="0BB948F5" w14:textId="77777777" w:rsidR="00216CF3" w:rsidRPr="00D01A94" w:rsidRDefault="00216CF3" w:rsidP="00216CF3">
      <w:pPr>
        <w:jc w:val="both"/>
        <w:rPr>
          <w:rFonts w:ascii="Times New Roman" w:hAnsi="Times New Roman" w:cs="Times New Roman"/>
          <w:lang w:val="en-US"/>
        </w:rPr>
      </w:pPr>
    </w:p>
    <w:p w14:paraId="5E3091F4" w14:textId="77777777" w:rsidR="00216CF3" w:rsidRPr="00BD11A6" w:rsidRDefault="00216CF3" w:rsidP="00216CF3">
      <w:pPr>
        <w:jc w:val="both"/>
        <w:rPr>
          <w:rFonts w:ascii="Times New Roman" w:hAnsi="Times New Roman" w:cs="Times New Roman"/>
          <w:sz w:val="24"/>
          <w:szCs w:val="24"/>
        </w:rPr>
      </w:pPr>
      <w:r w:rsidRPr="00216416">
        <w:rPr>
          <w:rFonts w:ascii="Times New Roman" w:hAnsi="Times New Roman" w:cs="Times New Roman"/>
          <w:sz w:val="24"/>
          <w:szCs w:val="24"/>
        </w:rPr>
        <w:t xml:space="preserve">FÓRUM DE PRÓ-REITORES DE EXTENSÃO DAS INSTITUIÇÕES PÚBLICAS DE EDUCAÇÃO SUPERIOR BRASILEIRAS (FORPROEX). </w:t>
      </w:r>
      <w:r w:rsidRPr="00216416">
        <w:rPr>
          <w:rFonts w:ascii="Times New Roman" w:hAnsi="Times New Roman" w:cs="Times New Roman"/>
          <w:b/>
          <w:bCs/>
          <w:sz w:val="24"/>
          <w:szCs w:val="24"/>
        </w:rPr>
        <w:t>Política Nacional de Extensão Universitária</w:t>
      </w:r>
      <w:r w:rsidRPr="00BD11A6">
        <w:rPr>
          <w:rFonts w:ascii="Times New Roman" w:hAnsi="Times New Roman" w:cs="Times New Roman"/>
          <w:sz w:val="24"/>
          <w:szCs w:val="24"/>
        </w:rPr>
        <w:t>. Manaus: FORPROEX, 2012.</w:t>
      </w:r>
    </w:p>
    <w:p w14:paraId="085C2B44" w14:textId="77777777" w:rsidR="00216CF3" w:rsidRPr="00D1249F" w:rsidRDefault="00216CF3" w:rsidP="00216CF3">
      <w:pPr>
        <w:jc w:val="both"/>
        <w:rPr>
          <w:rFonts w:ascii="Times New Roman" w:hAnsi="Times New Roman" w:cs="Times New Roman"/>
          <w:b/>
          <w:bCs/>
        </w:rPr>
      </w:pPr>
    </w:p>
    <w:p w14:paraId="52F47936" w14:textId="77777777" w:rsidR="00216CF3" w:rsidRPr="00BD11A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rPr>
        <w:t xml:space="preserve">INTERNATIONAL ORGANIZATION FOR STANDARDIZATION. </w:t>
      </w:r>
      <w:r w:rsidRPr="00216416">
        <w:rPr>
          <w:rFonts w:ascii="Times New Roman" w:hAnsi="Times New Roman" w:cs="Times New Roman"/>
          <w:sz w:val="24"/>
          <w:szCs w:val="24"/>
          <w:lang w:val="it-IT"/>
        </w:rPr>
        <w:t>ISO 17516:2014:</w:t>
      </w:r>
      <w:r w:rsidRPr="00BD11A6">
        <w:rPr>
          <w:rFonts w:ascii="Times New Roman" w:hAnsi="Times New Roman" w:cs="Times New Roman"/>
          <w:sz w:val="24"/>
          <w:szCs w:val="24"/>
          <w:lang w:val="it-IT"/>
        </w:rPr>
        <w:t xml:space="preserve"> </w:t>
      </w:r>
      <w:r w:rsidRPr="00216416">
        <w:rPr>
          <w:rFonts w:ascii="Times New Roman" w:hAnsi="Times New Roman" w:cs="Times New Roman"/>
          <w:b/>
          <w:bCs/>
          <w:sz w:val="24"/>
          <w:szCs w:val="24"/>
          <w:lang w:val="it-IT"/>
        </w:rPr>
        <w:t>Cosmetics — Microbiology — Microbiological lim</w:t>
      </w:r>
      <w:r w:rsidRPr="00BD11A6">
        <w:rPr>
          <w:rFonts w:ascii="Times New Roman" w:hAnsi="Times New Roman" w:cs="Times New Roman"/>
          <w:sz w:val="24"/>
          <w:szCs w:val="24"/>
          <w:lang w:val="it-IT"/>
        </w:rPr>
        <w:t>its. Geneva: ISO, 2014.</w:t>
      </w:r>
    </w:p>
    <w:p w14:paraId="07DAFE96" w14:textId="77777777" w:rsidR="00216CF3" w:rsidRPr="00D1249F" w:rsidRDefault="00216CF3" w:rsidP="00216CF3">
      <w:pPr>
        <w:jc w:val="both"/>
        <w:rPr>
          <w:rFonts w:ascii="Times New Roman" w:hAnsi="Times New Roman" w:cs="Times New Roman"/>
          <w:lang w:val="it-IT"/>
        </w:rPr>
      </w:pPr>
    </w:p>
    <w:p w14:paraId="77657E88" w14:textId="77777777" w:rsidR="00216CF3" w:rsidRPr="00BD11A6" w:rsidRDefault="00216CF3" w:rsidP="00216CF3">
      <w:pPr>
        <w:jc w:val="both"/>
        <w:rPr>
          <w:rFonts w:ascii="Times New Roman" w:hAnsi="Times New Roman" w:cs="Times New Roman"/>
          <w:sz w:val="24"/>
          <w:szCs w:val="24"/>
          <w:lang w:val="it-IT"/>
        </w:rPr>
      </w:pPr>
      <w:r w:rsidRPr="00BD11A6">
        <w:rPr>
          <w:rFonts w:ascii="Times New Roman" w:hAnsi="Times New Roman" w:cs="Times New Roman"/>
          <w:b/>
          <w:bCs/>
          <w:sz w:val="24"/>
          <w:szCs w:val="24"/>
          <w:lang w:val="it-IT"/>
        </w:rPr>
        <w:t>KOTTNER,</w:t>
      </w:r>
      <w:r w:rsidRPr="00BD11A6">
        <w:rPr>
          <w:rFonts w:ascii="Times New Roman" w:hAnsi="Times New Roman" w:cs="Times New Roman"/>
          <w:sz w:val="24"/>
          <w:szCs w:val="24"/>
          <w:lang w:val="it-IT"/>
        </w:rPr>
        <w:t xml:space="preserve"> Jan et al. </w:t>
      </w:r>
      <w:r w:rsidRPr="00216416">
        <w:rPr>
          <w:rFonts w:ascii="Times New Roman" w:hAnsi="Times New Roman" w:cs="Times New Roman"/>
          <w:b/>
          <w:bCs/>
          <w:sz w:val="24"/>
          <w:szCs w:val="24"/>
          <w:lang w:val="it-IT"/>
        </w:rPr>
        <w:t>Maintaining skin integrity in the aged: A systematic review. Journal of Tissue Viability</w:t>
      </w:r>
      <w:r w:rsidRPr="00BD11A6">
        <w:rPr>
          <w:rFonts w:ascii="Times New Roman" w:hAnsi="Times New Roman" w:cs="Times New Roman"/>
          <w:sz w:val="24"/>
          <w:szCs w:val="24"/>
          <w:lang w:val="it-IT"/>
        </w:rPr>
        <w:t>, Oxford, v. 29, n. 1, p. 20-28, 2020.</w:t>
      </w:r>
    </w:p>
    <w:p w14:paraId="0BB41089" w14:textId="77777777" w:rsidR="00216CF3" w:rsidRPr="00D1249F" w:rsidRDefault="00216CF3" w:rsidP="00216CF3">
      <w:pPr>
        <w:jc w:val="both"/>
        <w:rPr>
          <w:rFonts w:ascii="Times New Roman" w:hAnsi="Times New Roman" w:cs="Times New Roman"/>
          <w:b/>
          <w:bCs/>
          <w:lang w:val="it-IT"/>
        </w:rPr>
      </w:pPr>
    </w:p>
    <w:p w14:paraId="15EB0541" w14:textId="77777777" w:rsidR="00216CF3" w:rsidRPr="00BD11A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LEBLANC, Kim et al. </w:t>
      </w:r>
      <w:r w:rsidRPr="00216416">
        <w:rPr>
          <w:rFonts w:ascii="Times New Roman" w:hAnsi="Times New Roman" w:cs="Times New Roman"/>
          <w:b/>
          <w:bCs/>
          <w:sz w:val="24"/>
          <w:szCs w:val="24"/>
          <w:lang w:val="it-IT"/>
        </w:rPr>
        <w:t>Best practice recommendations for the prevention and management of skin tears in aged skin. Advances in Skin &amp; Wound Care</w:t>
      </w:r>
      <w:r w:rsidRPr="00BD11A6">
        <w:rPr>
          <w:rFonts w:ascii="Times New Roman" w:hAnsi="Times New Roman" w:cs="Times New Roman"/>
          <w:sz w:val="24"/>
          <w:szCs w:val="24"/>
          <w:lang w:val="it-IT"/>
        </w:rPr>
        <w:t>, Philadelphia, v. 31, n. 11, p. 540-551, 2018.</w:t>
      </w:r>
    </w:p>
    <w:p w14:paraId="74354BE7" w14:textId="77777777" w:rsidR="00216CF3" w:rsidRDefault="00216CF3" w:rsidP="00216CF3">
      <w:pPr>
        <w:jc w:val="both"/>
        <w:rPr>
          <w:rFonts w:ascii="Times New Roman" w:hAnsi="Times New Roman" w:cs="Times New Roman"/>
          <w:sz w:val="24"/>
          <w:szCs w:val="24"/>
          <w:lang w:val="it-IT"/>
        </w:rPr>
      </w:pPr>
    </w:p>
    <w:p w14:paraId="3BADCD16"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NONAKA, Ikujiro; TAKEUCHI, Hirotaka. </w:t>
      </w:r>
      <w:r w:rsidRPr="00216416">
        <w:rPr>
          <w:rFonts w:ascii="Times New Roman" w:hAnsi="Times New Roman" w:cs="Times New Roman"/>
          <w:b/>
          <w:bCs/>
          <w:sz w:val="24"/>
          <w:szCs w:val="24"/>
          <w:lang w:val="it-IT"/>
        </w:rPr>
        <w:t>The knowledge-creating company: how Japanese companies create the dynamics of innovation</w:t>
      </w:r>
      <w:r w:rsidRPr="00216416">
        <w:rPr>
          <w:rFonts w:ascii="Times New Roman" w:hAnsi="Times New Roman" w:cs="Times New Roman"/>
          <w:sz w:val="24"/>
          <w:szCs w:val="24"/>
          <w:lang w:val="it-IT"/>
        </w:rPr>
        <w:t>. New York: Oxford University Press, 1995.</w:t>
      </w:r>
    </w:p>
    <w:p w14:paraId="15A19BB0" w14:textId="77777777" w:rsidR="00216CF3" w:rsidRPr="00216416" w:rsidRDefault="00216CF3" w:rsidP="00216CF3">
      <w:pPr>
        <w:jc w:val="both"/>
        <w:rPr>
          <w:rFonts w:ascii="Times New Roman" w:hAnsi="Times New Roman" w:cs="Times New Roman"/>
          <w:lang w:val="it-IT"/>
        </w:rPr>
      </w:pPr>
    </w:p>
    <w:p w14:paraId="73DE687B"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NONAKA, Ikujiro; TOYAMA, Ryoko; KONNO, Noboru. SECI, </w:t>
      </w:r>
      <w:r w:rsidRPr="00FD3340">
        <w:rPr>
          <w:rFonts w:ascii="Times New Roman" w:hAnsi="Times New Roman" w:cs="Times New Roman"/>
          <w:b/>
          <w:bCs/>
          <w:sz w:val="24"/>
          <w:szCs w:val="24"/>
          <w:lang w:val="it-IT"/>
        </w:rPr>
        <w:t>Ba and leadership: a unified model of dynamic knowledge creation. Long Range Planning</w:t>
      </w:r>
      <w:r w:rsidRPr="00216416">
        <w:rPr>
          <w:rFonts w:ascii="Times New Roman" w:hAnsi="Times New Roman" w:cs="Times New Roman"/>
          <w:sz w:val="24"/>
          <w:szCs w:val="24"/>
          <w:lang w:val="it-IT"/>
        </w:rPr>
        <w:t>, Oxford, v. 33, n. 1, p. 5-34, 2000.</w:t>
      </w:r>
    </w:p>
    <w:p w14:paraId="365B23B5" w14:textId="77777777" w:rsidR="00216CF3" w:rsidRPr="00216416" w:rsidRDefault="00216CF3" w:rsidP="00216CF3">
      <w:pPr>
        <w:jc w:val="both"/>
        <w:rPr>
          <w:rFonts w:ascii="Times New Roman" w:hAnsi="Times New Roman" w:cs="Times New Roman"/>
          <w:lang w:val="it-IT"/>
        </w:rPr>
      </w:pPr>
    </w:p>
    <w:p w14:paraId="61759551"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NONAKA, Ikujiro; TAKEUCHI, Hirotaka. </w:t>
      </w:r>
      <w:r w:rsidRPr="00FD3340">
        <w:rPr>
          <w:rFonts w:ascii="Times New Roman" w:hAnsi="Times New Roman" w:cs="Times New Roman"/>
          <w:b/>
          <w:bCs/>
          <w:i/>
          <w:iCs/>
          <w:sz w:val="24"/>
          <w:szCs w:val="24"/>
          <w:lang w:val="it-IT"/>
        </w:rPr>
        <w:t>The wise company: how companies create continuous innovation</w:t>
      </w:r>
      <w:r w:rsidRPr="00FD3340">
        <w:rPr>
          <w:rFonts w:ascii="Times New Roman" w:hAnsi="Times New Roman" w:cs="Times New Roman"/>
          <w:b/>
          <w:bCs/>
          <w:sz w:val="24"/>
          <w:szCs w:val="24"/>
          <w:lang w:val="it-IT"/>
        </w:rPr>
        <w:t>.</w:t>
      </w:r>
      <w:r w:rsidRPr="00216416">
        <w:rPr>
          <w:rFonts w:ascii="Times New Roman" w:hAnsi="Times New Roman" w:cs="Times New Roman"/>
          <w:sz w:val="24"/>
          <w:szCs w:val="24"/>
          <w:lang w:val="it-IT"/>
        </w:rPr>
        <w:t xml:space="preserve"> New York: Oxford University Press, 2021.</w:t>
      </w:r>
    </w:p>
    <w:p w14:paraId="76EE37F6" w14:textId="77777777" w:rsidR="00216CF3" w:rsidRPr="00216416" w:rsidRDefault="00216CF3" w:rsidP="00216CF3">
      <w:pPr>
        <w:jc w:val="both"/>
        <w:rPr>
          <w:rFonts w:ascii="Times New Roman" w:hAnsi="Times New Roman" w:cs="Times New Roman"/>
          <w:lang w:val="it-IT"/>
        </w:rPr>
      </w:pPr>
    </w:p>
    <w:p w14:paraId="2BE5DC05"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OECD. </w:t>
      </w:r>
      <w:r w:rsidRPr="00FD3340">
        <w:rPr>
          <w:rFonts w:ascii="Times New Roman" w:hAnsi="Times New Roman" w:cs="Times New Roman"/>
          <w:b/>
          <w:bCs/>
          <w:sz w:val="24"/>
          <w:szCs w:val="24"/>
          <w:lang w:val="it-IT"/>
        </w:rPr>
        <w:t>Fostering innovation to address social challenges</w:t>
      </w:r>
      <w:r w:rsidRPr="00216416">
        <w:rPr>
          <w:rFonts w:ascii="Times New Roman" w:hAnsi="Times New Roman" w:cs="Times New Roman"/>
          <w:sz w:val="24"/>
          <w:szCs w:val="24"/>
          <w:lang w:val="it-IT"/>
        </w:rPr>
        <w:t>. Paris: OECD Publishing, 2011.</w:t>
      </w:r>
    </w:p>
    <w:p w14:paraId="2C3664D7" w14:textId="77777777" w:rsidR="00216CF3" w:rsidRPr="00216416" w:rsidRDefault="00216CF3" w:rsidP="00216CF3">
      <w:pPr>
        <w:jc w:val="both"/>
        <w:rPr>
          <w:rFonts w:ascii="Times New Roman" w:hAnsi="Times New Roman" w:cs="Times New Roman"/>
          <w:lang w:val="it-IT"/>
        </w:rPr>
      </w:pPr>
    </w:p>
    <w:p w14:paraId="3DC74859"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POLANYI, Michael. </w:t>
      </w:r>
      <w:r w:rsidRPr="00FD3340">
        <w:rPr>
          <w:rFonts w:ascii="Times New Roman" w:hAnsi="Times New Roman" w:cs="Times New Roman"/>
          <w:b/>
          <w:bCs/>
          <w:sz w:val="24"/>
          <w:szCs w:val="24"/>
          <w:lang w:val="it-IT"/>
        </w:rPr>
        <w:t>The tacit dimension. Chicago: The University of Chicago Press</w:t>
      </w:r>
      <w:r w:rsidRPr="00216416">
        <w:rPr>
          <w:rFonts w:ascii="Times New Roman" w:hAnsi="Times New Roman" w:cs="Times New Roman"/>
          <w:sz w:val="24"/>
          <w:szCs w:val="24"/>
          <w:lang w:val="it-IT"/>
        </w:rPr>
        <w:t>, 1966.</w:t>
      </w:r>
    </w:p>
    <w:p w14:paraId="212F59AC" w14:textId="77777777" w:rsidR="00216CF3" w:rsidRPr="00216416" w:rsidRDefault="00216CF3" w:rsidP="00216CF3">
      <w:pPr>
        <w:jc w:val="both"/>
        <w:rPr>
          <w:rFonts w:ascii="Times New Roman" w:hAnsi="Times New Roman" w:cs="Times New Roman"/>
          <w:lang w:val="it-IT"/>
        </w:rPr>
      </w:pPr>
    </w:p>
    <w:p w14:paraId="308FDF12"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PROKSCH, Ehrhardt; BRANDNER, Johanna M.; JENSEN, Jens-Michael. </w:t>
      </w:r>
      <w:r w:rsidRPr="00FD3340">
        <w:rPr>
          <w:rFonts w:ascii="Times New Roman" w:hAnsi="Times New Roman" w:cs="Times New Roman"/>
          <w:b/>
          <w:bCs/>
          <w:sz w:val="24"/>
          <w:szCs w:val="24"/>
          <w:lang w:val="it-IT"/>
        </w:rPr>
        <w:t>The skin: an indispensable barrier. Experimental Dermatology</w:t>
      </w:r>
      <w:r w:rsidRPr="00216416">
        <w:rPr>
          <w:rFonts w:ascii="Times New Roman" w:hAnsi="Times New Roman" w:cs="Times New Roman"/>
          <w:sz w:val="24"/>
          <w:szCs w:val="24"/>
          <w:lang w:val="it-IT"/>
        </w:rPr>
        <w:t>, Copenhagen, v. 17, n. 12, p. 1063-1072, 2008.</w:t>
      </w:r>
    </w:p>
    <w:p w14:paraId="1A6D893D"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RITTIÉ, Laure; FISHER, Gary J. </w:t>
      </w:r>
      <w:r w:rsidRPr="00FD3340">
        <w:rPr>
          <w:rFonts w:ascii="Times New Roman" w:hAnsi="Times New Roman" w:cs="Times New Roman"/>
          <w:b/>
          <w:bCs/>
          <w:sz w:val="24"/>
          <w:szCs w:val="24"/>
          <w:lang w:val="it-IT"/>
        </w:rPr>
        <w:t>Natural and sun-induced aging of human skin. Cold Spring Harbor Perspectives in Medicine</w:t>
      </w:r>
      <w:r w:rsidRPr="00216416">
        <w:rPr>
          <w:rFonts w:ascii="Times New Roman" w:hAnsi="Times New Roman" w:cs="Times New Roman"/>
          <w:sz w:val="24"/>
          <w:szCs w:val="24"/>
          <w:lang w:val="it-IT"/>
        </w:rPr>
        <w:t>, Cold Spring Harbor, v. 5, n. 1, p. a015370, 2015.</w:t>
      </w:r>
    </w:p>
    <w:p w14:paraId="77369883" w14:textId="77777777" w:rsidR="00216CF3" w:rsidRDefault="00216CF3" w:rsidP="00216CF3">
      <w:pPr>
        <w:jc w:val="both"/>
        <w:rPr>
          <w:rFonts w:ascii="Times New Roman" w:hAnsi="Times New Roman" w:cs="Times New Roman"/>
          <w:sz w:val="24"/>
          <w:szCs w:val="24"/>
          <w:lang w:val="it-IT"/>
        </w:rPr>
      </w:pPr>
    </w:p>
    <w:p w14:paraId="0485D201"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ROGIERS, Vera. </w:t>
      </w:r>
      <w:r w:rsidRPr="00FD3340">
        <w:rPr>
          <w:rFonts w:ascii="Times New Roman" w:hAnsi="Times New Roman" w:cs="Times New Roman"/>
          <w:b/>
          <w:bCs/>
          <w:sz w:val="24"/>
          <w:szCs w:val="24"/>
          <w:lang w:val="it-IT"/>
        </w:rPr>
        <w:t>EEMCO guidance for the assessment of transepidermal water loss in cosmetic sciences. Skin Pharmacology and Applied Skin Physiology</w:t>
      </w:r>
      <w:r w:rsidRPr="00216416">
        <w:rPr>
          <w:rFonts w:ascii="Times New Roman" w:hAnsi="Times New Roman" w:cs="Times New Roman"/>
          <w:sz w:val="24"/>
          <w:szCs w:val="24"/>
          <w:lang w:val="it-IT"/>
        </w:rPr>
        <w:t>, Basel, v. 14, n. 2, p. 117-128, 2001.</w:t>
      </w:r>
    </w:p>
    <w:p w14:paraId="1CD61FF2" w14:textId="77777777" w:rsidR="00216CF3" w:rsidRPr="00216416" w:rsidRDefault="00216CF3" w:rsidP="00216CF3">
      <w:pPr>
        <w:jc w:val="both"/>
        <w:rPr>
          <w:rFonts w:ascii="Times New Roman" w:hAnsi="Times New Roman" w:cs="Times New Roman"/>
          <w:lang w:val="it-IT"/>
        </w:rPr>
      </w:pPr>
    </w:p>
    <w:p w14:paraId="5D944780" w14:textId="77777777" w:rsidR="00216CF3" w:rsidRPr="00D01A94" w:rsidRDefault="00216CF3" w:rsidP="00216CF3">
      <w:pPr>
        <w:jc w:val="both"/>
        <w:rPr>
          <w:rFonts w:ascii="Times New Roman" w:hAnsi="Times New Roman" w:cs="Times New Roman"/>
          <w:sz w:val="24"/>
          <w:szCs w:val="24"/>
          <w:lang w:val="en-US"/>
        </w:rPr>
      </w:pPr>
      <w:r w:rsidRPr="00D01A94">
        <w:rPr>
          <w:rFonts w:ascii="Times New Roman" w:hAnsi="Times New Roman" w:cs="Times New Roman"/>
          <w:sz w:val="24"/>
          <w:szCs w:val="24"/>
          <w:lang w:val="en-US"/>
        </w:rPr>
        <w:t xml:space="preserve">UNITED NATIONS. </w:t>
      </w:r>
      <w:r w:rsidRPr="00D01A94">
        <w:rPr>
          <w:rFonts w:ascii="Times New Roman" w:hAnsi="Times New Roman" w:cs="Times New Roman"/>
          <w:b/>
          <w:bCs/>
          <w:sz w:val="24"/>
          <w:szCs w:val="24"/>
          <w:lang w:val="en-US"/>
        </w:rPr>
        <w:t xml:space="preserve">Transforming our world: the 2030 Agenda for Sustainable Development. </w:t>
      </w:r>
      <w:r w:rsidRPr="00D01A94">
        <w:rPr>
          <w:rFonts w:ascii="Times New Roman" w:hAnsi="Times New Roman" w:cs="Times New Roman"/>
          <w:sz w:val="24"/>
          <w:szCs w:val="24"/>
          <w:lang w:val="en-US"/>
        </w:rPr>
        <w:t>New York: United Nations, 2015.</w:t>
      </w:r>
    </w:p>
    <w:p w14:paraId="1C87E95F" w14:textId="77777777" w:rsidR="00216CF3" w:rsidRPr="00D01A94" w:rsidRDefault="00216CF3" w:rsidP="00216CF3">
      <w:pPr>
        <w:jc w:val="both"/>
        <w:rPr>
          <w:rFonts w:ascii="Times New Roman" w:hAnsi="Times New Roman" w:cs="Times New Roman"/>
          <w:lang w:val="en-US"/>
        </w:rPr>
      </w:pPr>
    </w:p>
    <w:p w14:paraId="25109C42" w14:textId="77777777" w:rsidR="00216CF3" w:rsidRPr="00D01A94" w:rsidRDefault="00216CF3" w:rsidP="00216CF3">
      <w:pPr>
        <w:jc w:val="both"/>
        <w:rPr>
          <w:rFonts w:ascii="Times New Roman" w:hAnsi="Times New Roman" w:cs="Times New Roman"/>
          <w:sz w:val="24"/>
          <w:szCs w:val="24"/>
          <w:lang w:val="en-US"/>
        </w:rPr>
      </w:pPr>
      <w:r w:rsidRPr="00D01A94">
        <w:rPr>
          <w:rFonts w:ascii="Times New Roman" w:hAnsi="Times New Roman" w:cs="Times New Roman"/>
          <w:sz w:val="24"/>
          <w:szCs w:val="24"/>
          <w:lang w:val="en-US"/>
        </w:rPr>
        <w:t xml:space="preserve">UNITED NATIONS EDUCATIONAL, SCIENTIFIC AND CULTURAL ORGANIZATION (UNESCO). </w:t>
      </w:r>
      <w:r w:rsidRPr="00D01A94">
        <w:rPr>
          <w:rFonts w:ascii="Times New Roman" w:hAnsi="Times New Roman" w:cs="Times New Roman"/>
          <w:b/>
          <w:bCs/>
          <w:sz w:val="24"/>
          <w:szCs w:val="24"/>
          <w:lang w:val="en-US"/>
        </w:rPr>
        <w:t>Reimagining our futures together: a new social contract for education</w:t>
      </w:r>
      <w:r w:rsidRPr="00D01A94">
        <w:rPr>
          <w:rFonts w:ascii="Times New Roman" w:hAnsi="Times New Roman" w:cs="Times New Roman"/>
          <w:sz w:val="24"/>
          <w:szCs w:val="24"/>
          <w:lang w:val="en-US"/>
        </w:rPr>
        <w:t>. Paris: UNESCO, 2021.</w:t>
      </w:r>
    </w:p>
    <w:p w14:paraId="0947530B" w14:textId="77777777" w:rsidR="00216CF3" w:rsidRPr="00D01A94" w:rsidRDefault="00216CF3" w:rsidP="00216CF3">
      <w:pPr>
        <w:jc w:val="both"/>
        <w:rPr>
          <w:rFonts w:ascii="Times New Roman" w:hAnsi="Times New Roman" w:cs="Times New Roman"/>
          <w:lang w:val="en-US"/>
        </w:rPr>
      </w:pPr>
    </w:p>
    <w:p w14:paraId="10496FEA" w14:textId="77777777" w:rsidR="00216CF3" w:rsidRPr="00216416" w:rsidRDefault="00216CF3" w:rsidP="00216CF3">
      <w:pPr>
        <w:jc w:val="both"/>
        <w:rPr>
          <w:rFonts w:ascii="Times New Roman" w:hAnsi="Times New Roman" w:cs="Times New Roman"/>
          <w:sz w:val="24"/>
          <w:szCs w:val="24"/>
          <w:lang w:val="it-IT"/>
        </w:rPr>
      </w:pPr>
      <w:r w:rsidRPr="00D01A94">
        <w:rPr>
          <w:rFonts w:ascii="Times New Roman" w:hAnsi="Times New Roman" w:cs="Times New Roman"/>
          <w:sz w:val="24"/>
          <w:szCs w:val="24"/>
          <w:lang w:val="en-US"/>
        </w:rPr>
        <w:t xml:space="preserve">WORLD HEALTH ORGANIZATION. </w:t>
      </w:r>
      <w:r w:rsidRPr="00D01A94">
        <w:rPr>
          <w:rFonts w:ascii="Times New Roman" w:hAnsi="Times New Roman" w:cs="Times New Roman"/>
          <w:b/>
          <w:bCs/>
          <w:sz w:val="24"/>
          <w:szCs w:val="24"/>
          <w:lang w:val="en-US"/>
        </w:rPr>
        <w:t xml:space="preserve">World report on ageing and health. </w:t>
      </w:r>
      <w:r w:rsidRPr="00FD3340">
        <w:rPr>
          <w:rFonts w:ascii="Times New Roman" w:hAnsi="Times New Roman" w:cs="Times New Roman"/>
          <w:b/>
          <w:bCs/>
          <w:sz w:val="24"/>
          <w:szCs w:val="24"/>
          <w:lang w:val="it-IT"/>
        </w:rPr>
        <w:t>Geneva: World Health Organization</w:t>
      </w:r>
      <w:r w:rsidRPr="00216416">
        <w:rPr>
          <w:rFonts w:ascii="Times New Roman" w:hAnsi="Times New Roman" w:cs="Times New Roman"/>
          <w:sz w:val="24"/>
          <w:szCs w:val="24"/>
          <w:lang w:val="it-IT"/>
        </w:rPr>
        <w:t>, 2015.</w:t>
      </w:r>
    </w:p>
    <w:p w14:paraId="6C573035" w14:textId="77777777" w:rsidR="00216CF3" w:rsidRPr="00216416" w:rsidRDefault="00216CF3" w:rsidP="00216CF3">
      <w:pPr>
        <w:jc w:val="both"/>
        <w:rPr>
          <w:rFonts w:ascii="Times New Roman" w:hAnsi="Times New Roman" w:cs="Times New Roman"/>
          <w:sz w:val="24"/>
          <w:szCs w:val="24"/>
          <w:lang w:val="it-IT"/>
        </w:rPr>
      </w:pPr>
    </w:p>
    <w:p w14:paraId="67E1570A"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WORLD HEALTH ORGANIZATION. </w:t>
      </w:r>
      <w:r w:rsidRPr="00FD3340">
        <w:rPr>
          <w:rFonts w:ascii="Times New Roman" w:hAnsi="Times New Roman" w:cs="Times New Roman"/>
          <w:b/>
          <w:bCs/>
          <w:sz w:val="24"/>
          <w:szCs w:val="24"/>
          <w:lang w:val="it-IT"/>
        </w:rPr>
        <w:t>Decade of Healthy Ageing: baseline report. Geneva: World Health Organization</w:t>
      </w:r>
      <w:r w:rsidRPr="00216416">
        <w:rPr>
          <w:rFonts w:ascii="Times New Roman" w:hAnsi="Times New Roman" w:cs="Times New Roman"/>
          <w:sz w:val="24"/>
          <w:szCs w:val="24"/>
          <w:lang w:val="it-IT"/>
        </w:rPr>
        <w:t>, 2020.</w:t>
      </w:r>
    </w:p>
    <w:p w14:paraId="4AD50927" w14:textId="77777777" w:rsidR="00216CF3" w:rsidRPr="00216416" w:rsidRDefault="00216CF3" w:rsidP="00216CF3">
      <w:pPr>
        <w:jc w:val="both"/>
        <w:rPr>
          <w:rFonts w:ascii="Times New Roman" w:hAnsi="Times New Roman" w:cs="Times New Roman"/>
          <w:lang w:val="it-IT"/>
        </w:rPr>
      </w:pPr>
    </w:p>
    <w:p w14:paraId="69CCF3EF" w14:textId="77777777" w:rsidR="00216CF3" w:rsidRPr="00216416" w:rsidRDefault="00216CF3" w:rsidP="00216CF3">
      <w:pPr>
        <w:jc w:val="both"/>
        <w:rPr>
          <w:rFonts w:ascii="Times New Roman" w:hAnsi="Times New Roman" w:cs="Times New Roman"/>
          <w:sz w:val="24"/>
          <w:szCs w:val="24"/>
          <w:lang w:val="it-IT"/>
        </w:rPr>
      </w:pPr>
      <w:r w:rsidRPr="00216416">
        <w:rPr>
          <w:rFonts w:ascii="Times New Roman" w:hAnsi="Times New Roman" w:cs="Times New Roman"/>
          <w:sz w:val="24"/>
          <w:szCs w:val="24"/>
          <w:lang w:val="it-IT"/>
        </w:rPr>
        <w:t xml:space="preserve">WORLD HEALTH ORGANIZATION. UN </w:t>
      </w:r>
      <w:r w:rsidRPr="00FD3340">
        <w:rPr>
          <w:rFonts w:ascii="Times New Roman" w:hAnsi="Times New Roman" w:cs="Times New Roman"/>
          <w:b/>
          <w:bCs/>
          <w:sz w:val="24"/>
          <w:szCs w:val="24"/>
          <w:lang w:val="it-IT"/>
        </w:rPr>
        <w:t>Decade of Healthy Ageing (2021–2030). Geneva: World Health Organization,</w:t>
      </w:r>
      <w:r w:rsidRPr="00216416">
        <w:rPr>
          <w:rFonts w:ascii="Times New Roman" w:hAnsi="Times New Roman" w:cs="Times New Roman"/>
          <w:sz w:val="24"/>
          <w:szCs w:val="24"/>
          <w:lang w:val="it-IT"/>
        </w:rPr>
        <w:t xml:space="preserve"> 2021.</w:t>
      </w:r>
    </w:p>
    <w:p w14:paraId="76B6FEB3" w14:textId="77777777" w:rsidR="00216CF3" w:rsidRPr="00216416" w:rsidRDefault="00216CF3" w:rsidP="00216CF3">
      <w:pPr>
        <w:jc w:val="both"/>
        <w:rPr>
          <w:rFonts w:ascii="Times New Roman" w:hAnsi="Times New Roman" w:cs="Times New Roman"/>
          <w:lang w:val="it-IT"/>
        </w:rPr>
      </w:pPr>
    </w:p>
    <w:p w14:paraId="655601ED" w14:textId="77777777" w:rsidR="00216CF3" w:rsidRPr="00F422C8" w:rsidRDefault="00216CF3" w:rsidP="00216CF3">
      <w:pPr>
        <w:jc w:val="both"/>
        <w:rPr>
          <w:rFonts w:ascii="Times New Roman" w:hAnsi="Times New Roman" w:cs="Times New Roman"/>
          <w:sz w:val="24"/>
          <w:szCs w:val="24"/>
        </w:rPr>
      </w:pPr>
      <w:r w:rsidRPr="00216416">
        <w:rPr>
          <w:rFonts w:ascii="Times New Roman" w:hAnsi="Times New Roman" w:cs="Times New Roman"/>
          <w:sz w:val="24"/>
          <w:szCs w:val="24"/>
          <w:lang w:val="it-IT"/>
        </w:rPr>
        <w:t xml:space="preserve">ZOUBOULIS, Christos C.; MAKRANTONAKI, </w:t>
      </w:r>
      <w:r w:rsidRPr="00CF1735">
        <w:rPr>
          <w:rFonts w:ascii="Times New Roman" w:hAnsi="Times New Roman" w:cs="Times New Roman"/>
          <w:b/>
          <w:bCs/>
          <w:sz w:val="24"/>
          <w:szCs w:val="24"/>
          <w:lang w:val="it-IT"/>
        </w:rPr>
        <w:t xml:space="preserve">Evgenia. Clinical aspects and molecular diagnostics of skin aging. </w:t>
      </w:r>
      <w:r w:rsidRPr="00CF1735">
        <w:rPr>
          <w:rFonts w:ascii="Times New Roman" w:hAnsi="Times New Roman" w:cs="Times New Roman"/>
          <w:b/>
          <w:bCs/>
          <w:sz w:val="24"/>
          <w:szCs w:val="24"/>
        </w:rPr>
        <w:t xml:space="preserve">Clinics in Dermatology, </w:t>
      </w:r>
      <w:r w:rsidRPr="00CF1735">
        <w:rPr>
          <w:rFonts w:ascii="Times New Roman" w:hAnsi="Times New Roman" w:cs="Times New Roman"/>
          <w:sz w:val="24"/>
          <w:szCs w:val="24"/>
        </w:rPr>
        <w:t>Philadelphia</w:t>
      </w:r>
      <w:r w:rsidRPr="00BD11A6">
        <w:rPr>
          <w:rFonts w:ascii="Times New Roman" w:hAnsi="Times New Roman" w:cs="Times New Roman"/>
          <w:sz w:val="24"/>
          <w:szCs w:val="24"/>
        </w:rPr>
        <w:t>, v. 29, n. 1, p. 3-14, 2011.</w:t>
      </w:r>
    </w:p>
    <w:sectPr w:rsidR="00216CF3" w:rsidRPr="00F422C8" w:rsidSect="00B009E4">
      <w:headerReference w:type="default" r:id="rId11"/>
      <w:footerReference w:type="default" r:id="rId12"/>
      <w:headerReference w:type="first" r:id="rId13"/>
      <w:pgSz w:w="11909" w:h="16834"/>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5B702" w14:textId="77777777" w:rsidR="00E16F03" w:rsidRDefault="00E16F03">
      <w:pPr>
        <w:spacing w:line="240" w:lineRule="auto"/>
      </w:pPr>
      <w:r>
        <w:separator/>
      </w:r>
    </w:p>
  </w:endnote>
  <w:endnote w:type="continuationSeparator" w:id="0">
    <w:p w14:paraId="03FD9242" w14:textId="77777777" w:rsidR="00E16F03" w:rsidRDefault="00E16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627F5A2-9D62-412C-8843-0D04591C5850}"/>
  </w:font>
  <w:font w:name="Courier New">
    <w:panose1 w:val="02070309020205020404"/>
    <w:charset w:val="00"/>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embedRegular r:id="rId2" w:fontKey="{9CA15171-7B9A-4A6A-BD86-07EEC7C69D17}"/>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3" w:fontKey="{33F53E70-D788-4366-B365-2D577A12C8BB}"/>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4" w:fontKey="{3F3BACAB-6FC5-4705-B395-8D04FFC6F98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5" w:fontKey="{E89E34B5-5E5C-4CB7-AFD8-ACF2D88A4D47}"/>
    <w:embedBold r:id="rId6" w:fontKey="{93B096EF-4D60-489D-8CC9-8F3C6C27DC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B0B7" w14:textId="77777777" w:rsidR="006F452E" w:rsidRPr="00B009E4" w:rsidRDefault="006F452E" w:rsidP="006F452E">
    <w:pPr>
      <w:pBdr>
        <w:top w:val="nil"/>
        <w:left w:val="nil"/>
        <w:bottom w:val="nil"/>
        <w:right w:val="nil"/>
        <w:between w:val="nil"/>
      </w:pBdr>
      <w:tabs>
        <w:tab w:val="center" w:pos="4252"/>
        <w:tab w:val="right" w:pos="8504"/>
      </w:tabs>
      <w:spacing w:line="240" w:lineRule="auto"/>
      <w:rPr>
        <w:rFonts w:ascii="Times New Roman" w:eastAsia="Times New Roman" w:hAnsi="Times New Roman" w:cs="Times New Roman"/>
        <w:color w:val="1F497D" w:themeColor="text2"/>
      </w:rPr>
    </w:pPr>
    <w:r w:rsidRPr="00B009E4">
      <w:rPr>
        <w:rFonts w:ascii="Times New Roman" w:eastAsia="Times New Roman" w:hAnsi="Times New Roman" w:cs="Times New Roman"/>
        <w:color w:val="1F497D" w:themeColor="text2"/>
      </w:rPr>
      <w:t>SBGC – Sociedade Brasileira de Gestão do Conhecimento – sbgc.org.br</w:t>
    </w:r>
  </w:p>
  <w:p w14:paraId="12F598DC" w14:textId="19108EF2" w:rsidR="00D8471E" w:rsidRPr="00CF5A74" w:rsidRDefault="006F452E">
    <w:pPr>
      <w:pBdr>
        <w:top w:val="nil"/>
        <w:left w:val="nil"/>
        <w:bottom w:val="nil"/>
        <w:right w:val="nil"/>
        <w:between w:val="nil"/>
      </w:pBdr>
      <w:tabs>
        <w:tab w:val="center" w:pos="4252"/>
        <w:tab w:val="right" w:pos="8504"/>
      </w:tabs>
      <w:spacing w:line="240" w:lineRule="auto"/>
      <w:rPr>
        <w:rFonts w:ascii="Times New Roman" w:eastAsia="Times New Roman" w:hAnsi="Times New Roman" w:cs="Times New Roman"/>
        <w:color w:val="000000"/>
      </w:rPr>
    </w:pPr>
    <w:r w:rsidRPr="00B009E4">
      <w:rPr>
        <w:rFonts w:ascii="Times New Roman" w:eastAsia="Times New Roman" w:hAnsi="Times New Roman" w:cs="Times New Roman"/>
        <w:color w:val="1F497D" w:themeColor="text2"/>
      </w:rPr>
      <w:t>KM Brasil 202</w:t>
    </w:r>
    <w:r w:rsidR="00876366">
      <w:rPr>
        <w:rFonts w:ascii="Times New Roman" w:eastAsia="Times New Roman" w:hAnsi="Times New Roman" w:cs="Times New Roman"/>
        <w:color w:val="1F497D" w:themeColor="text2"/>
      </w:rPr>
      <w:t>6</w:t>
    </w:r>
    <w:r w:rsidRPr="00B009E4">
      <w:rPr>
        <w:rFonts w:ascii="Times New Roman" w:eastAsia="Times New Roman" w:hAnsi="Times New Roman" w:cs="Times New Roman"/>
        <w:color w:val="1F497D" w:themeColor="text2"/>
      </w:rPr>
      <w:t xml:space="preserve"> - 2</w:t>
    </w:r>
    <w:r w:rsidR="00876366">
      <w:rPr>
        <w:rFonts w:ascii="Times New Roman" w:eastAsia="Times New Roman" w:hAnsi="Times New Roman" w:cs="Times New Roman"/>
        <w:color w:val="1F497D" w:themeColor="text2"/>
      </w:rPr>
      <w:t>1</w:t>
    </w:r>
    <w:r w:rsidRPr="00B009E4">
      <w:rPr>
        <w:rFonts w:ascii="Times New Roman" w:eastAsia="Times New Roman" w:hAnsi="Times New Roman" w:cs="Times New Roman"/>
        <w:color w:val="1F497D" w:themeColor="text2"/>
      </w:rPr>
      <w:t xml:space="preserve">º Congresso Brasileiro de Gestão do Conhecimento – kmbrasil.org                   </w:t>
    </w:r>
    <w:r w:rsidRPr="00B009E4">
      <w:rPr>
        <w:rFonts w:ascii="Times New Roman" w:eastAsia="Times New Roman" w:hAnsi="Times New Roman" w:cs="Times New Roman"/>
        <w:color w:val="1F497D" w:themeColor="text2"/>
      </w:rPr>
      <w:fldChar w:fldCharType="begin"/>
    </w:r>
    <w:r w:rsidRPr="00B009E4">
      <w:rPr>
        <w:rFonts w:ascii="Times New Roman" w:eastAsia="Times New Roman" w:hAnsi="Times New Roman" w:cs="Times New Roman"/>
        <w:color w:val="1F497D" w:themeColor="text2"/>
      </w:rPr>
      <w:instrText>PAGE</w:instrText>
    </w:r>
    <w:r w:rsidRPr="00B009E4">
      <w:rPr>
        <w:rFonts w:ascii="Times New Roman" w:eastAsia="Times New Roman" w:hAnsi="Times New Roman" w:cs="Times New Roman"/>
        <w:color w:val="1F497D" w:themeColor="text2"/>
      </w:rPr>
      <w:fldChar w:fldCharType="separate"/>
    </w:r>
    <w:r w:rsidR="00421B29" w:rsidRPr="00B009E4">
      <w:rPr>
        <w:rFonts w:ascii="Times New Roman" w:eastAsia="Times New Roman" w:hAnsi="Times New Roman" w:cs="Times New Roman"/>
        <w:noProof/>
        <w:color w:val="1F497D" w:themeColor="text2"/>
      </w:rPr>
      <w:t>1</w:t>
    </w:r>
    <w:r w:rsidRPr="00B009E4">
      <w:rPr>
        <w:rFonts w:ascii="Times New Roman" w:eastAsia="Times New Roman" w:hAnsi="Times New Roman" w:cs="Times New Roman"/>
        <w:color w:val="1F497D"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6B83" w14:textId="77777777" w:rsidR="00E16F03" w:rsidRDefault="00E16F03">
      <w:pPr>
        <w:spacing w:line="240" w:lineRule="auto"/>
      </w:pPr>
      <w:r>
        <w:separator/>
      </w:r>
    </w:p>
  </w:footnote>
  <w:footnote w:type="continuationSeparator" w:id="0">
    <w:p w14:paraId="0D884F6A" w14:textId="77777777" w:rsidR="00E16F03" w:rsidRDefault="00E16F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E08E" w14:textId="6CEA9C00" w:rsidR="00D8471E" w:rsidRDefault="00136729" w:rsidP="00136729">
    <w:pPr>
      <w:pBdr>
        <w:top w:val="nil"/>
        <w:left w:val="nil"/>
        <w:bottom w:val="nil"/>
        <w:right w:val="nil"/>
        <w:between w:val="nil"/>
      </w:pBdr>
      <w:tabs>
        <w:tab w:val="center" w:pos="4252"/>
        <w:tab w:val="right" w:pos="8504"/>
      </w:tabs>
      <w:spacing w:line="240" w:lineRule="auto"/>
      <w:jc w:val="both"/>
      <w:rPr>
        <w:color w:val="000000"/>
      </w:rPr>
    </w:pPr>
    <w:r>
      <w:rPr>
        <w:noProof/>
      </w:rPr>
      <w:drawing>
        <wp:inline distT="0" distB="0" distL="0" distR="0" wp14:anchorId="66525D89" wp14:editId="00DB3627">
          <wp:extent cx="1126957" cy="360000"/>
          <wp:effectExtent l="0" t="0" r="0" b="2540"/>
          <wp:docPr id="203747436" name="Imagem 1"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94546" name="Imagem 1" descr="Logotipo&#10;&#10;O conteúdo gerado por IA pode estar incor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957" cy="360000"/>
                  </a:xfrm>
                  <a:prstGeom prst="rect">
                    <a:avLst/>
                  </a:prstGeom>
                  <a:noFill/>
                </pic:spPr>
              </pic:pic>
            </a:graphicData>
          </a:graphic>
        </wp:inline>
      </w:drawing>
    </w:r>
    <w:r>
      <w:rPr>
        <w:color w:val="000000"/>
      </w:rPr>
      <w:t xml:space="preserve">                                                                                             </w:t>
    </w:r>
    <w:r>
      <w:rPr>
        <w:noProof/>
      </w:rPr>
      <w:drawing>
        <wp:inline distT="0" distB="0" distL="0" distR="0" wp14:anchorId="1784989F" wp14:editId="54DFB772">
          <wp:extent cx="1191818" cy="360000"/>
          <wp:effectExtent l="0" t="0" r="0" b="2540"/>
          <wp:docPr id="36435748"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99476" name="Imagem 2" descr="Logotipo&#10;&#10;O conteúdo gerado por IA pode estar incorre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1818" cy="3600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CC41" w14:textId="488E232C" w:rsidR="00136729" w:rsidRDefault="00136729">
    <w:pPr>
      <w:pStyle w:val="Header"/>
    </w:pPr>
    <w:r>
      <w:rPr>
        <w:noProof/>
      </w:rPr>
      <w:drawing>
        <wp:inline distT="0" distB="0" distL="0" distR="0" wp14:anchorId="70ED366B" wp14:editId="78F09767">
          <wp:extent cx="1126957" cy="360000"/>
          <wp:effectExtent l="0" t="0" r="0" b="2540"/>
          <wp:docPr id="12707945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957" cy="360000"/>
                  </a:xfrm>
                  <a:prstGeom prst="rect">
                    <a:avLst/>
                  </a:prstGeom>
                  <a:noFill/>
                </pic:spPr>
              </pic:pic>
            </a:graphicData>
          </a:graphic>
        </wp:inline>
      </w:drawing>
    </w:r>
    <w:r>
      <w:t xml:space="preserve">                                                                                        </w:t>
    </w:r>
    <w:r>
      <w:rPr>
        <w:noProof/>
      </w:rPr>
      <w:drawing>
        <wp:inline distT="0" distB="0" distL="0" distR="0" wp14:anchorId="6A79E5C0" wp14:editId="180DC618">
          <wp:extent cx="1191818" cy="360000"/>
          <wp:effectExtent l="0" t="0" r="0" b="2540"/>
          <wp:docPr id="143359947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1818" cy="360000"/>
                  </a:xfrm>
                  <a:prstGeom prst="rect">
                    <a:avLst/>
                  </a:prstGeom>
                  <a:noFill/>
                </pic:spPr>
              </pic:pic>
            </a:graphicData>
          </a:graphic>
        </wp:inline>
      </w:drawing>
    </w:r>
  </w:p>
  <w:p w14:paraId="5F77A256" w14:textId="3EDE407D" w:rsidR="00D8471E" w:rsidRDefault="00D8471E">
    <w:pPr>
      <w:pBdr>
        <w:top w:val="nil"/>
        <w:left w:val="nil"/>
        <w:bottom w:val="nil"/>
        <w:right w:val="nil"/>
        <w:between w:val="nil"/>
      </w:pBdr>
      <w:tabs>
        <w:tab w:val="center" w:pos="4252"/>
        <w:tab w:val="right" w:pos="8504"/>
      </w:tabs>
      <w:spacing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227"/>
    <w:multiLevelType w:val="multilevel"/>
    <w:tmpl w:val="5EC41642"/>
    <w:lvl w:ilvl="0">
      <w:start w:val="1"/>
      <w:numFmt w:val="decimal"/>
      <w:pStyle w:val="Subttulo1"/>
      <w:lvlText w:val="%1."/>
      <w:lvlJc w:val="left"/>
      <w:pPr>
        <w:ind w:left="466" w:hanging="360"/>
      </w:pPr>
      <w:rPr>
        <w:smallCaps w:val="0"/>
        <w:strike w:val="0"/>
        <w:color w:val="000000"/>
        <w:shd w:val="clear" w:color="auto" w:fill="auto"/>
        <w:vertAlign w:val="baseline"/>
      </w:rPr>
    </w:lvl>
    <w:lvl w:ilvl="1">
      <w:start w:val="1"/>
      <w:numFmt w:val="decimal"/>
      <w:pStyle w:val="Subttulo2"/>
      <w:lvlText w:val="%1.%2"/>
      <w:lvlJc w:val="right"/>
      <w:pPr>
        <w:ind w:left="52" w:firstLine="89"/>
      </w:pPr>
      <w:rPr>
        <w:smallCaps w:val="0"/>
        <w:strike w:val="0"/>
        <w:color w:val="000000"/>
        <w:shd w:val="clear" w:color="auto" w:fill="auto"/>
        <w:vertAlign w:val="baseline"/>
      </w:rPr>
    </w:lvl>
    <w:lvl w:ilvl="2">
      <w:start w:val="1"/>
      <w:numFmt w:val="decimal"/>
      <w:pStyle w:val="Subttulo3"/>
      <w:lvlText w:val="%1.%2.%3"/>
      <w:lvlJc w:val="right"/>
      <w:pPr>
        <w:ind w:left="772" w:hanging="360"/>
      </w:pPr>
      <w:rPr>
        <w:smallCaps w:val="0"/>
        <w:strike w:val="0"/>
        <w:color w:val="000000"/>
        <w:shd w:val="clear" w:color="auto" w:fill="auto"/>
        <w:vertAlign w:val="baseline"/>
      </w:rPr>
    </w:lvl>
    <w:lvl w:ilvl="3">
      <w:start w:val="1"/>
      <w:numFmt w:val="decimal"/>
      <w:lvlText w:val="%1.%2.%3.%4"/>
      <w:lvlJc w:val="right"/>
      <w:pPr>
        <w:ind w:left="1492" w:hanging="360"/>
      </w:pPr>
      <w:rPr>
        <w:smallCaps w:val="0"/>
        <w:strike w:val="0"/>
        <w:color w:val="000000"/>
        <w:shd w:val="clear" w:color="auto" w:fill="auto"/>
        <w:vertAlign w:val="baseline"/>
      </w:rPr>
    </w:lvl>
    <w:lvl w:ilvl="4">
      <w:start w:val="1"/>
      <w:numFmt w:val="decimal"/>
      <w:lvlText w:val="%1.%2.%3.%4.%5"/>
      <w:lvlJc w:val="right"/>
      <w:pPr>
        <w:ind w:left="2212" w:hanging="360"/>
      </w:pPr>
      <w:rPr>
        <w:smallCaps w:val="0"/>
        <w:strike w:val="0"/>
        <w:color w:val="000000"/>
        <w:shd w:val="clear" w:color="auto" w:fill="auto"/>
        <w:vertAlign w:val="baseline"/>
      </w:rPr>
    </w:lvl>
    <w:lvl w:ilvl="5">
      <w:start w:val="1"/>
      <w:numFmt w:val="decimal"/>
      <w:lvlText w:val="%1.%2.%3.%4.%5.%6"/>
      <w:lvlJc w:val="right"/>
      <w:pPr>
        <w:ind w:left="2932" w:hanging="360"/>
      </w:pPr>
      <w:rPr>
        <w:smallCaps w:val="0"/>
        <w:strike w:val="0"/>
        <w:color w:val="000000"/>
        <w:shd w:val="clear" w:color="auto" w:fill="auto"/>
        <w:vertAlign w:val="baseline"/>
      </w:rPr>
    </w:lvl>
    <w:lvl w:ilvl="6">
      <w:start w:val="1"/>
      <w:numFmt w:val="decimal"/>
      <w:lvlText w:val="%1.%2.%3.%4.%5.%6.%7"/>
      <w:lvlJc w:val="right"/>
      <w:pPr>
        <w:ind w:left="3652" w:hanging="360"/>
      </w:pPr>
      <w:rPr>
        <w:smallCaps w:val="0"/>
        <w:strike w:val="0"/>
        <w:color w:val="000000"/>
        <w:shd w:val="clear" w:color="auto" w:fill="auto"/>
        <w:vertAlign w:val="baseline"/>
      </w:rPr>
    </w:lvl>
    <w:lvl w:ilvl="7">
      <w:start w:val="1"/>
      <w:numFmt w:val="decimal"/>
      <w:lvlText w:val="%1.%2.%3.%4.%5.%6.%7.%8"/>
      <w:lvlJc w:val="right"/>
      <w:pPr>
        <w:ind w:left="4372" w:hanging="360"/>
      </w:pPr>
      <w:rPr>
        <w:smallCaps w:val="0"/>
        <w:strike w:val="0"/>
        <w:color w:val="000000"/>
        <w:shd w:val="clear" w:color="auto" w:fill="auto"/>
        <w:vertAlign w:val="baseline"/>
      </w:rPr>
    </w:lvl>
    <w:lvl w:ilvl="8">
      <w:start w:val="1"/>
      <w:numFmt w:val="decimal"/>
      <w:lvlText w:val="%1.%2.%3.%4.%5.%6.%7.%8.%9"/>
      <w:lvlJc w:val="right"/>
      <w:pPr>
        <w:ind w:left="5092" w:hanging="360"/>
      </w:pPr>
      <w:rPr>
        <w:smallCaps w:val="0"/>
        <w:strike w:val="0"/>
        <w:color w:val="000000"/>
        <w:shd w:val="clear" w:color="auto" w:fill="auto"/>
        <w:vertAlign w:val="baseline"/>
      </w:rPr>
    </w:lvl>
  </w:abstractNum>
  <w:abstractNum w:abstractNumId="1" w15:restartNumberingAfterBreak="0">
    <w:nsid w:val="4DD65773"/>
    <w:multiLevelType w:val="multilevel"/>
    <w:tmpl w:val="432AF41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572C07F7"/>
    <w:multiLevelType w:val="multilevel"/>
    <w:tmpl w:val="9ECC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F83DDD"/>
    <w:multiLevelType w:val="multilevel"/>
    <w:tmpl w:val="CFE63A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8323819">
    <w:abstractNumId w:val="3"/>
  </w:num>
  <w:num w:numId="2" w16cid:durableId="691417632">
    <w:abstractNumId w:val="1"/>
  </w:num>
  <w:num w:numId="3" w16cid:durableId="754589262">
    <w:abstractNumId w:val="0"/>
  </w:num>
  <w:num w:numId="4" w16cid:durableId="2027318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1E"/>
    <w:rsid w:val="00001218"/>
    <w:rsid w:val="00077153"/>
    <w:rsid w:val="00080CDE"/>
    <w:rsid w:val="001126AB"/>
    <w:rsid w:val="00136729"/>
    <w:rsid w:val="00141B7C"/>
    <w:rsid w:val="001501C7"/>
    <w:rsid w:val="001C163B"/>
    <w:rsid w:val="001E5EA1"/>
    <w:rsid w:val="00216CF3"/>
    <w:rsid w:val="00325B84"/>
    <w:rsid w:val="003A0B6E"/>
    <w:rsid w:val="003F43FA"/>
    <w:rsid w:val="00421B29"/>
    <w:rsid w:val="00467902"/>
    <w:rsid w:val="00512D7C"/>
    <w:rsid w:val="006527DA"/>
    <w:rsid w:val="00657BCF"/>
    <w:rsid w:val="006A4F8D"/>
    <w:rsid w:val="006F452E"/>
    <w:rsid w:val="00701148"/>
    <w:rsid w:val="00711AAA"/>
    <w:rsid w:val="00767A2E"/>
    <w:rsid w:val="007C4E0C"/>
    <w:rsid w:val="00854BC5"/>
    <w:rsid w:val="00876366"/>
    <w:rsid w:val="008B5E54"/>
    <w:rsid w:val="008F70EA"/>
    <w:rsid w:val="009046BD"/>
    <w:rsid w:val="0092081D"/>
    <w:rsid w:val="00A810EE"/>
    <w:rsid w:val="00B009E4"/>
    <w:rsid w:val="00B72C81"/>
    <w:rsid w:val="00BC3A2D"/>
    <w:rsid w:val="00C335ED"/>
    <w:rsid w:val="00CF5A74"/>
    <w:rsid w:val="00D8471E"/>
    <w:rsid w:val="00DD1E49"/>
    <w:rsid w:val="00E16F03"/>
    <w:rsid w:val="00E622D1"/>
    <w:rsid w:val="00EE3D5E"/>
    <w:rsid w:val="00F7226E"/>
    <w:rsid w:val="00FC33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E5D92"/>
  <w15:docId w15:val="{55CBF3C4-6FD1-459E-91DC-22737648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7"/>
    <w:tblPr>
      <w:tblStyleRowBandSize w:val="1"/>
      <w:tblStyleColBandSize w:val="1"/>
      <w:tblCellMar>
        <w:top w:w="100" w:type="dxa"/>
        <w:left w:w="100" w:type="dxa"/>
        <w:bottom w:w="100" w:type="dxa"/>
        <w:right w:w="100" w:type="dxa"/>
      </w:tblCellMar>
    </w:tblPr>
  </w:style>
  <w:style w:type="table" w:customStyle="1" w:styleId="a0">
    <w:basedOn w:val="TableNormal7"/>
    <w:tblPr>
      <w:tblStyleRowBandSize w:val="1"/>
      <w:tblStyleColBandSize w:val="1"/>
      <w:tblCellMar>
        <w:left w:w="108" w:type="dxa"/>
        <w:right w:w="108" w:type="dxa"/>
      </w:tblCellMar>
    </w:tblPr>
  </w:style>
  <w:style w:type="table" w:customStyle="1" w:styleId="a1">
    <w:basedOn w:val="TableNormal7"/>
    <w:tblPr>
      <w:tblStyleRowBandSize w:val="1"/>
      <w:tblStyleColBandSize w:val="1"/>
      <w:tblCellMar>
        <w:left w:w="108" w:type="dxa"/>
        <w:right w:w="108" w:type="dxa"/>
      </w:tblCellMar>
    </w:tblPr>
  </w:style>
  <w:style w:type="table" w:customStyle="1" w:styleId="a2">
    <w:basedOn w:val="TableNormal7"/>
    <w:tblPr>
      <w:tblStyleRowBandSize w:val="1"/>
      <w:tblStyleColBandSize w:val="1"/>
      <w:tblCellMar>
        <w:left w:w="108" w:type="dxa"/>
        <w:right w:w="108" w:type="dxa"/>
      </w:tblCellMar>
    </w:tblPr>
  </w:style>
  <w:style w:type="table" w:customStyle="1" w:styleId="a3">
    <w:basedOn w:val="TableNormal7"/>
    <w:tblPr>
      <w:tblStyleRowBandSize w:val="1"/>
      <w:tblStyleColBandSize w:val="1"/>
      <w:tblCellMar>
        <w:left w:w="108" w:type="dxa"/>
        <w:right w:w="108" w:type="dxa"/>
      </w:tblCellMar>
    </w:tblPr>
  </w:style>
  <w:style w:type="table" w:customStyle="1" w:styleId="a4">
    <w:basedOn w:val="TableNormal7"/>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8708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08A4"/>
    <w:pPr>
      <w:tabs>
        <w:tab w:val="center" w:pos="4252"/>
        <w:tab w:val="right" w:pos="8504"/>
      </w:tabs>
      <w:spacing w:line="240" w:lineRule="auto"/>
    </w:pPr>
  </w:style>
  <w:style w:type="character" w:customStyle="1" w:styleId="HeaderChar">
    <w:name w:val="Header Char"/>
    <w:basedOn w:val="DefaultParagraphFont"/>
    <w:link w:val="Header"/>
    <w:uiPriority w:val="99"/>
    <w:rsid w:val="008708A4"/>
  </w:style>
  <w:style w:type="paragraph" w:styleId="Footer">
    <w:name w:val="footer"/>
    <w:basedOn w:val="Normal"/>
    <w:link w:val="FooterChar"/>
    <w:uiPriority w:val="99"/>
    <w:unhideWhenUsed/>
    <w:rsid w:val="008708A4"/>
    <w:pPr>
      <w:tabs>
        <w:tab w:val="center" w:pos="4252"/>
        <w:tab w:val="right" w:pos="8504"/>
      </w:tabs>
      <w:spacing w:line="240" w:lineRule="auto"/>
    </w:pPr>
  </w:style>
  <w:style w:type="character" w:customStyle="1" w:styleId="FooterChar">
    <w:name w:val="Footer Char"/>
    <w:basedOn w:val="DefaultParagraphFont"/>
    <w:link w:val="Footer"/>
    <w:uiPriority w:val="99"/>
    <w:rsid w:val="008708A4"/>
  </w:style>
  <w:style w:type="paragraph" w:customStyle="1" w:styleId="Corpo">
    <w:name w:val="Corpo"/>
    <w:rsid w:val="008708A4"/>
    <w:pPr>
      <w:pBdr>
        <w:top w:val="nil"/>
        <w:left w:val="nil"/>
        <w:bottom w:val="nil"/>
        <w:right w:val="nil"/>
        <w:between w:val="nil"/>
        <w:bar w:val="nil"/>
      </w:pBdr>
      <w:spacing w:line="240" w:lineRule="auto"/>
    </w:pPr>
    <w:rPr>
      <w:rFonts w:ascii="Helvetica" w:eastAsia="Arial Unicode MS" w:hAnsi="Helvetica" w:cs="Arial Unicode MS"/>
      <w:color w:val="000000"/>
      <w:bdr w:val="nil"/>
    </w:rPr>
  </w:style>
  <w:style w:type="character" w:styleId="Emphasis">
    <w:name w:val="Emphasis"/>
    <w:basedOn w:val="DefaultParagraphFont"/>
    <w:uiPriority w:val="20"/>
    <w:qFormat/>
    <w:rsid w:val="009210C0"/>
    <w:rPr>
      <w:i/>
      <w:iCs/>
    </w:rPr>
  </w:style>
  <w:style w:type="paragraph" w:styleId="ListParagraph">
    <w:name w:val="List Paragraph"/>
    <w:basedOn w:val="Normal"/>
    <w:uiPriority w:val="34"/>
    <w:qFormat/>
    <w:rsid w:val="006A4EDB"/>
    <w:pPr>
      <w:ind w:left="720"/>
      <w:contextualSpacing/>
    </w:pPr>
  </w:style>
  <w:style w:type="table" w:customStyle="1" w:styleId="a5">
    <w:basedOn w:val="TableNormal5"/>
    <w:tblPr>
      <w:tblStyleRowBandSize w:val="1"/>
      <w:tblStyleColBandSize w:val="1"/>
      <w:tblCellMar>
        <w:left w:w="108" w:type="dxa"/>
        <w:right w:w="108" w:type="dxa"/>
      </w:tblCellMar>
    </w:tblPr>
  </w:style>
  <w:style w:type="table" w:customStyle="1" w:styleId="a6">
    <w:basedOn w:val="TableNormal5"/>
    <w:tblPr>
      <w:tblStyleRowBandSize w:val="1"/>
      <w:tblStyleColBandSize w:val="1"/>
      <w:tblCellMar>
        <w:left w:w="108" w:type="dxa"/>
        <w:right w:w="108" w:type="dxa"/>
      </w:tblCellMar>
    </w:tblPr>
  </w:style>
  <w:style w:type="character" w:customStyle="1" w:styleId="apple-tab-span">
    <w:name w:val="apple-tab-span"/>
    <w:basedOn w:val="DefaultParagraphFont"/>
    <w:rsid w:val="00A726EA"/>
  </w:style>
  <w:style w:type="character" w:styleId="Hyperlink">
    <w:name w:val="Hyperlink"/>
    <w:uiPriority w:val="99"/>
    <w:unhideWhenUsed/>
    <w:rsid w:val="00C5226B"/>
    <w:rPr>
      <w:color w:val="0000FF"/>
      <w:u w:val="single"/>
    </w:r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top w:w="15" w:type="dxa"/>
        <w:left w:w="15" w:type="dxa"/>
        <w:bottom w:w="15" w:type="dxa"/>
        <w:right w:w="15" w:type="dxa"/>
      </w:tblCellMar>
    </w:tblPr>
  </w:style>
  <w:style w:type="table" w:customStyle="1" w:styleId="a9">
    <w:basedOn w:val="TableNormal3"/>
    <w:tblPr>
      <w:tblStyleRowBandSize w:val="1"/>
      <w:tblStyleColBandSize w:val="1"/>
      <w:tblCellMar>
        <w:top w:w="15" w:type="dxa"/>
        <w:left w:w="15" w:type="dxa"/>
        <w:bottom w:w="15" w:type="dxa"/>
        <w:right w:w="15" w:type="dxa"/>
      </w:tblCellMar>
    </w:tblPr>
  </w:style>
  <w:style w:type="table" w:customStyle="1" w:styleId="aa">
    <w:basedOn w:val="TableNormal3"/>
    <w:tblPr>
      <w:tblStyleRowBandSize w:val="1"/>
      <w:tblStyleColBandSize w:val="1"/>
      <w:tblCellMar>
        <w:top w:w="15" w:type="dxa"/>
        <w:left w:w="15" w:type="dxa"/>
        <w:bottom w:w="15" w:type="dxa"/>
        <w:right w:w="15" w:type="dxa"/>
      </w:tblCellMar>
    </w:tblPr>
  </w:style>
  <w:style w:type="table" w:customStyle="1" w:styleId="ab">
    <w:basedOn w:val="TableNormal3"/>
    <w:tblPr>
      <w:tblStyleRowBandSize w:val="1"/>
      <w:tblStyleColBandSize w:val="1"/>
      <w:tblCellMar>
        <w:top w:w="15" w:type="dxa"/>
        <w:left w:w="15" w:type="dxa"/>
        <w:bottom w:w="15" w:type="dxa"/>
        <w:right w:w="15" w:type="dxa"/>
      </w:tblCellMar>
    </w:tblPr>
  </w:style>
  <w:style w:type="table" w:customStyle="1" w:styleId="ac">
    <w:basedOn w:val="TableNormal3"/>
    <w:tblPr>
      <w:tblStyleRowBandSize w:val="1"/>
      <w:tblStyleColBandSize w:val="1"/>
      <w:tblCellMar>
        <w:top w:w="15" w:type="dxa"/>
        <w:left w:w="15" w:type="dxa"/>
        <w:bottom w:w="15" w:type="dxa"/>
        <w:right w:w="15" w:type="dxa"/>
      </w:tblCellMar>
    </w:tblPr>
  </w:style>
  <w:style w:type="paragraph" w:customStyle="1" w:styleId="TtulodoArtigo">
    <w:name w:val="Título do Artigo"/>
    <w:basedOn w:val="Normal"/>
    <w:qFormat/>
    <w:rsid w:val="007C4E0C"/>
    <w:pPr>
      <w:spacing w:line="240" w:lineRule="auto"/>
      <w:jc w:val="center"/>
    </w:pPr>
    <w:rPr>
      <w:rFonts w:ascii="Times New Roman" w:eastAsia="Times New Roman" w:hAnsi="Times New Roman" w:cs="Times New Roman"/>
      <w:b/>
      <w:sz w:val="28"/>
      <w:szCs w:val="28"/>
    </w:rPr>
  </w:style>
  <w:style w:type="paragraph" w:customStyle="1" w:styleId="TtuloIngls">
    <w:name w:val="Título Inglês"/>
    <w:basedOn w:val="Normal"/>
    <w:qFormat/>
    <w:rsid w:val="007C4E0C"/>
    <w:pPr>
      <w:spacing w:line="240" w:lineRule="auto"/>
      <w:jc w:val="center"/>
    </w:pPr>
    <w:rPr>
      <w:rFonts w:ascii="Times New Roman" w:eastAsia="Times New Roman" w:hAnsi="Times New Roman" w:cs="Times New Roman"/>
      <w:i/>
      <w:sz w:val="28"/>
      <w:szCs w:val="28"/>
    </w:rPr>
  </w:style>
  <w:style w:type="paragraph" w:customStyle="1" w:styleId="Subttulo1">
    <w:name w:val="Subtítulo 1"/>
    <w:basedOn w:val="Normal"/>
    <w:qFormat/>
    <w:rsid w:val="007C4E0C"/>
    <w:pPr>
      <w:numPr>
        <w:numId w:val="3"/>
      </w:numPr>
      <w:pBdr>
        <w:top w:val="nil"/>
        <w:left w:val="nil"/>
        <w:bottom w:val="nil"/>
        <w:right w:val="nil"/>
        <w:between w:val="nil"/>
      </w:pBdr>
      <w:spacing w:line="360" w:lineRule="auto"/>
      <w:ind w:left="426" w:hanging="426"/>
      <w:jc w:val="both"/>
    </w:pPr>
    <w:rPr>
      <w:rFonts w:ascii="Times New Roman" w:eastAsia="Times New Roman" w:hAnsi="Times New Roman" w:cs="Times New Roman"/>
      <w:b/>
      <w:sz w:val="28"/>
      <w:szCs w:val="28"/>
    </w:rPr>
  </w:style>
  <w:style w:type="paragraph" w:customStyle="1" w:styleId="Subttulo2">
    <w:name w:val="Subtítulo 2"/>
    <w:basedOn w:val="Normal"/>
    <w:qFormat/>
    <w:rsid w:val="007C4E0C"/>
    <w:pPr>
      <w:numPr>
        <w:ilvl w:val="1"/>
        <w:numId w:val="3"/>
      </w:numPr>
      <w:pBdr>
        <w:top w:val="nil"/>
        <w:left w:val="nil"/>
        <w:bottom w:val="nil"/>
        <w:right w:val="nil"/>
        <w:between w:val="nil"/>
      </w:pBdr>
      <w:spacing w:line="360" w:lineRule="auto"/>
      <w:ind w:left="425" w:hanging="141"/>
      <w:jc w:val="both"/>
    </w:pPr>
    <w:rPr>
      <w:rFonts w:ascii="Times New Roman" w:eastAsia="Times New Roman" w:hAnsi="Times New Roman" w:cs="Times New Roman"/>
      <w:sz w:val="24"/>
      <w:szCs w:val="24"/>
    </w:rPr>
  </w:style>
  <w:style w:type="paragraph" w:customStyle="1" w:styleId="Subttulo3">
    <w:name w:val="Subtítulo 3"/>
    <w:basedOn w:val="Normal"/>
    <w:qFormat/>
    <w:rsid w:val="007C4E0C"/>
    <w:pPr>
      <w:numPr>
        <w:ilvl w:val="2"/>
        <w:numId w:val="3"/>
      </w:numPr>
      <w:pBdr>
        <w:top w:val="nil"/>
        <w:left w:val="nil"/>
        <w:bottom w:val="nil"/>
        <w:right w:val="nil"/>
        <w:between w:val="nil"/>
      </w:pBdr>
      <w:spacing w:line="360" w:lineRule="auto"/>
      <w:ind w:left="426" w:firstLine="0"/>
      <w:jc w:val="both"/>
    </w:pPr>
    <w:rPr>
      <w:rFonts w:ascii="Times New Roman" w:eastAsia="Times New Roman" w:hAnsi="Times New Roman" w:cs="Times New Roman"/>
      <w:b/>
      <w:bCs/>
      <w:sz w:val="24"/>
      <w:szCs w:val="24"/>
    </w:rPr>
  </w:style>
  <w:style w:type="paragraph" w:customStyle="1" w:styleId="TextodeLegenda">
    <w:name w:val="Texto de Legenda"/>
    <w:basedOn w:val="Normal"/>
    <w:qFormat/>
    <w:rsid w:val="007C4E0C"/>
    <w:pPr>
      <w:spacing w:line="360" w:lineRule="auto"/>
      <w:jc w:val="center"/>
    </w:pPr>
    <w:rPr>
      <w:rFonts w:ascii="Times New Roman" w:eastAsia="Times New Roman" w:hAnsi="Times New Roman" w:cs="Times New Roman"/>
      <w:sz w:val="20"/>
      <w:szCs w:val="20"/>
    </w:rPr>
  </w:style>
  <w:style w:type="paragraph" w:customStyle="1" w:styleId="TextodeTabela">
    <w:name w:val="Texto de Tabela"/>
    <w:basedOn w:val="Normal"/>
    <w:qFormat/>
    <w:rsid w:val="007C4E0C"/>
    <w:pPr>
      <w:spacing w:line="240" w:lineRule="auto"/>
      <w:ind w:left="317"/>
      <w:jc w:val="both"/>
    </w:pPr>
    <w:rPr>
      <w:rFonts w:ascii="Times New Roman" w:eastAsia="Times New Roman" w:hAnsi="Times New Roman" w:cs="Times New Roman"/>
      <w:sz w:val="20"/>
      <w:szCs w:val="20"/>
    </w:rPr>
  </w:style>
  <w:style w:type="table" w:styleId="GridTable1Light">
    <w:name w:val="Grid Table 1 Light"/>
    <w:basedOn w:val="TableNormal7"/>
    <w:uiPriority w:val="46"/>
    <w:rsid w:val="00467902"/>
    <w:pPr>
      <w:spacing w:line="240" w:lineRule="auto"/>
    </w:pPr>
    <w:rPr>
      <w:rFonts w:asciiTheme="minorHAnsi" w:eastAsiaTheme="minorHAnsi" w:hAnsiTheme="minorHAnsi" w:cstheme="minorBidi"/>
      <w:kern w:val="2"/>
      <w:lang w:eastAsia="en-US"/>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108"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E622D1"/>
    <w:rPr>
      <w:color w:val="605E5C"/>
      <w:shd w:val="clear" w:color="auto" w:fill="E1DFDD"/>
    </w:rPr>
  </w:style>
  <w:style w:type="table" w:styleId="PlainTable2">
    <w:name w:val="Plain Table 2"/>
    <w:basedOn w:val="TableNormal7"/>
    <w:uiPriority w:val="42"/>
    <w:rsid w:val="00C335ED"/>
    <w:pPr>
      <w:spacing w:line="240" w:lineRule="auto"/>
    </w:pPr>
    <w:rPr>
      <w:rFonts w:asciiTheme="minorHAnsi" w:eastAsiaTheme="minorHAnsi" w:hAnsiTheme="minorHAnsi" w:cstheme="minorBidi"/>
      <w:kern w:val="2"/>
      <w:lang w:eastAsia="en-US"/>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left w:w="108"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htM3Pl6tH8ume8n61uR96lHE9w==">CgMxLjA4AHIhMWJNOUR0VWhSdGhrV01xNndrdnVkTXo4NmJWMHFkSHdL</go:docsCustomData>
</go:gDocsCustomXmlDataStorage>
</file>

<file path=customXml/itemProps1.xml><?xml version="1.0" encoding="utf-8"?>
<ds:datastoreItem xmlns:ds="http://schemas.openxmlformats.org/officeDocument/2006/customXml" ds:itemID="{25C5C1AC-3AD9-4E7F-A010-88E8547057F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39</Pages>
  <Words>14970</Words>
  <Characters>80841</Characters>
  <Application>Microsoft Office Word</Application>
  <DocSecurity>0</DocSecurity>
  <Lines>673</Lines>
  <Paragraphs>191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de Mendonca Rosa Marques</dc:creator>
  <cp:lastModifiedBy>Juliana Maria Amabile Duarte</cp:lastModifiedBy>
  <cp:revision>3</cp:revision>
  <cp:lastPrinted>2026-08-16T15:37:00Z</cp:lastPrinted>
  <dcterms:created xsi:type="dcterms:W3CDTF">2026-09-13T23:33:00Z</dcterms:created>
  <dcterms:modified xsi:type="dcterms:W3CDTF">2026-09-13T23:45:00Z</dcterms:modified>
</cp:coreProperties>
</file>