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405B9" w:rsidRDefault="00000000">
      <w:pPr>
        <w:widowControl w:val="0"/>
        <w:pBdr>
          <w:top w:val="nil"/>
          <w:left w:val="nil"/>
          <w:bottom w:val="nil"/>
          <w:right w:val="nil"/>
          <w:between w:val="nil"/>
        </w:pBdr>
        <w:spacing w:line="240" w:lineRule="auto"/>
        <w:jc w:val="center"/>
        <w:rPr>
          <w:color w:val="000000"/>
          <w:sz w:val="24"/>
          <w:szCs w:val="24"/>
        </w:rPr>
      </w:pPr>
      <w:bookmarkStart w:id="0" w:name="bookmark=id.gjdgxs" w:colFirst="0" w:colLast="0"/>
      <w:bookmarkEnd w:id="0"/>
      <w:r>
        <w:rPr>
          <w:b/>
          <w:color w:val="000000"/>
          <w:sz w:val="28"/>
          <w:szCs w:val="28"/>
        </w:rPr>
        <w:t>Declividade como ferramenta para análise de potencial para mecanização agrícola na bacia hidrográfica do rio Marombas</w:t>
      </w:r>
    </w:p>
    <w:p w14:paraId="00000002" w14:textId="77777777" w:rsidR="007405B9" w:rsidRDefault="007405B9">
      <w:pPr>
        <w:tabs>
          <w:tab w:val="left" w:pos="5025"/>
        </w:tabs>
        <w:spacing w:line="240" w:lineRule="auto"/>
        <w:jc w:val="center"/>
        <w:rPr>
          <w:b/>
          <w:sz w:val="24"/>
          <w:szCs w:val="24"/>
        </w:rPr>
      </w:pPr>
    </w:p>
    <w:p w14:paraId="00000003" w14:textId="77777777" w:rsidR="007405B9" w:rsidRDefault="00000000">
      <w:pPr>
        <w:widowControl w:val="0"/>
        <w:pBdr>
          <w:top w:val="nil"/>
          <w:left w:val="nil"/>
          <w:bottom w:val="nil"/>
          <w:right w:val="nil"/>
          <w:between w:val="nil"/>
        </w:pBdr>
        <w:tabs>
          <w:tab w:val="left" w:pos="5025"/>
        </w:tabs>
        <w:spacing w:line="240" w:lineRule="auto"/>
        <w:jc w:val="center"/>
        <w:rPr>
          <w:b/>
          <w:color w:val="000000"/>
          <w:sz w:val="24"/>
          <w:szCs w:val="24"/>
        </w:rPr>
      </w:pPr>
      <w:bookmarkStart w:id="1" w:name="bookmark=id.30j0zll" w:colFirst="0" w:colLast="0"/>
      <w:bookmarkEnd w:id="1"/>
      <w:r>
        <w:rPr>
          <w:b/>
          <w:color w:val="000000"/>
          <w:sz w:val="24"/>
          <w:szCs w:val="24"/>
        </w:rPr>
        <w:t>Mateus de Souza Junior</w:t>
      </w:r>
    </w:p>
    <w:p w14:paraId="00000004" w14:textId="77777777" w:rsidR="007405B9" w:rsidRDefault="00000000">
      <w:pPr>
        <w:tabs>
          <w:tab w:val="left" w:pos="5025"/>
        </w:tabs>
        <w:spacing w:line="240" w:lineRule="auto"/>
        <w:jc w:val="center"/>
        <w:rPr>
          <w:b/>
          <w:sz w:val="24"/>
          <w:szCs w:val="24"/>
        </w:rPr>
      </w:pPr>
      <w:bookmarkStart w:id="2" w:name="bookmark=id.1fob9te" w:colFirst="0" w:colLast="0"/>
      <w:bookmarkEnd w:id="2"/>
      <w:r>
        <w:rPr>
          <w:b/>
          <w:color w:val="000000"/>
          <w:sz w:val="24"/>
          <w:szCs w:val="24"/>
        </w:rPr>
        <w:t>Universidade Federal de Santa Catarina</w:t>
      </w:r>
    </w:p>
    <w:p w14:paraId="00000005" w14:textId="77777777" w:rsidR="007405B9" w:rsidRDefault="00000000">
      <w:pPr>
        <w:widowControl w:val="0"/>
        <w:pBdr>
          <w:top w:val="nil"/>
          <w:left w:val="nil"/>
          <w:bottom w:val="nil"/>
          <w:right w:val="nil"/>
          <w:between w:val="nil"/>
        </w:pBdr>
        <w:tabs>
          <w:tab w:val="left" w:pos="5025"/>
        </w:tabs>
        <w:spacing w:line="240" w:lineRule="auto"/>
        <w:jc w:val="center"/>
        <w:rPr>
          <w:color w:val="000000"/>
          <w:sz w:val="24"/>
          <w:szCs w:val="24"/>
        </w:rPr>
      </w:pPr>
      <w:bookmarkStart w:id="3" w:name="bookmark=id.3znysh7" w:colFirst="0" w:colLast="0"/>
      <w:bookmarkEnd w:id="3"/>
      <w:r>
        <w:rPr>
          <w:color w:val="000000"/>
        </w:rPr>
        <w:t>Campus Curitibanos</w:t>
      </w:r>
    </w:p>
    <w:p w14:paraId="00000006" w14:textId="77777777" w:rsidR="007405B9" w:rsidRDefault="00000000">
      <w:pPr>
        <w:widowControl w:val="0"/>
        <w:pBdr>
          <w:top w:val="nil"/>
          <w:left w:val="nil"/>
          <w:bottom w:val="nil"/>
          <w:right w:val="nil"/>
          <w:between w:val="nil"/>
        </w:pBdr>
        <w:spacing w:line="240" w:lineRule="auto"/>
        <w:jc w:val="center"/>
        <w:rPr>
          <w:color w:val="000000"/>
          <w:sz w:val="24"/>
          <w:szCs w:val="24"/>
        </w:rPr>
      </w:pPr>
      <w:r>
        <w:rPr>
          <w:color w:val="000000"/>
        </w:rPr>
        <w:t>Centro de Ciências Rurais</w:t>
      </w:r>
    </w:p>
    <w:p w14:paraId="00000007" w14:textId="77777777" w:rsidR="007405B9" w:rsidRDefault="00000000">
      <w:pPr>
        <w:widowControl w:val="0"/>
        <w:pBdr>
          <w:top w:val="nil"/>
          <w:left w:val="nil"/>
          <w:bottom w:val="nil"/>
          <w:right w:val="nil"/>
          <w:between w:val="nil"/>
        </w:pBdr>
        <w:spacing w:line="240" w:lineRule="auto"/>
        <w:jc w:val="center"/>
      </w:pPr>
      <w:r>
        <w:t>juniormateuski@gmail.com</w:t>
      </w:r>
    </w:p>
    <w:p w14:paraId="00000008" w14:textId="77777777" w:rsidR="007405B9" w:rsidRDefault="007405B9">
      <w:pPr>
        <w:widowControl w:val="0"/>
        <w:pBdr>
          <w:top w:val="nil"/>
          <w:left w:val="nil"/>
          <w:bottom w:val="nil"/>
          <w:right w:val="nil"/>
          <w:between w:val="nil"/>
        </w:pBdr>
        <w:spacing w:line="240" w:lineRule="auto"/>
        <w:jc w:val="center"/>
      </w:pPr>
    </w:p>
    <w:p w14:paraId="00000009" w14:textId="2FC93670" w:rsidR="007405B9" w:rsidRDefault="00000000">
      <w:pPr>
        <w:widowControl w:val="0"/>
        <w:pBdr>
          <w:top w:val="nil"/>
          <w:left w:val="nil"/>
          <w:bottom w:val="nil"/>
          <w:right w:val="nil"/>
          <w:between w:val="nil"/>
        </w:pBdr>
        <w:spacing w:line="240" w:lineRule="auto"/>
        <w:jc w:val="center"/>
        <w:rPr>
          <w:b/>
        </w:rPr>
      </w:pPr>
      <w:sdt>
        <w:sdtPr>
          <w:rPr>
            <w:b/>
            <w:bCs/>
          </w:rPr>
          <w:tag w:val="goog_rdk_0"/>
          <w:id w:val="1557436363"/>
        </w:sdtPr>
        <w:sdtEndPr>
          <w:rPr>
            <w:b w:val="0"/>
            <w:bCs w:val="0"/>
          </w:rPr>
        </w:sdtEndPr>
        <w:sdtContent>
          <w:r w:rsidR="00A92C19" w:rsidRPr="00A92C19">
            <w:rPr>
              <w:b/>
              <w:bCs/>
            </w:rPr>
            <w:t>Eduardo Marques Martins</w:t>
          </w:r>
        </w:sdtContent>
      </w:sdt>
    </w:p>
    <w:p w14:paraId="5137E475" w14:textId="77777777" w:rsidR="00A92C19" w:rsidRDefault="00A92C19" w:rsidP="00A92C19">
      <w:pPr>
        <w:tabs>
          <w:tab w:val="left" w:pos="5025"/>
        </w:tabs>
        <w:spacing w:line="240" w:lineRule="auto"/>
        <w:jc w:val="center"/>
        <w:rPr>
          <w:b/>
          <w:sz w:val="24"/>
          <w:szCs w:val="24"/>
        </w:rPr>
      </w:pPr>
      <w:r>
        <w:rPr>
          <w:b/>
          <w:color w:val="000000"/>
          <w:sz w:val="24"/>
          <w:szCs w:val="24"/>
        </w:rPr>
        <w:t>Universidade Federal de Santa Catarina</w:t>
      </w:r>
    </w:p>
    <w:p w14:paraId="68444999" w14:textId="77777777" w:rsidR="00A92C19" w:rsidRDefault="00A92C19" w:rsidP="00A92C19">
      <w:pPr>
        <w:widowControl w:val="0"/>
        <w:pBdr>
          <w:top w:val="nil"/>
          <w:left w:val="nil"/>
          <w:bottom w:val="nil"/>
          <w:right w:val="nil"/>
          <w:between w:val="nil"/>
        </w:pBdr>
        <w:tabs>
          <w:tab w:val="left" w:pos="5025"/>
        </w:tabs>
        <w:spacing w:line="240" w:lineRule="auto"/>
        <w:jc w:val="center"/>
        <w:rPr>
          <w:color w:val="000000"/>
          <w:sz w:val="24"/>
          <w:szCs w:val="24"/>
        </w:rPr>
      </w:pPr>
      <w:r>
        <w:rPr>
          <w:color w:val="000000"/>
        </w:rPr>
        <w:t>Campus Curitibanos</w:t>
      </w:r>
    </w:p>
    <w:p w14:paraId="72E40F6D" w14:textId="77777777" w:rsidR="00A92C19" w:rsidRDefault="00A92C19" w:rsidP="00A92C19">
      <w:pPr>
        <w:widowControl w:val="0"/>
        <w:pBdr>
          <w:top w:val="nil"/>
          <w:left w:val="nil"/>
          <w:bottom w:val="nil"/>
          <w:right w:val="nil"/>
          <w:between w:val="nil"/>
        </w:pBdr>
        <w:spacing w:line="240" w:lineRule="auto"/>
        <w:jc w:val="center"/>
      </w:pPr>
      <w:r>
        <w:rPr>
          <w:color w:val="000000"/>
        </w:rPr>
        <w:t>Centro de Ciências Rurais</w:t>
      </w:r>
    </w:p>
    <w:p w14:paraId="0000000C" w14:textId="7DBE7556" w:rsidR="007405B9" w:rsidRDefault="00A92C19" w:rsidP="00A92C19">
      <w:pPr>
        <w:widowControl w:val="0"/>
        <w:pBdr>
          <w:top w:val="nil"/>
          <w:left w:val="nil"/>
          <w:bottom w:val="nil"/>
          <w:right w:val="nil"/>
          <w:between w:val="nil"/>
        </w:pBdr>
        <w:spacing w:line="240" w:lineRule="auto"/>
        <w:jc w:val="center"/>
      </w:pPr>
      <w:r>
        <w:t>martins.eduardo@ufsc.br</w:t>
      </w:r>
    </w:p>
    <w:p w14:paraId="0000000D" w14:textId="77777777" w:rsidR="007405B9" w:rsidRDefault="007405B9">
      <w:pPr>
        <w:tabs>
          <w:tab w:val="left" w:pos="5025"/>
        </w:tabs>
        <w:spacing w:line="240" w:lineRule="auto"/>
        <w:jc w:val="both"/>
        <w:rPr>
          <w:sz w:val="24"/>
          <w:szCs w:val="24"/>
        </w:rPr>
      </w:pPr>
    </w:p>
    <w:p w14:paraId="0000000E" w14:textId="77777777" w:rsidR="007405B9" w:rsidRDefault="007405B9">
      <w:pPr>
        <w:tabs>
          <w:tab w:val="left" w:pos="5025"/>
        </w:tabs>
        <w:spacing w:line="240" w:lineRule="auto"/>
        <w:jc w:val="both"/>
        <w:rPr>
          <w:sz w:val="24"/>
          <w:szCs w:val="24"/>
        </w:rPr>
      </w:pPr>
    </w:p>
    <w:p w14:paraId="0000000F" w14:textId="77777777" w:rsidR="007405B9" w:rsidRDefault="00000000">
      <w:pPr>
        <w:tabs>
          <w:tab w:val="left" w:pos="5025"/>
        </w:tabs>
        <w:spacing w:line="240" w:lineRule="auto"/>
        <w:jc w:val="both"/>
      </w:pPr>
      <w:r>
        <w:rPr>
          <w:b/>
          <w:sz w:val="24"/>
          <w:szCs w:val="24"/>
        </w:rPr>
        <w:t>Resumo</w:t>
      </w:r>
      <w:r>
        <w:rPr>
          <w:sz w:val="24"/>
          <w:szCs w:val="24"/>
        </w:rPr>
        <w:t>: A introdução de máquinas nos sistemas agrícolas tem impulsionado a produtividade e os retornos financeiros. Mas, em terrenos com alta declividade, a mecanização agrícola é prejudicada. Este estudo teve como objetivo avaliar a aptidão para a mecanização agrícola da cultura da soja na bacia hidrográfica do rio Marombas, localizada na região serrana de Santa Catarina (com área de 3.940km²). Para isso: foi utilizado o Modelo Digital de Terreno de Santa Catarina, disponibilizado pelo SIGSC; o terreno da bacia foi classificado conforme o Sistema Brasileiro de Classificação de Solos; e foram empregados os seguintes critérios: áreas com declividade inferior a 12% foram consideradas aptas para mecanização, enquanto que as demais áreas foram classificadas como inaptas. Os resultados mostraram que: 42,6% da área da bacia do rio Marombas apresenta relevo predominantemente ondulado (8-20%); e 43,8% da área da bacia apresenta condições adequadas à mecanização agrícola na cultura da soja.</w:t>
      </w:r>
    </w:p>
    <w:p w14:paraId="00000010" w14:textId="77777777" w:rsidR="007405B9" w:rsidRDefault="007405B9">
      <w:pPr>
        <w:tabs>
          <w:tab w:val="left" w:pos="5025"/>
        </w:tabs>
        <w:spacing w:line="240" w:lineRule="auto"/>
        <w:jc w:val="both"/>
        <w:rPr>
          <w:sz w:val="24"/>
          <w:szCs w:val="24"/>
        </w:rPr>
      </w:pPr>
    </w:p>
    <w:p w14:paraId="00000011" w14:textId="77777777" w:rsidR="007405B9" w:rsidRDefault="00000000">
      <w:pPr>
        <w:spacing w:line="240" w:lineRule="auto"/>
        <w:jc w:val="both"/>
        <w:rPr>
          <w:sz w:val="24"/>
          <w:szCs w:val="24"/>
        </w:rPr>
      </w:pPr>
      <w:r>
        <w:rPr>
          <w:b/>
          <w:sz w:val="24"/>
          <w:szCs w:val="24"/>
        </w:rPr>
        <w:t>Área de intervenção</w:t>
      </w:r>
      <w:r>
        <w:rPr>
          <w:sz w:val="24"/>
          <w:szCs w:val="24"/>
        </w:rPr>
        <w:t>: Política agrícola, Planejamento rural e Meio ambiente.</w:t>
      </w:r>
    </w:p>
    <w:p w14:paraId="00000012" w14:textId="77777777" w:rsidR="007405B9" w:rsidRDefault="007405B9">
      <w:pPr>
        <w:tabs>
          <w:tab w:val="left" w:pos="1455"/>
        </w:tabs>
        <w:spacing w:line="360" w:lineRule="auto"/>
        <w:jc w:val="both"/>
        <w:rPr>
          <w:sz w:val="24"/>
          <w:szCs w:val="24"/>
        </w:rPr>
      </w:pPr>
    </w:p>
    <w:p w14:paraId="00000013" w14:textId="77777777" w:rsidR="007405B9" w:rsidRDefault="007405B9">
      <w:pPr>
        <w:tabs>
          <w:tab w:val="left" w:pos="1455"/>
        </w:tabs>
        <w:spacing w:line="360" w:lineRule="auto"/>
        <w:jc w:val="both"/>
        <w:rPr>
          <w:sz w:val="24"/>
          <w:szCs w:val="24"/>
        </w:rPr>
      </w:pPr>
    </w:p>
    <w:p w14:paraId="00000014" w14:textId="77777777" w:rsidR="007405B9" w:rsidRDefault="00000000">
      <w:pPr>
        <w:spacing w:line="360" w:lineRule="auto"/>
        <w:ind w:firstLine="709"/>
        <w:jc w:val="both"/>
        <w:rPr>
          <w:b/>
          <w:sz w:val="24"/>
          <w:szCs w:val="24"/>
        </w:rPr>
      </w:pPr>
      <w:r>
        <w:rPr>
          <w:b/>
          <w:sz w:val="24"/>
          <w:szCs w:val="24"/>
        </w:rPr>
        <w:t>1. INTRODUÇÃO</w:t>
      </w:r>
    </w:p>
    <w:p w14:paraId="00000015" w14:textId="77777777" w:rsidR="007405B9" w:rsidRDefault="00000000">
      <w:pPr>
        <w:widowControl w:val="0"/>
        <w:pBdr>
          <w:top w:val="nil"/>
          <w:left w:val="nil"/>
          <w:bottom w:val="nil"/>
          <w:right w:val="nil"/>
          <w:between w:val="nil"/>
        </w:pBdr>
        <w:spacing w:line="360" w:lineRule="auto"/>
        <w:ind w:firstLine="709"/>
        <w:jc w:val="both"/>
        <w:rPr>
          <w:color w:val="000000"/>
          <w:sz w:val="24"/>
          <w:szCs w:val="24"/>
        </w:rPr>
      </w:pPr>
      <w:bookmarkStart w:id="4" w:name="bookmark=id.2et92p0" w:colFirst="0" w:colLast="0"/>
      <w:bookmarkEnd w:id="4"/>
      <w:r>
        <w:rPr>
          <w:color w:val="000000"/>
          <w:sz w:val="24"/>
          <w:szCs w:val="24"/>
        </w:rPr>
        <w:t xml:space="preserve">A mecanização agrícola tem transformado profundamente a produção no Brasil, aumentando a eficiência do trabalho e reduzindo o tempo dedicado a atividades manuais. Segundo Ferreira Júnior </w:t>
      </w:r>
      <w:r>
        <w:rPr>
          <w:i/>
          <w:color w:val="000000"/>
          <w:sz w:val="24"/>
          <w:szCs w:val="24"/>
        </w:rPr>
        <w:t>et al</w:t>
      </w:r>
      <w:r>
        <w:rPr>
          <w:color w:val="000000"/>
          <w:sz w:val="24"/>
          <w:szCs w:val="24"/>
        </w:rPr>
        <w:t xml:space="preserve">. (2016), a introdução de máquinas nos sistemas agrícolas tem impulsionado a produtividade e os retornos financeiros dos agricultores. Oliveira </w:t>
      </w:r>
      <w:r>
        <w:rPr>
          <w:i/>
          <w:color w:val="000000"/>
          <w:sz w:val="24"/>
          <w:szCs w:val="24"/>
        </w:rPr>
        <w:t>et al</w:t>
      </w:r>
      <w:r>
        <w:rPr>
          <w:color w:val="000000"/>
          <w:sz w:val="24"/>
          <w:szCs w:val="24"/>
        </w:rPr>
        <w:t xml:space="preserve">. (2007) e Fernandes </w:t>
      </w:r>
      <w:r>
        <w:rPr>
          <w:i/>
          <w:color w:val="000000"/>
          <w:sz w:val="24"/>
          <w:szCs w:val="24"/>
        </w:rPr>
        <w:t>et al</w:t>
      </w:r>
      <w:r>
        <w:rPr>
          <w:color w:val="000000"/>
          <w:sz w:val="24"/>
          <w:szCs w:val="24"/>
        </w:rPr>
        <w:t xml:space="preserve">. (2013) corroboram, destacando </w:t>
      </w:r>
      <w:r>
        <w:rPr>
          <w:color w:val="000000"/>
          <w:sz w:val="24"/>
          <w:szCs w:val="24"/>
        </w:rPr>
        <w:lastRenderedPageBreak/>
        <w:t>que a mecanização torna a mão de obra rural mais eficiente.</w:t>
      </w:r>
    </w:p>
    <w:p w14:paraId="00000016"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A declividade do terreno, medida pelo ângulo de inclinação zenital e expressa também em percentagem (Florenzano, 2008), é uma característica geomorfológica crucial que influencia diretamente a mecanização agrícola. Este fator impacta as condições de tráfego e a estabilidade das máquinas, afetando a velocidade e eficiência operacional. Terrenos com alta declividade complicam o uso de máquinas, comprometendo a segurança dos operadores e a qualidade das operações agrícolas (Mueller </w:t>
      </w:r>
      <w:r>
        <w:rPr>
          <w:i/>
          <w:color w:val="000000"/>
          <w:sz w:val="24"/>
          <w:szCs w:val="24"/>
        </w:rPr>
        <w:t>et al.</w:t>
      </w:r>
      <w:r>
        <w:rPr>
          <w:color w:val="000000"/>
          <w:sz w:val="24"/>
          <w:szCs w:val="24"/>
        </w:rPr>
        <w:t>, 2010).</w:t>
      </w:r>
    </w:p>
    <w:p w14:paraId="00000017"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Na bacia hidrográfica do rio Marombas, na mesorregião serrana de Santa Catarina, a produção agrícola da cultura da soja tem destaque, com uma área plantada de aproximadamente 189 mil hectares (Ibge, 2022), mas enfrenta desafios específicos devido à inclinação do terreno. Portugal e Silveira (2021) indicam que a soja, com seu sistema radicular profundo e a necessidade de maquinário pesado, é particularmente suscetível a limitações em terrenos íngremes, principalmente na colheita, onde as irregularidades do terreno causam prejuízos pelas oscilações que provocam na plataforma da colhedora e impede a coleta adequada dos órgãos de importância econômica das plantas. Embrapa (2005), traz que o valor ideal de declividade para a mecanização da cultura da soja deve ser inferior a 12%, valores acima disso trazem prejuízos para a colheita mecanizada e até dificultar a manual, além de </w:t>
      </w:r>
      <w:r>
        <w:rPr>
          <w:sz w:val="24"/>
          <w:szCs w:val="24"/>
        </w:rPr>
        <w:t>propiciar a</w:t>
      </w:r>
      <w:r>
        <w:rPr>
          <w:color w:val="000000"/>
          <w:sz w:val="24"/>
          <w:szCs w:val="24"/>
        </w:rPr>
        <w:t xml:space="preserve"> </w:t>
      </w:r>
      <w:r>
        <w:rPr>
          <w:sz w:val="24"/>
          <w:szCs w:val="24"/>
        </w:rPr>
        <w:t>perda</w:t>
      </w:r>
      <w:r>
        <w:rPr>
          <w:color w:val="000000"/>
          <w:sz w:val="24"/>
          <w:szCs w:val="24"/>
        </w:rPr>
        <w:t xml:space="preserve"> de solo. </w:t>
      </w:r>
    </w:p>
    <w:p w14:paraId="00000018"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Além das questões mecânicas, a declividade impacta a fertilidade do solo, já que terrenos inclinados estão mais expostos à erosão, o que remove a camada nutritiva superficial, reduzindo a capacidade produtiva das terras agrícolas (Corrêa, 1995; Souza, 1998). Portanto, a declividade não apenas limita a mecanização, mas também demanda uma abordagem cuidadosa para garantir a sustentabilidade agrícola (Garcia </w:t>
      </w:r>
      <w:r>
        <w:rPr>
          <w:i/>
          <w:color w:val="000000"/>
          <w:sz w:val="24"/>
          <w:szCs w:val="24"/>
        </w:rPr>
        <w:t>et al.</w:t>
      </w:r>
      <w:r>
        <w:rPr>
          <w:color w:val="000000"/>
          <w:sz w:val="24"/>
          <w:szCs w:val="24"/>
        </w:rPr>
        <w:t>, 2020).</w:t>
      </w:r>
    </w:p>
    <w:p w14:paraId="00000019"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Este estudo visa analisar a declividade na bacia do rio Marombas e classificar áreas adequadas e inadequadas para a mecanização na produção de soja, </w:t>
      </w:r>
      <w:r>
        <w:rPr>
          <w:color w:val="000000"/>
          <w:sz w:val="24"/>
          <w:szCs w:val="24"/>
        </w:rPr>
        <w:lastRenderedPageBreak/>
        <w:t>fornecendo informações essenciais para orientar decisões de agricultores, investidores e políticas governamentais estratégicas para o setor agrícola.</w:t>
      </w:r>
    </w:p>
    <w:p w14:paraId="0000001A" w14:textId="77777777" w:rsidR="007405B9" w:rsidRDefault="007405B9">
      <w:pPr>
        <w:widowControl w:val="0"/>
        <w:pBdr>
          <w:top w:val="nil"/>
          <w:left w:val="nil"/>
          <w:bottom w:val="nil"/>
          <w:right w:val="nil"/>
          <w:between w:val="nil"/>
        </w:pBdr>
        <w:spacing w:line="360" w:lineRule="auto"/>
        <w:ind w:firstLine="720"/>
        <w:jc w:val="both"/>
        <w:rPr>
          <w:color w:val="000000"/>
          <w:sz w:val="24"/>
          <w:szCs w:val="24"/>
        </w:rPr>
      </w:pPr>
    </w:p>
    <w:p w14:paraId="0000001B" w14:textId="77777777" w:rsidR="007405B9" w:rsidRDefault="00000000">
      <w:pPr>
        <w:spacing w:line="360" w:lineRule="auto"/>
        <w:ind w:firstLine="709"/>
        <w:jc w:val="both"/>
        <w:rPr>
          <w:sz w:val="24"/>
          <w:szCs w:val="24"/>
        </w:rPr>
      </w:pPr>
      <w:r>
        <w:rPr>
          <w:b/>
          <w:sz w:val="24"/>
          <w:szCs w:val="24"/>
        </w:rPr>
        <w:t xml:space="preserve">2. </w:t>
      </w:r>
      <w:bookmarkStart w:id="5" w:name="bookmark=id.tyjcwt" w:colFirst="0" w:colLast="0"/>
      <w:bookmarkEnd w:id="5"/>
      <w:r>
        <w:rPr>
          <w:b/>
          <w:color w:val="000000"/>
          <w:sz w:val="24"/>
          <w:szCs w:val="24"/>
        </w:rPr>
        <w:t>MATERIAIS E MÉTODOS</w:t>
      </w:r>
    </w:p>
    <w:p w14:paraId="0000001C" w14:textId="77777777" w:rsidR="007405B9" w:rsidRDefault="00000000">
      <w:pPr>
        <w:spacing w:line="360" w:lineRule="auto"/>
        <w:ind w:firstLine="709"/>
        <w:jc w:val="both"/>
        <w:rPr>
          <w:sz w:val="24"/>
          <w:szCs w:val="24"/>
        </w:rPr>
      </w:pPr>
      <w:bookmarkStart w:id="6" w:name="bookmark=id.3dy6vkm" w:colFirst="0" w:colLast="0"/>
      <w:bookmarkEnd w:id="6"/>
      <w:r>
        <w:rPr>
          <w:b/>
          <w:color w:val="000000"/>
          <w:sz w:val="24"/>
          <w:szCs w:val="24"/>
        </w:rPr>
        <w:t>2.1 Caracterização da área de estudo</w:t>
      </w:r>
    </w:p>
    <w:p w14:paraId="0000001D"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bookmarkStart w:id="7" w:name="bookmark=id.1t3h5sf" w:colFirst="0" w:colLast="0"/>
      <w:bookmarkEnd w:id="7"/>
      <w:r>
        <w:rPr>
          <w:color w:val="000000"/>
          <w:sz w:val="24"/>
          <w:szCs w:val="24"/>
        </w:rPr>
        <w:t>O estudo foi conduzido na bacia hidrográfica do rio Marombas (Figura 1), localizada na região serrana do estado de Santa Catarina, abrangendo os municípios de Brunópolis, Campos Novos, Curitibanos, Fraiburgo, Frei Rogério, Lebon Régis, Monte Carlo, Ponte Alta do Norte, Santa Cecília e São Cristóvão do Sul, totalizando 3.940 km² (Engera, 2021).</w:t>
      </w:r>
    </w:p>
    <w:p w14:paraId="0000001E" w14:textId="77777777" w:rsidR="007405B9" w:rsidRDefault="00000000">
      <w:pPr>
        <w:widowControl w:val="0"/>
        <w:pBdr>
          <w:top w:val="nil"/>
          <w:left w:val="nil"/>
          <w:bottom w:val="nil"/>
          <w:right w:val="nil"/>
          <w:between w:val="nil"/>
        </w:pBdr>
        <w:spacing w:before="200" w:line="240" w:lineRule="auto"/>
        <w:jc w:val="center"/>
        <w:rPr>
          <w:color w:val="000000"/>
          <w:sz w:val="24"/>
          <w:szCs w:val="24"/>
        </w:rPr>
      </w:pPr>
      <w:sdt>
        <w:sdtPr>
          <w:tag w:val="goog_rdk_1"/>
          <w:id w:val="1787312859"/>
        </w:sdtPr>
        <w:sdtContent/>
      </w:sdt>
      <w:r>
        <w:rPr>
          <w:color w:val="000000"/>
          <w:sz w:val="24"/>
          <w:szCs w:val="24"/>
        </w:rPr>
        <w:t>Figura 1 - Localização da bacia hidrográfica do rio Marombas - SC.</w:t>
      </w:r>
    </w:p>
    <w:p w14:paraId="0000001F" w14:textId="77777777" w:rsidR="007405B9" w:rsidRDefault="00000000">
      <w:pPr>
        <w:widowControl w:val="0"/>
        <w:pBdr>
          <w:top w:val="nil"/>
          <w:left w:val="nil"/>
          <w:bottom w:val="nil"/>
          <w:right w:val="nil"/>
          <w:between w:val="nil"/>
        </w:pBdr>
        <w:spacing w:line="240" w:lineRule="auto"/>
        <w:jc w:val="center"/>
        <w:rPr>
          <w:sz w:val="24"/>
          <w:szCs w:val="24"/>
        </w:rPr>
      </w:pPr>
      <w:r>
        <w:rPr>
          <w:noProof/>
          <w:sz w:val="24"/>
          <w:szCs w:val="24"/>
        </w:rPr>
        <w:drawing>
          <wp:inline distT="114300" distB="114300" distL="114300" distR="114300" wp14:editId="2ABD7E9F">
            <wp:extent cx="5400000" cy="3851136"/>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7"/>
                    <a:srcRect l="2962" t="1842" r="720" b="1059"/>
                    <a:stretch/>
                  </pic:blipFill>
                  <pic:spPr bwMode="auto">
                    <a:xfrm>
                      <a:off x="0" y="0"/>
                      <a:ext cx="5400000" cy="3851136"/>
                    </a:xfrm>
                    <a:prstGeom prst="rect">
                      <a:avLst/>
                    </a:prstGeom>
                    <a:ln>
                      <a:noFill/>
                    </a:ln>
                    <a:extLst>
                      <a:ext uri="{53640926-AAD7-44D8-BBD7-CCE9431645EC}">
                        <a14:shadowObscured xmlns:a14="http://schemas.microsoft.com/office/drawing/2010/main"/>
                      </a:ext>
                    </a:extLst>
                  </pic:spPr>
                </pic:pic>
              </a:graphicData>
            </a:graphic>
          </wp:inline>
        </w:drawing>
      </w:r>
    </w:p>
    <w:p w14:paraId="00000021" w14:textId="77777777" w:rsidR="007405B9" w:rsidRDefault="00000000">
      <w:pPr>
        <w:widowControl w:val="0"/>
        <w:pBdr>
          <w:top w:val="nil"/>
          <w:left w:val="nil"/>
          <w:bottom w:val="nil"/>
          <w:right w:val="nil"/>
          <w:between w:val="nil"/>
        </w:pBdr>
        <w:spacing w:line="240" w:lineRule="auto"/>
        <w:jc w:val="center"/>
        <w:rPr>
          <w:color w:val="000000"/>
          <w:sz w:val="24"/>
          <w:szCs w:val="24"/>
        </w:rPr>
      </w:pPr>
      <w:r>
        <w:rPr>
          <w:color w:val="000000"/>
          <w:sz w:val="24"/>
          <w:szCs w:val="24"/>
        </w:rPr>
        <w:t>Fonte: autor (2024).</w:t>
      </w:r>
    </w:p>
    <w:p w14:paraId="00000022" w14:textId="77777777" w:rsidR="007405B9" w:rsidRDefault="007405B9">
      <w:pPr>
        <w:widowControl w:val="0"/>
        <w:pBdr>
          <w:top w:val="nil"/>
          <w:left w:val="nil"/>
          <w:bottom w:val="nil"/>
          <w:right w:val="nil"/>
          <w:between w:val="nil"/>
        </w:pBdr>
        <w:spacing w:line="360" w:lineRule="auto"/>
        <w:rPr>
          <w:color w:val="000000"/>
          <w:sz w:val="24"/>
          <w:szCs w:val="24"/>
        </w:rPr>
      </w:pPr>
    </w:p>
    <w:p w14:paraId="1E2E8E6C" w14:textId="77777777" w:rsidR="00A92C19" w:rsidRDefault="00A92C19">
      <w:pPr>
        <w:widowControl w:val="0"/>
        <w:pBdr>
          <w:top w:val="nil"/>
          <w:left w:val="nil"/>
          <w:bottom w:val="nil"/>
          <w:right w:val="nil"/>
          <w:between w:val="nil"/>
        </w:pBdr>
        <w:spacing w:line="360" w:lineRule="auto"/>
        <w:ind w:firstLine="709"/>
        <w:jc w:val="both"/>
        <w:rPr>
          <w:b/>
          <w:color w:val="000000"/>
          <w:sz w:val="24"/>
          <w:szCs w:val="24"/>
        </w:rPr>
      </w:pPr>
      <w:bookmarkStart w:id="8" w:name="bookmark=id.4d34og8" w:colFirst="0" w:colLast="0"/>
      <w:bookmarkEnd w:id="8"/>
      <w:r>
        <w:rPr>
          <w:b/>
          <w:color w:val="000000"/>
          <w:sz w:val="24"/>
          <w:szCs w:val="24"/>
        </w:rPr>
        <w:br w:type="page"/>
      </w:r>
    </w:p>
    <w:p w14:paraId="00000023" w14:textId="631455DB" w:rsidR="007405B9" w:rsidRDefault="00000000">
      <w:pPr>
        <w:widowControl w:val="0"/>
        <w:pBdr>
          <w:top w:val="nil"/>
          <w:left w:val="nil"/>
          <w:bottom w:val="nil"/>
          <w:right w:val="nil"/>
          <w:between w:val="nil"/>
        </w:pBdr>
        <w:spacing w:line="360" w:lineRule="auto"/>
        <w:ind w:firstLine="709"/>
        <w:jc w:val="both"/>
        <w:rPr>
          <w:color w:val="000000"/>
          <w:sz w:val="24"/>
          <w:szCs w:val="24"/>
        </w:rPr>
      </w:pPr>
      <w:r>
        <w:rPr>
          <w:b/>
          <w:color w:val="000000"/>
          <w:sz w:val="24"/>
          <w:szCs w:val="24"/>
        </w:rPr>
        <w:lastRenderedPageBreak/>
        <w:t>2.2 Processamento dos dados</w:t>
      </w:r>
    </w:p>
    <w:p w14:paraId="00000024"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bookmarkStart w:id="9" w:name="bookmark=id.2s8eyo1" w:colFirst="0" w:colLast="0"/>
      <w:bookmarkEnd w:id="9"/>
      <w:r>
        <w:rPr>
          <w:color w:val="000000"/>
          <w:sz w:val="24"/>
          <w:szCs w:val="24"/>
        </w:rPr>
        <w:t>A base cartográfica utilizada foi o Modelo Digital de Terreno (MDT) com escala de 1:</w:t>
      </w:r>
      <w:r>
        <w:rPr>
          <w:sz w:val="24"/>
          <w:szCs w:val="24"/>
        </w:rPr>
        <w:t>2.000</w:t>
      </w:r>
      <w:r>
        <w:rPr>
          <w:color w:val="000000"/>
          <w:sz w:val="24"/>
          <w:szCs w:val="24"/>
        </w:rPr>
        <w:t xml:space="preserve"> e resolução espacial de 1,0m (Santa Catarina, 2016), obtido através do Levantamento Aerofotogramétrico realizado entre 2010 e 2012, disponibilizado pelo Sistema de Informações Geográficas de Santa Catarina (SIGSC). Este levantamento inclui mais de 70 mil aerofotos, ortofotomosaicos coloridos e infravermelhos, e modelos digitais altimétricos que cobrem todo o estado.</w:t>
      </w:r>
    </w:p>
    <w:p w14:paraId="00000025"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Para gerar o mapa de declividade, foram seguidos os procedimentos descritos na Figura 2. Primeiramente, acessou-se o SIGSC para descarregar o MDT da área de estudo. Em seguida, utilizando o </w:t>
      </w:r>
      <w:r>
        <w:rPr>
          <w:i/>
          <w:color w:val="000000"/>
          <w:sz w:val="24"/>
          <w:szCs w:val="24"/>
        </w:rPr>
        <w:t>software</w:t>
      </w:r>
      <w:r>
        <w:rPr>
          <w:color w:val="000000"/>
          <w:sz w:val="24"/>
          <w:szCs w:val="24"/>
        </w:rPr>
        <w:t xml:space="preserve"> QGIS 3.36.3 e com suas ferramentas nativas, calculou-se a declividade em percentagem a partir do arquivo </w:t>
      </w:r>
      <w:r>
        <w:rPr>
          <w:i/>
          <w:color w:val="000000"/>
          <w:sz w:val="24"/>
          <w:szCs w:val="24"/>
        </w:rPr>
        <w:t>raster</w:t>
      </w:r>
      <w:r>
        <w:rPr>
          <w:color w:val="000000"/>
          <w:sz w:val="24"/>
          <w:szCs w:val="24"/>
        </w:rPr>
        <w:t xml:space="preserve"> do MDT. Os valores de declividade foram então reclassificados em seis classes, conforme descrito pelo Sistema Brasileiro de Classificação de Solos (Embrapa, 2013), como mostrado na Tabela 1.</w:t>
      </w:r>
    </w:p>
    <w:p w14:paraId="00000026" w14:textId="77777777" w:rsidR="007405B9" w:rsidRDefault="007405B9">
      <w:pPr>
        <w:widowControl w:val="0"/>
        <w:pBdr>
          <w:top w:val="nil"/>
          <w:left w:val="nil"/>
          <w:bottom w:val="nil"/>
          <w:right w:val="nil"/>
          <w:between w:val="nil"/>
        </w:pBdr>
        <w:spacing w:line="360" w:lineRule="auto"/>
        <w:ind w:firstLine="720"/>
        <w:jc w:val="both"/>
        <w:rPr>
          <w:color w:val="000000"/>
          <w:sz w:val="24"/>
          <w:szCs w:val="24"/>
        </w:rPr>
      </w:pPr>
    </w:p>
    <w:p w14:paraId="00000027" w14:textId="77777777" w:rsidR="007405B9" w:rsidRDefault="00000000">
      <w:pPr>
        <w:widowControl w:val="0"/>
        <w:pBdr>
          <w:top w:val="nil"/>
          <w:left w:val="nil"/>
          <w:bottom w:val="nil"/>
          <w:right w:val="nil"/>
          <w:between w:val="nil"/>
        </w:pBdr>
        <w:spacing w:line="240" w:lineRule="auto"/>
        <w:jc w:val="center"/>
        <w:rPr>
          <w:color w:val="000000"/>
          <w:sz w:val="24"/>
          <w:szCs w:val="24"/>
        </w:rPr>
      </w:pPr>
      <w:r>
        <w:rPr>
          <w:color w:val="000000"/>
          <w:sz w:val="24"/>
          <w:szCs w:val="24"/>
        </w:rPr>
        <w:t>Figura 2 – Fluxograma metodológico de obtenção dos mapas de declividade da área.</w:t>
      </w:r>
    </w:p>
    <w:p w14:paraId="00000028" w14:textId="77777777" w:rsidR="007405B9" w:rsidRDefault="00000000">
      <w:pPr>
        <w:widowControl w:val="0"/>
        <w:pBdr>
          <w:top w:val="nil"/>
          <w:left w:val="nil"/>
          <w:bottom w:val="nil"/>
          <w:right w:val="nil"/>
          <w:between w:val="nil"/>
        </w:pBdr>
        <w:spacing w:line="240" w:lineRule="auto"/>
        <w:jc w:val="center"/>
        <w:rPr>
          <w:color w:val="000000"/>
          <w:sz w:val="24"/>
          <w:szCs w:val="24"/>
        </w:rPr>
      </w:pPr>
      <w:r>
        <w:rPr>
          <w:noProof/>
          <w:sz w:val="24"/>
          <w:szCs w:val="24"/>
        </w:rPr>
        <w:drawing>
          <wp:inline distT="114300" distB="114300" distL="114300" distR="114300">
            <wp:extent cx="5762625" cy="1912351"/>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8426" b="27221"/>
                    <a:stretch>
                      <a:fillRect/>
                    </a:stretch>
                  </pic:blipFill>
                  <pic:spPr>
                    <a:xfrm>
                      <a:off x="0" y="0"/>
                      <a:ext cx="5762625" cy="1912351"/>
                    </a:xfrm>
                    <a:prstGeom prst="rect">
                      <a:avLst/>
                    </a:prstGeom>
                    <a:ln/>
                  </pic:spPr>
                </pic:pic>
              </a:graphicData>
            </a:graphic>
          </wp:inline>
        </w:drawing>
      </w:r>
    </w:p>
    <w:p w14:paraId="00000029" w14:textId="77777777" w:rsidR="007405B9" w:rsidRDefault="00000000">
      <w:pPr>
        <w:widowControl w:val="0"/>
        <w:pBdr>
          <w:top w:val="nil"/>
          <w:left w:val="nil"/>
          <w:bottom w:val="nil"/>
          <w:right w:val="nil"/>
          <w:between w:val="nil"/>
        </w:pBdr>
        <w:spacing w:line="240" w:lineRule="auto"/>
        <w:jc w:val="center"/>
        <w:rPr>
          <w:color w:val="000000"/>
          <w:sz w:val="24"/>
          <w:szCs w:val="24"/>
        </w:rPr>
      </w:pPr>
      <w:r>
        <w:rPr>
          <w:color w:val="000000"/>
          <w:sz w:val="24"/>
          <w:szCs w:val="24"/>
        </w:rPr>
        <w:t>Fonte: autor (2024).</w:t>
      </w:r>
    </w:p>
    <w:p w14:paraId="0000002A" w14:textId="77777777" w:rsidR="007405B9" w:rsidRDefault="007405B9">
      <w:pPr>
        <w:widowControl w:val="0"/>
        <w:pBdr>
          <w:top w:val="nil"/>
          <w:left w:val="nil"/>
          <w:bottom w:val="nil"/>
          <w:right w:val="nil"/>
          <w:between w:val="nil"/>
        </w:pBdr>
        <w:spacing w:line="360" w:lineRule="auto"/>
        <w:ind w:firstLine="720"/>
        <w:jc w:val="both"/>
        <w:rPr>
          <w:color w:val="000000"/>
          <w:sz w:val="24"/>
          <w:szCs w:val="24"/>
        </w:rPr>
      </w:pPr>
    </w:p>
    <w:p w14:paraId="0000002B"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Com base nas diretrizes da Embrapa (2005), a declividade foi classificada quanto à aptidão para mecanização do cultivo de soja. Áreas com declividade inferior a 12% são consideradas aptas para mecanização em todas as etapas do cultivo, </w:t>
      </w:r>
      <w:r>
        <w:rPr>
          <w:color w:val="000000"/>
          <w:sz w:val="24"/>
          <w:szCs w:val="24"/>
        </w:rPr>
        <w:lastRenderedPageBreak/>
        <w:t>enquanto áreas com declividade acima deste valor não são recomendadas.</w:t>
      </w:r>
    </w:p>
    <w:p w14:paraId="0000002C" w14:textId="77777777" w:rsidR="007405B9" w:rsidRDefault="007405B9">
      <w:pPr>
        <w:widowControl w:val="0"/>
        <w:pBdr>
          <w:top w:val="nil"/>
          <w:left w:val="nil"/>
          <w:bottom w:val="nil"/>
          <w:right w:val="nil"/>
          <w:between w:val="nil"/>
        </w:pBdr>
        <w:spacing w:line="360" w:lineRule="auto"/>
        <w:ind w:firstLine="720"/>
        <w:jc w:val="both"/>
        <w:rPr>
          <w:color w:val="000000"/>
          <w:sz w:val="24"/>
          <w:szCs w:val="24"/>
        </w:rPr>
      </w:pPr>
    </w:p>
    <w:p w14:paraId="0000002D" w14:textId="77777777" w:rsidR="007405B9" w:rsidRDefault="00000000">
      <w:pPr>
        <w:widowControl w:val="0"/>
        <w:pBdr>
          <w:top w:val="nil"/>
          <w:left w:val="nil"/>
          <w:bottom w:val="nil"/>
          <w:right w:val="nil"/>
          <w:between w:val="nil"/>
        </w:pBdr>
        <w:spacing w:line="360" w:lineRule="auto"/>
        <w:ind w:left="345" w:right="435"/>
        <w:jc w:val="center"/>
        <w:rPr>
          <w:color w:val="000000"/>
          <w:sz w:val="24"/>
          <w:szCs w:val="24"/>
        </w:rPr>
      </w:pPr>
      <w:r>
        <w:rPr>
          <w:color w:val="000000"/>
          <w:sz w:val="24"/>
          <w:szCs w:val="24"/>
        </w:rPr>
        <w:t>Tabela 1 - Intervalo de valores para classificação do relevo segundo o Sistema Brasileiro de Classificação de Solo.</w:t>
      </w:r>
    </w:p>
    <w:tbl>
      <w:tblPr>
        <w:tblStyle w:val="a0"/>
        <w:tblW w:w="9073" w:type="dxa"/>
        <w:tblInd w:w="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9"/>
        <w:gridCol w:w="1481"/>
        <w:gridCol w:w="5933"/>
      </w:tblGrid>
      <w:tr w:rsidR="007405B9" w14:paraId="6BE9B06A" w14:textId="77777777">
        <w:tc>
          <w:tcPr>
            <w:tcW w:w="1659" w:type="dxa"/>
            <w:vAlign w:val="center"/>
          </w:tcPr>
          <w:p w14:paraId="0000002E"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b/>
                <w:color w:val="000000"/>
                <w:sz w:val="20"/>
                <w:szCs w:val="20"/>
              </w:rPr>
              <w:t>Classe de</w:t>
            </w:r>
          </w:p>
          <w:p w14:paraId="0000002F"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b/>
                <w:color w:val="000000"/>
                <w:sz w:val="20"/>
                <w:szCs w:val="20"/>
              </w:rPr>
              <w:t>Declividade (%)</w:t>
            </w:r>
          </w:p>
        </w:tc>
        <w:tc>
          <w:tcPr>
            <w:tcW w:w="1481" w:type="dxa"/>
            <w:vAlign w:val="center"/>
          </w:tcPr>
          <w:p w14:paraId="00000030"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b/>
                <w:color w:val="000000"/>
                <w:sz w:val="20"/>
                <w:szCs w:val="20"/>
              </w:rPr>
              <w:t>Classe de</w:t>
            </w:r>
          </w:p>
          <w:p w14:paraId="00000031"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b/>
                <w:color w:val="000000"/>
                <w:sz w:val="20"/>
                <w:szCs w:val="20"/>
              </w:rPr>
              <w:t>Relevo</w:t>
            </w:r>
          </w:p>
        </w:tc>
        <w:tc>
          <w:tcPr>
            <w:tcW w:w="5933" w:type="dxa"/>
            <w:vAlign w:val="center"/>
          </w:tcPr>
          <w:p w14:paraId="00000032"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b/>
                <w:color w:val="000000"/>
                <w:sz w:val="20"/>
                <w:szCs w:val="20"/>
              </w:rPr>
              <w:t>Descrição</w:t>
            </w:r>
          </w:p>
        </w:tc>
      </w:tr>
      <w:tr w:rsidR="007405B9" w14:paraId="7F21D4E1" w14:textId="77777777">
        <w:tc>
          <w:tcPr>
            <w:tcW w:w="1659" w:type="dxa"/>
            <w:tcMar>
              <w:bottom w:w="0" w:type="dxa"/>
            </w:tcMar>
            <w:vAlign w:val="center"/>
          </w:tcPr>
          <w:p w14:paraId="00000033"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0 – 3</w:t>
            </w:r>
          </w:p>
        </w:tc>
        <w:tc>
          <w:tcPr>
            <w:tcW w:w="1481" w:type="dxa"/>
            <w:tcMar>
              <w:bottom w:w="0" w:type="dxa"/>
            </w:tcMar>
            <w:vAlign w:val="center"/>
          </w:tcPr>
          <w:p w14:paraId="00000034"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Plano</w:t>
            </w:r>
          </w:p>
        </w:tc>
        <w:tc>
          <w:tcPr>
            <w:tcW w:w="5933" w:type="dxa"/>
            <w:tcMar>
              <w:bottom w:w="0" w:type="dxa"/>
            </w:tcMar>
            <w:vAlign w:val="center"/>
          </w:tcPr>
          <w:p w14:paraId="00000035" w14:textId="77777777" w:rsidR="007405B9" w:rsidRDefault="00000000">
            <w:pPr>
              <w:widowControl w:val="0"/>
              <w:pBdr>
                <w:top w:val="nil"/>
                <w:left w:val="nil"/>
                <w:bottom w:val="nil"/>
                <w:right w:val="nil"/>
                <w:between w:val="nil"/>
              </w:pBdr>
              <w:spacing w:before="30" w:after="30" w:line="240" w:lineRule="auto"/>
              <w:rPr>
                <w:color w:val="000000"/>
                <w:sz w:val="20"/>
                <w:szCs w:val="20"/>
              </w:rPr>
            </w:pPr>
            <w:r>
              <w:rPr>
                <w:color w:val="000000"/>
                <w:sz w:val="20"/>
                <w:szCs w:val="20"/>
              </w:rPr>
              <w:t>Superfície de topografia esbatida ou horizontal, onde os desnivelamentos são muito pequenos.</w:t>
            </w:r>
          </w:p>
        </w:tc>
      </w:tr>
      <w:tr w:rsidR="007405B9" w14:paraId="4FF0BE0A" w14:textId="77777777">
        <w:tc>
          <w:tcPr>
            <w:tcW w:w="1659" w:type="dxa"/>
            <w:tcMar>
              <w:top w:w="0" w:type="dxa"/>
              <w:bottom w:w="0" w:type="dxa"/>
            </w:tcMar>
            <w:vAlign w:val="center"/>
          </w:tcPr>
          <w:p w14:paraId="00000036"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3 – 8</w:t>
            </w:r>
          </w:p>
        </w:tc>
        <w:tc>
          <w:tcPr>
            <w:tcW w:w="1481" w:type="dxa"/>
            <w:tcMar>
              <w:top w:w="0" w:type="dxa"/>
              <w:bottom w:w="0" w:type="dxa"/>
            </w:tcMar>
            <w:vAlign w:val="center"/>
          </w:tcPr>
          <w:p w14:paraId="00000037"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Suave</w:t>
            </w:r>
          </w:p>
          <w:p w14:paraId="00000038"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Ondulado</w:t>
            </w:r>
          </w:p>
        </w:tc>
        <w:tc>
          <w:tcPr>
            <w:tcW w:w="5933" w:type="dxa"/>
            <w:tcMar>
              <w:top w:w="0" w:type="dxa"/>
              <w:bottom w:w="0" w:type="dxa"/>
            </w:tcMar>
            <w:vAlign w:val="center"/>
          </w:tcPr>
          <w:p w14:paraId="00000039" w14:textId="77777777" w:rsidR="007405B9" w:rsidRDefault="00000000">
            <w:pPr>
              <w:widowControl w:val="0"/>
              <w:pBdr>
                <w:top w:val="nil"/>
                <w:left w:val="nil"/>
                <w:bottom w:val="nil"/>
                <w:right w:val="nil"/>
                <w:between w:val="nil"/>
              </w:pBdr>
              <w:spacing w:before="30" w:after="30" w:line="240" w:lineRule="auto"/>
              <w:rPr>
                <w:color w:val="000000"/>
                <w:sz w:val="20"/>
                <w:szCs w:val="20"/>
              </w:rPr>
            </w:pPr>
            <w:r>
              <w:rPr>
                <w:color w:val="000000"/>
                <w:sz w:val="20"/>
                <w:szCs w:val="20"/>
              </w:rPr>
              <w:t>Superfície de topografia pouco movimentada, constituída por conjunto de colinas e/ou outeiros com declives suaves.</w:t>
            </w:r>
          </w:p>
        </w:tc>
      </w:tr>
      <w:tr w:rsidR="007405B9" w14:paraId="61B75AAD" w14:textId="77777777">
        <w:tc>
          <w:tcPr>
            <w:tcW w:w="1659" w:type="dxa"/>
            <w:tcMar>
              <w:top w:w="0" w:type="dxa"/>
              <w:bottom w:w="0" w:type="dxa"/>
            </w:tcMar>
            <w:vAlign w:val="center"/>
          </w:tcPr>
          <w:p w14:paraId="0000003A"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8 – 20</w:t>
            </w:r>
          </w:p>
        </w:tc>
        <w:tc>
          <w:tcPr>
            <w:tcW w:w="1481" w:type="dxa"/>
            <w:tcMar>
              <w:top w:w="0" w:type="dxa"/>
              <w:bottom w:w="0" w:type="dxa"/>
            </w:tcMar>
            <w:vAlign w:val="center"/>
          </w:tcPr>
          <w:p w14:paraId="0000003B"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Ondulado</w:t>
            </w:r>
          </w:p>
        </w:tc>
        <w:tc>
          <w:tcPr>
            <w:tcW w:w="5933" w:type="dxa"/>
            <w:tcMar>
              <w:top w:w="0" w:type="dxa"/>
              <w:bottom w:w="0" w:type="dxa"/>
            </w:tcMar>
            <w:vAlign w:val="center"/>
          </w:tcPr>
          <w:p w14:paraId="0000003C" w14:textId="77777777" w:rsidR="007405B9" w:rsidRDefault="00000000">
            <w:pPr>
              <w:widowControl w:val="0"/>
              <w:pBdr>
                <w:top w:val="nil"/>
                <w:left w:val="nil"/>
                <w:bottom w:val="nil"/>
                <w:right w:val="nil"/>
                <w:between w:val="nil"/>
              </w:pBdr>
              <w:spacing w:before="30" w:after="30" w:line="240" w:lineRule="auto"/>
              <w:rPr>
                <w:color w:val="000000"/>
                <w:sz w:val="20"/>
                <w:szCs w:val="20"/>
              </w:rPr>
            </w:pPr>
            <w:r>
              <w:rPr>
                <w:color w:val="000000"/>
                <w:sz w:val="20"/>
                <w:szCs w:val="20"/>
              </w:rPr>
              <w:t>Superfície de topografia pouco movimentada, constituída por conjunto de colinas e/ou outeiros com declives suaves.</w:t>
            </w:r>
          </w:p>
        </w:tc>
      </w:tr>
      <w:tr w:rsidR="007405B9" w14:paraId="521E7EE8" w14:textId="77777777">
        <w:tc>
          <w:tcPr>
            <w:tcW w:w="1659" w:type="dxa"/>
            <w:tcMar>
              <w:top w:w="0" w:type="dxa"/>
              <w:bottom w:w="0" w:type="dxa"/>
            </w:tcMar>
            <w:vAlign w:val="center"/>
          </w:tcPr>
          <w:p w14:paraId="0000003D"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20 – 45</w:t>
            </w:r>
          </w:p>
        </w:tc>
        <w:tc>
          <w:tcPr>
            <w:tcW w:w="1481" w:type="dxa"/>
            <w:tcMar>
              <w:top w:w="0" w:type="dxa"/>
              <w:bottom w:w="0" w:type="dxa"/>
            </w:tcMar>
            <w:vAlign w:val="center"/>
          </w:tcPr>
          <w:p w14:paraId="0000003E"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Forte</w:t>
            </w:r>
          </w:p>
          <w:p w14:paraId="0000003F"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Ondulado</w:t>
            </w:r>
          </w:p>
        </w:tc>
        <w:tc>
          <w:tcPr>
            <w:tcW w:w="5933" w:type="dxa"/>
            <w:tcMar>
              <w:top w:w="0" w:type="dxa"/>
              <w:bottom w:w="0" w:type="dxa"/>
            </w:tcMar>
            <w:vAlign w:val="center"/>
          </w:tcPr>
          <w:p w14:paraId="00000040" w14:textId="77777777" w:rsidR="007405B9" w:rsidRDefault="00000000">
            <w:pPr>
              <w:widowControl w:val="0"/>
              <w:pBdr>
                <w:top w:val="nil"/>
                <w:left w:val="nil"/>
                <w:bottom w:val="nil"/>
                <w:right w:val="nil"/>
                <w:between w:val="nil"/>
              </w:pBdr>
              <w:spacing w:before="30" w:after="30" w:line="240" w:lineRule="auto"/>
              <w:rPr>
                <w:color w:val="000000"/>
                <w:sz w:val="20"/>
                <w:szCs w:val="20"/>
              </w:rPr>
            </w:pPr>
            <w:r>
              <w:rPr>
                <w:color w:val="000000"/>
                <w:sz w:val="20"/>
                <w:szCs w:val="20"/>
              </w:rPr>
              <w:t>Superfície de topografia movimentada, formada por outeiros e/ou morros e raramente colinas, com declives fortes.</w:t>
            </w:r>
          </w:p>
        </w:tc>
      </w:tr>
      <w:tr w:rsidR="007405B9" w14:paraId="76F75EDF" w14:textId="77777777">
        <w:tc>
          <w:tcPr>
            <w:tcW w:w="1659" w:type="dxa"/>
            <w:tcMar>
              <w:top w:w="0" w:type="dxa"/>
              <w:bottom w:w="0" w:type="dxa"/>
            </w:tcMar>
            <w:vAlign w:val="center"/>
          </w:tcPr>
          <w:p w14:paraId="00000041"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45 – 75</w:t>
            </w:r>
          </w:p>
        </w:tc>
        <w:tc>
          <w:tcPr>
            <w:tcW w:w="1481" w:type="dxa"/>
            <w:tcMar>
              <w:top w:w="0" w:type="dxa"/>
              <w:bottom w:w="0" w:type="dxa"/>
            </w:tcMar>
            <w:vAlign w:val="center"/>
          </w:tcPr>
          <w:p w14:paraId="00000042"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Montanhoso</w:t>
            </w:r>
          </w:p>
        </w:tc>
        <w:tc>
          <w:tcPr>
            <w:tcW w:w="5933" w:type="dxa"/>
            <w:tcMar>
              <w:top w:w="0" w:type="dxa"/>
              <w:bottom w:w="0" w:type="dxa"/>
            </w:tcMar>
            <w:vAlign w:val="center"/>
          </w:tcPr>
          <w:p w14:paraId="00000043" w14:textId="77777777" w:rsidR="007405B9" w:rsidRDefault="00000000">
            <w:pPr>
              <w:widowControl w:val="0"/>
              <w:pBdr>
                <w:top w:val="nil"/>
                <w:left w:val="nil"/>
                <w:bottom w:val="nil"/>
                <w:right w:val="nil"/>
                <w:between w:val="nil"/>
              </w:pBdr>
              <w:spacing w:before="30" w:after="30" w:line="240" w:lineRule="auto"/>
              <w:rPr>
                <w:color w:val="000000"/>
                <w:sz w:val="20"/>
                <w:szCs w:val="20"/>
              </w:rPr>
            </w:pPr>
            <w:r>
              <w:rPr>
                <w:color w:val="000000"/>
                <w:sz w:val="20"/>
                <w:szCs w:val="20"/>
              </w:rPr>
              <w:t>Predomínio de formas acidentadas, usualmente constituídas por morros, montanhas, e declives fortes e muito fortes</w:t>
            </w:r>
          </w:p>
        </w:tc>
      </w:tr>
      <w:tr w:rsidR="007405B9" w14:paraId="0AFF93FD" w14:textId="77777777">
        <w:tc>
          <w:tcPr>
            <w:tcW w:w="1659" w:type="dxa"/>
            <w:tcMar>
              <w:top w:w="0" w:type="dxa"/>
            </w:tcMar>
            <w:vAlign w:val="center"/>
          </w:tcPr>
          <w:p w14:paraId="00000044"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&gt; 75</w:t>
            </w:r>
          </w:p>
        </w:tc>
        <w:tc>
          <w:tcPr>
            <w:tcW w:w="1481" w:type="dxa"/>
            <w:tcMar>
              <w:top w:w="0" w:type="dxa"/>
            </w:tcMar>
            <w:vAlign w:val="center"/>
          </w:tcPr>
          <w:p w14:paraId="00000045" w14:textId="77777777" w:rsidR="007405B9" w:rsidRDefault="00000000">
            <w:pPr>
              <w:widowControl w:val="0"/>
              <w:pBdr>
                <w:top w:val="nil"/>
                <w:left w:val="nil"/>
                <w:bottom w:val="nil"/>
                <w:right w:val="nil"/>
                <w:between w:val="nil"/>
              </w:pBdr>
              <w:spacing w:before="30" w:after="30" w:line="240" w:lineRule="auto"/>
              <w:jc w:val="center"/>
              <w:rPr>
                <w:color w:val="000000"/>
                <w:sz w:val="20"/>
                <w:szCs w:val="20"/>
              </w:rPr>
            </w:pPr>
            <w:r>
              <w:rPr>
                <w:color w:val="000000"/>
                <w:sz w:val="20"/>
                <w:szCs w:val="20"/>
              </w:rPr>
              <w:t>Escarpado</w:t>
            </w:r>
          </w:p>
        </w:tc>
        <w:tc>
          <w:tcPr>
            <w:tcW w:w="5933" w:type="dxa"/>
            <w:tcMar>
              <w:top w:w="0" w:type="dxa"/>
            </w:tcMar>
            <w:vAlign w:val="center"/>
          </w:tcPr>
          <w:p w14:paraId="00000046" w14:textId="77777777" w:rsidR="007405B9" w:rsidRDefault="00000000">
            <w:pPr>
              <w:widowControl w:val="0"/>
              <w:pBdr>
                <w:top w:val="nil"/>
                <w:left w:val="nil"/>
                <w:bottom w:val="nil"/>
                <w:right w:val="nil"/>
                <w:between w:val="nil"/>
              </w:pBdr>
              <w:spacing w:before="30" w:after="30" w:line="240" w:lineRule="auto"/>
              <w:rPr>
                <w:color w:val="000000"/>
                <w:sz w:val="20"/>
                <w:szCs w:val="20"/>
              </w:rPr>
            </w:pPr>
            <w:r>
              <w:rPr>
                <w:color w:val="000000"/>
                <w:sz w:val="20"/>
                <w:szCs w:val="20"/>
              </w:rPr>
              <w:t>Predomínio de formas abruptas, compreendendo superfícies muito íngremes e escarpamentos</w:t>
            </w:r>
          </w:p>
        </w:tc>
      </w:tr>
    </w:tbl>
    <w:p w14:paraId="00000047" w14:textId="77777777" w:rsidR="007405B9" w:rsidRDefault="00000000">
      <w:pPr>
        <w:widowControl w:val="0"/>
        <w:pBdr>
          <w:top w:val="nil"/>
          <w:left w:val="nil"/>
          <w:bottom w:val="nil"/>
          <w:right w:val="nil"/>
          <w:between w:val="nil"/>
        </w:pBdr>
        <w:spacing w:line="360" w:lineRule="auto"/>
        <w:jc w:val="center"/>
        <w:rPr>
          <w:color w:val="000000"/>
          <w:sz w:val="24"/>
          <w:szCs w:val="24"/>
        </w:rPr>
      </w:pPr>
      <w:r>
        <w:rPr>
          <w:color w:val="000000"/>
          <w:sz w:val="24"/>
          <w:szCs w:val="24"/>
        </w:rPr>
        <w:t>Fonte: Embrapa (2013).</w:t>
      </w:r>
    </w:p>
    <w:p w14:paraId="00000048" w14:textId="77777777" w:rsidR="007405B9" w:rsidRDefault="007405B9">
      <w:pPr>
        <w:widowControl w:val="0"/>
        <w:pBdr>
          <w:top w:val="nil"/>
          <w:left w:val="nil"/>
          <w:bottom w:val="nil"/>
          <w:right w:val="nil"/>
          <w:between w:val="nil"/>
        </w:pBdr>
        <w:spacing w:line="360" w:lineRule="auto"/>
        <w:ind w:firstLine="720"/>
        <w:jc w:val="both"/>
        <w:rPr>
          <w:color w:val="000000"/>
          <w:sz w:val="24"/>
          <w:szCs w:val="24"/>
        </w:rPr>
      </w:pPr>
    </w:p>
    <w:p w14:paraId="00000049" w14:textId="77777777" w:rsidR="007405B9" w:rsidRDefault="00000000">
      <w:pPr>
        <w:spacing w:line="360" w:lineRule="auto"/>
        <w:ind w:firstLine="709"/>
        <w:jc w:val="both"/>
        <w:rPr>
          <w:sz w:val="24"/>
          <w:szCs w:val="24"/>
        </w:rPr>
      </w:pPr>
      <w:r>
        <w:rPr>
          <w:b/>
          <w:sz w:val="24"/>
          <w:szCs w:val="24"/>
        </w:rPr>
        <w:t>3. RESULTADOS E BENEFÍCIOS</w:t>
      </w:r>
    </w:p>
    <w:p w14:paraId="0000004A"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bookmarkStart w:id="10" w:name="bookmark=id.17dp8vu" w:colFirst="0" w:colLast="0"/>
      <w:bookmarkStart w:id="11" w:name="bookmark=id.3rdcrjn" w:colFirst="0" w:colLast="0"/>
      <w:bookmarkEnd w:id="10"/>
      <w:bookmarkEnd w:id="11"/>
      <w:r>
        <w:rPr>
          <w:color w:val="000000"/>
          <w:sz w:val="24"/>
          <w:szCs w:val="24"/>
        </w:rPr>
        <w:t>A análise das classes de declividade na bacia hidrográfica do rio Marombas (Figura 2) revelou uma diversidade significativa de relevo: a maior parte da área é caracterizada por relevo ondulado (8-20%), abrangendo aproximadamente 1.671km², o que representa cerca de 42,6% da área total estudada. As áreas com relevo forte ondulado (20-45%), que cobrem cerca de 1.044km² (26,6%), indicam terrenos mais acidentados que podem requerer práticas especiais de manejo para evitar a erosão e promover a sustentabilidade.</w:t>
      </w:r>
    </w:p>
    <w:p w14:paraId="0000004B"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br w:type="page"/>
      </w:r>
    </w:p>
    <w:p w14:paraId="0000004C" w14:textId="77777777" w:rsidR="007405B9" w:rsidRDefault="00000000">
      <w:pPr>
        <w:widowControl w:val="0"/>
        <w:pBdr>
          <w:top w:val="nil"/>
          <w:left w:val="nil"/>
          <w:bottom w:val="nil"/>
          <w:right w:val="nil"/>
          <w:between w:val="nil"/>
        </w:pBdr>
        <w:spacing w:before="200" w:line="240" w:lineRule="auto"/>
        <w:jc w:val="center"/>
        <w:rPr>
          <w:color w:val="000000"/>
          <w:sz w:val="24"/>
          <w:szCs w:val="24"/>
        </w:rPr>
      </w:pPr>
      <w:r>
        <w:rPr>
          <w:color w:val="000000"/>
          <w:sz w:val="24"/>
          <w:szCs w:val="24"/>
        </w:rPr>
        <w:lastRenderedPageBreak/>
        <w:t>Figura 2 – Classificação da declividade segundo o Sistema Brasileiro de Classificação de Solo na bacia hidrográfica do rio Marombas.</w:t>
      </w:r>
    </w:p>
    <w:p w14:paraId="0000004D" w14:textId="77777777" w:rsidR="007405B9" w:rsidRDefault="00000000">
      <w:pPr>
        <w:widowControl w:val="0"/>
        <w:pBdr>
          <w:top w:val="nil"/>
          <w:left w:val="nil"/>
          <w:bottom w:val="nil"/>
          <w:right w:val="nil"/>
          <w:between w:val="nil"/>
        </w:pBdr>
        <w:spacing w:line="240" w:lineRule="auto"/>
        <w:jc w:val="center"/>
        <w:rPr>
          <w:color w:val="000000"/>
          <w:sz w:val="24"/>
          <w:szCs w:val="24"/>
        </w:rPr>
      </w:pPr>
      <w:r>
        <w:rPr>
          <w:noProof/>
          <w:sz w:val="24"/>
          <w:szCs w:val="24"/>
        </w:rPr>
        <w:drawing>
          <wp:inline distT="114300" distB="114300" distL="114300" distR="114300">
            <wp:extent cx="5761045" cy="40767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61045" cy="4076700"/>
                    </a:xfrm>
                    <a:prstGeom prst="rect">
                      <a:avLst/>
                    </a:prstGeom>
                    <a:ln/>
                  </pic:spPr>
                </pic:pic>
              </a:graphicData>
            </a:graphic>
          </wp:inline>
        </w:drawing>
      </w:r>
    </w:p>
    <w:p w14:paraId="0000004E" w14:textId="77777777" w:rsidR="007405B9" w:rsidRDefault="00000000">
      <w:pPr>
        <w:widowControl w:val="0"/>
        <w:pBdr>
          <w:top w:val="nil"/>
          <w:left w:val="nil"/>
          <w:bottom w:val="nil"/>
          <w:right w:val="nil"/>
          <w:between w:val="nil"/>
        </w:pBdr>
        <w:spacing w:after="200" w:line="240" w:lineRule="auto"/>
        <w:jc w:val="center"/>
        <w:rPr>
          <w:color w:val="000000"/>
          <w:sz w:val="24"/>
          <w:szCs w:val="24"/>
        </w:rPr>
      </w:pPr>
      <w:r>
        <w:rPr>
          <w:color w:val="000000"/>
          <w:sz w:val="24"/>
          <w:szCs w:val="24"/>
        </w:rPr>
        <w:t>Fonte: autor (2024).</w:t>
      </w:r>
    </w:p>
    <w:p w14:paraId="0000004F" w14:textId="77777777" w:rsidR="007405B9" w:rsidRDefault="007405B9">
      <w:pPr>
        <w:widowControl w:val="0"/>
        <w:pBdr>
          <w:top w:val="nil"/>
          <w:left w:val="nil"/>
          <w:bottom w:val="nil"/>
          <w:right w:val="nil"/>
          <w:between w:val="nil"/>
        </w:pBdr>
        <w:spacing w:after="200" w:line="240" w:lineRule="auto"/>
        <w:jc w:val="center"/>
        <w:rPr>
          <w:sz w:val="24"/>
          <w:szCs w:val="24"/>
        </w:rPr>
      </w:pPr>
    </w:p>
    <w:p w14:paraId="00000050"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rPr>
          <w:color w:val="000000"/>
          <w:sz w:val="24"/>
          <w:szCs w:val="24"/>
        </w:rPr>
        <w:t>Por outro lado, as áreas de relevo plano (0-3%) e suave ondulado (3-8%), totalizando aproximadamente 1.114km² (28,4% da área total), oferecem condições mais favoráveis para a agricultura mecanizada, devido à menor inclinação. As áreas montanhosas (45-75%) e escarpadas (&gt;75%), embora menos extensas (91km² ou 2,4%), destacam a necessidade de estratégias específicas de conservação e uso sustentável, devido à maior suscetibilidade à erosão e à menor adequação para a agricultura intensiva.</w:t>
      </w:r>
    </w:p>
    <w:p w14:paraId="00000051"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rPr>
          <w:color w:val="000000"/>
          <w:sz w:val="24"/>
          <w:szCs w:val="24"/>
        </w:rPr>
        <w:t xml:space="preserve">A análise da aptidão para mecanização agrícola no cultivo da soja (Figura 3) revela uma distribuição distinta das áreas aptas e inaptas para essa atividade: as </w:t>
      </w:r>
      <w:r>
        <w:rPr>
          <w:color w:val="000000"/>
          <w:sz w:val="24"/>
          <w:szCs w:val="24"/>
        </w:rPr>
        <w:lastRenderedPageBreak/>
        <w:t>áreas com declividade inferior a 12%, adequadas para mecanização agrícola, compreendem aproximadamente 1.718km² (43,8%) da área total da bacia hidrográfica. Essa extensa área é ideal para práticas agrícolas mecanizadas, facilitando o cultivo da soja com maior eficiência e menor risco de erosão.</w:t>
      </w:r>
    </w:p>
    <w:p w14:paraId="00000052" w14:textId="77777777" w:rsidR="007405B9" w:rsidRDefault="007405B9">
      <w:pPr>
        <w:widowControl w:val="0"/>
        <w:pBdr>
          <w:top w:val="nil"/>
          <w:left w:val="nil"/>
          <w:bottom w:val="nil"/>
          <w:right w:val="nil"/>
          <w:between w:val="nil"/>
        </w:pBdr>
        <w:spacing w:line="360" w:lineRule="auto"/>
        <w:ind w:firstLine="720"/>
        <w:jc w:val="both"/>
        <w:rPr>
          <w:color w:val="000000"/>
          <w:sz w:val="24"/>
          <w:szCs w:val="24"/>
        </w:rPr>
      </w:pPr>
    </w:p>
    <w:p w14:paraId="00000053" w14:textId="77777777" w:rsidR="007405B9" w:rsidRDefault="00000000">
      <w:pPr>
        <w:widowControl w:val="0"/>
        <w:pBdr>
          <w:top w:val="nil"/>
          <w:left w:val="nil"/>
          <w:bottom w:val="nil"/>
          <w:right w:val="nil"/>
          <w:between w:val="nil"/>
        </w:pBdr>
        <w:spacing w:before="200" w:line="240" w:lineRule="auto"/>
        <w:jc w:val="center"/>
        <w:rPr>
          <w:color w:val="000000"/>
          <w:sz w:val="24"/>
          <w:szCs w:val="24"/>
        </w:rPr>
      </w:pPr>
      <w:r>
        <w:rPr>
          <w:color w:val="000000"/>
          <w:sz w:val="24"/>
          <w:szCs w:val="24"/>
        </w:rPr>
        <w:t>Figura 3 – Identificação na bacia hidrográfica do rio Marombas de áreas aptas e inaptas à mecanização do cultivo da soja, a partir de valores de declividade.</w:t>
      </w:r>
    </w:p>
    <w:p w14:paraId="00000054" w14:textId="77777777" w:rsidR="007405B9" w:rsidRDefault="00000000">
      <w:pPr>
        <w:widowControl w:val="0"/>
        <w:pBdr>
          <w:top w:val="nil"/>
          <w:left w:val="nil"/>
          <w:bottom w:val="nil"/>
          <w:right w:val="nil"/>
          <w:between w:val="nil"/>
        </w:pBdr>
        <w:spacing w:line="240" w:lineRule="auto"/>
        <w:jc w:val="center"/>
        <w:rPr>
          <w:color w:val="000000"/>
          <w:sz w:val="24"/>
          <w:szCs w:val="24"/>
        </w:rPr>
      </w:pPr>
      <w:r>
        <w:rPr>
          <w:noProof/>
          <w:sz w:val="24"/>
          <w:szCs w:val="24"/>
        </w:rPr>
        <w:drawing>
          <wp:inline distT="114300" distB="114300" distL="114300" distR="114300">
            <wp:extent cx="5761045" cy="40767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61045" cy="4076700"/>
                    </a:xfrm>
                    <a:prstGeom prst="rect">
                      <a:avLst/>
                    </a:prstGeom>
                    <a:ln/>
                  </pic:spPr>
                </pic:pic>
              </a:graphicData>
            </a:graphic>
          </wp:inline>
        </w:drawing>
      </w:r>
    </w:p>
    <w:p w14:paraId="00000055" w14:textId="77777777" w:rsidR="007405B9" w:rsidRDefault="00000000">
      <w:pPr>
        <w:widowControl w:val="0"/>
        <w:pBdr>
          <w:top w:val="nil"/>
          <w:left w:val="nil"/>
          <w:bottom w:val="nil"/>
          <w:right w:val="nil"/>
          <w:between w:val="nil"/>
        </w:pBdr>
        <w:spacing w:line="240" w:lineRule="auto"/>
        <w:jc w:val="center"/>
        <w:rPr>
          <w:color w:val="000000"/>
          <w:sz w:val="24"/>
          <w:szCs w:val="24"/>
        </w:rPr>
      </w:pPr>
      <w:r>
        <w:rPr>
          <w:color w:val="000000"/>
          <w:sz w:val="24"/>
          <w:szCs w:val="24"/>
        </w:rPr>
        <w:t>Fonte: autor (2024).</w:t>
      </w:r>
    </w:p>
    <w:p w14:paraId="00000056" w14:textId="77777777" w:rsidR="007405B9" w:rsidRDefault="007405B9">
      <w:pPr>
        <w:widowControl w:val="0"/>
        <w:pBdr>
          <w:top w:val="nil"/>
          <w:left w:val="nil"/>
          <w:bottom w:val="nil"/>
          <w:right w:val="nil"/>
          <w:between w:val="nil"/>
        </w:pBdr>
        <w:spacing w:line="360" w:lineRule="auto"/>
        <w:ind w:firstLine="709"/>
        <w:jc w:val="both"/>
        <w:rPr>
          <w:color w:val="000000"/>
          <w:sz w:val="24"/>
          <w:szCs w:val="24"/>
        </w:rPr>
      </w:pPr>
    </w:p>
    <w:p w14:paraId="00000057"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rPr>
          <w:color w:val="000000"/>
          <w:sz w:val="24"/>
          <w:szCs w:val="24"/>
        </w:rPr>
        <w:t>Por outro lado, as áreas com declividade superior a 12%, consideradas inaptas para mecanização, abrangem cerca de 2.202km² (56,2%) da área total. Essas áreas enfrentam desafios significativos para a agricultura mecanizada devido ao alto risco de erosão e à dificuldade no manejo de máquinas agrícolas.</w:t>
      </w:r>
    </w:p>
    <w:p w14:paraId="00000058" w14:textId="77777777" w:rsidR="007405B9" w:rsidRDefault="00000000">
      <w:pPr>
        <w:widowControl w:val="0"/>
        <w:pBdr>
          <w:top w:val="nil"/>
          <w:left w:val="nil"/>
          <w:bottom w:val="nil"/>
          <w:right w:val="nil"/>
          <w:between w:val="nil"/>
        </w:pBdr>
        <w:spacing w:line="360" w:lineRule="auto"/>
        <w:ind w:firstLine="720"/>
        <w:jc w:val="both"/>
        <w:rPr>
          <w:color w:val="000000"/>
          <w:sz w:val="24"/>
          <w:szCs w:val="24"/>
        </w:rPr>
      </w:pPr>
      <w:r>
        <w:rPr>
          <w:color w:val="000000"/>
          <w:sz w:val="24"/>
          <w:szCs w:val="24"/>
        </w:rPr>
        <w:lastRenderedPageBreak/>
        <w:t xml:space="preserve">Já em relação à distribuição dessas áreas, não é possível delimitar grandes áreas homogêneas de ocorrência de uma ou </w:t>
      </w:r>
      <w:r>
        <w:rPr>
          <w:sz w:val="24"/>
          <w:szCs w:val="24"/>
        </w:rPr>
        <w:t>outra</w:t>
      </w:r>
      <w:r>
        <w:rPr>
          <w:color w:val="000000"/>
          <w:sz w:val="24"/>
          <w:szCs w:val="24"/>
        </w:rPr>
        <w:t xml:space="preserve"> classe. Isso se deve à diferença entre as escalas de mapeamento do relevo e da bacia hidrográfica. Não obstante, pode-se dizer que ao Leste há um predomínio de áreas aptas à mecanização da cultura da soja, e ao Sudoeste e Norte um predomínio de áreas inaptas.</w:t>
      </w:r>
    </w:p>
    <w:p w14:paraId="00000059" w14:textId="77777777" w:rsidR="007405B9" w:rsidRDefault="007405B9">
      <w:pPr>
        <w:widowControl w:val="0"/>
        <w:pBdr>
          <w:top w:val="nil"/>
          <w:left w:val="nil"/>
          <w:bottom w:val="nil"/>
          <w:right w:val="nil"/>
          <w:between w:val="nil"/>
        </w:pBdr>
        <w:spacing w:line="360" w:lineRule="auto"/>
        <w:ind w:firstLine="709"/>
        <w:jc w:val="both"/>
        <w:rPr>
          <w:color w:val="000000"/>
          <w:sz w:val="24"/>
          <w:szCs w:val="24"/>
        </w:rPr>
      </w:pPr>
    </w:p>
    <w:p w14:paraId="0000005A" w14:textId="77777777" w:rsidR="007405B9" w:rsidRDefault="00000000">
      <w:pPr>
        <w:spacing w:line="360" w:lineRule="auto"/>
        <w:ind w:firstLine="709"/>
        <w:jc w:val="both"/>
        <w:rPr>
          <w:sz w:val="24"/>
          <w:szCs w:val="24"/>
        </w:rPr>
      </w:pPr>
      <w:r>
        <w:rPr>
          <w:b/>
          <w:sz w:val="24"/>
          <w:szCs w:val="24"/>
        </w:rPr>
        <w:t>4. CONCLUSÃO</w:t>
      </w:r>
    </w:p>
    <w:p w14:paraId="0000005B" w14:textId="77777777" w:rsidR="007405B9" w:rsidRDefault="00000000">
      <w:pPr>
        <w:widowControl w:val="0"/>
        <w:pBdr>
          <w:top w:val="nil"/>
          <w:left w:val="nil"/>
          <w:bottom w:val="nil"/>
          <w:right w:val="nil"/>
          <w:between w:val="nil"/>
        </w:pBdr>
        <w:spacing w:line="360" w:lineRule="auto"/>
        <w:ind w:firstLine="709"/>
        <w:jc w:val="both"/>
        <w:rPr>
          <w:color w:val="000000"/>
          <w:sz w:val="24"/>
          <w:szCs w:val="24"/>
        </w:rPr>
      </w:pPr>
      <w:bookmarkStart w:id="12" w:name="bookmark=id.26in1rg" w:colFirst="0" w:colLast="0"/>
      <w:bookmarkEnd w:id="12"/>
      <w:r>
        <w:rPr>
          <w:color w:val="000000"/>
          <w:sz w:val="24"/>
          <w:szCs w:val="24"/>
        </w:rPr>
        <w:t>A declividade na bacia hidrográfica do rio Marombas revela que aproximadamente 43,8% da área é considerada apta para práticas agrícolas mecanizadas para a cultura da soja: áreas com declividade inferior a 12%. O restante da área, segundo o Sistema Brasileiro de Classificação de Solos, é categorizada como relevo forte ondulado, montanhoso e escarpado, e exige estratégias específicas de conservação do solo e manejo sustentável para mitigar erosão e assegurar práticas agrícolas eficazes.</w:t>
      </w:r>
    </w:p>
    <w:p w14:paraId="0000005C" w14:textId="77777777" w:rsidR="007405B9" w:rsidRDefault="00000000">
      <w:pPr>
        <w:widowControl w:val="0"/>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As análises realizadas sobre as classes de declividade e a aptidão para mecanização agrícola na bacia hidrográfica do rio Marombas revelam informações úteis para orientar políticas agrícolas e práticas de manejo que equilibrem a produtividade com a preservação ambiental na bacia hidrográfica do rio Marombas. No entanto, ao utilizar os dados do MNT disponibilizados pelo SIGSC para a escala das bacias hidrográficas, recomenda-se que a apresentação ou disponibilização dos resultados seja implementada em ambientes dinâmicos, como os </w:t>
      </w:r>
      <w:r>
        <w:rPr>
          <w:i/>
          <w:color w:val="000000"/>
          <w:sz w:val="24"/>
          <w:szCs w:val="24"/>
        </w:rPr>
        <w:t>websigs</w:t>
      </w:r>
      <w:r>
        <w:rPr>
          <w:color w:val="000000"/>
          <w:sz w:val="24"/>
          <w:szCs w:val="24"/>
        </w:rPr>
        <w:t>, para que o usuário/gestor possa interagir com a escala de apresentação dos resultados, e usufruir melhor dos detalhes oferecidos pelo produto do Levantamento Aerofotogramétrico de Santa Catarina.</w:t>
      </w:r>
    </w:p>
    <w:p w14:paraId="0000005D" w14:textId="77777777" w:rsidR="007405B9" w:rsidRDefault="007405B9">
      <w:pPr>
        <w:spacing w:line="360" w:lineRule="auto"/>
        <w:ind w:firstLine="709"/>
        <w:jc w:val="both"/>
        <w:rPr>
          <w:sz w:val="24"/>
          <w:szCs w:val="24"/>
        </w:rPr>
      </w:pPr>
    </w:p>
    <w:p w14:paraId="0000005E" w14:textId="77777777" w:rsidR="007405B9" w:rsidRDefault="00000000">
      <w:pPr>
        <w:spacing w:line="360" w:lineRule="auto"/>
        <w:ind w:firstLine="709"/>
        <w:jc w:val="both"/>
        <w:rPr>
          <w:sz w:val="24"/>
          <w:szCs w:val="24"/>
        </w:rPr>
      </w:pPr>
      <w:r>
        <w:rPr>
          <w:b/>
          <w:sz w:val="24"/>
          <w:szCs w:val="24"/>
        </w:rPr>
        <w:t xml:space="preserve">5. AGRADECIMENTOS </w:t>
      </w:r>
    </w:p>
    <w:p w14:paraId="0000005F" w14:textId="77777777" w:rsidR="007405B9" w:rsidRDefault="00000000">
      <w:pPr>
        <w:spacing w:line="360" w:lineRule="auto"/>
        <w:ind w:firstLine="709"/>
        <w:jc w:val="both"/>
        <w:rPr>
          <w:sz w:val="24"/>
          <w:szCs w:val="24"/>
        </w:rPr>
      </w:pPr>
      <w:r>
        <w:rPr>
          <w:sz w:val="24"/>
          <w:szCs w:val="24"/>
        </w:rPr>
        <w:t xml:space="preserve">Gostaria de expressar minha gratidão à Universidade Federal de Santa Catarina por todo o conhecimento e suporte proporcionados durante minha </w:t>
      </w:r>
      <w:r>
        <w:rPr>
          <w:sz w:val="24"/>
          <w:szCs w:val="24"/>
        </w:rPr>
        <w:lastRenderedPageBreak/>
        <w:t xml:space="preserve">graduação. Agradeço também ao </w:t>
      </w:r>
      <w:r>
        <w:rPr>
          <w:i/>
          <w:sz w:val="24"/>
          <w:szCs w:val="24"/>
        </w:rPr>
        <w:t>Projeto REFORMA</w:t>
      </w:r>
      <w:r>
        <w:rPr>
          <w:sz w:val="24"/>
          <w:szCs w:val="24"/>
        </w:rPr>
        <w:t xml:space="preserve"> (Contrato nº 20.2.0438.1 entre BNDES/FAPEU/UFSC), do qual sou bolsista, que não só me ofereceu oportunidades para aplicar na prática os aprendizados teóricos adquiridos, mas também forneceu apoio financeiro durante o período da bolsa.</w:t>
      </w:r>
    </w:p>
    <w:p w14:paraId="00000060" w14:textId="77777777" w:rsidR="007405B9" w:rsidRDefault="007405B9">
      <w:pPr>
        <w:spacing w:line="360" w:lineRule="auto"/>
        <w:jc w:val="both"/>
        <w:rPr>
          <w:sz w:val="24"/>
          <w:szCs w:val="24"/>
        </w:rPr>
      </w:pPr>
    </w:p>
    <w:p w14:paraId="00000061" w14:textId="77777777" w:rsidR="007405B9" w:rsidRDefault="00000000">
      <w:pPr>
        <w:spacing w:line="360" w:lineRule="auto"/>
        <w:ind w:firstLine="709"/>
        <w:jc w:val="both"/>
        <w:rPr>
          <w:b/>
          <w:sz w:val="24"/>
          <w:szCs w:val="24"/>
        </w:rPr>
      </w:pPr>
      <w:r>
        <w:rPr>
          <w:b/>
          <w:sz w:val="24"/>
          <w:szCs w:val="24"/>
        </w:rPr>
        <w:t>REFERÊNCIAS</w:t>
      </w:r>
    </w:p>
    <w:p w14:paraId="00000062" w14:textId="77777777" w:rsidR="007405B9" w:rsidRDefault="00000000">
      <w:pPr>
        <w:spacing w:line="240" w:lineRule="auto"/>
        <w:jc w:val="both"/>
        <w:rPr>
          <w:color w:val="000000"/>
          <w:sz w:val="24"/>
          <w:szCs w:val="24"/>
        </w:rPr>
      </w:pPr>
      <w:bookmarkStart w:id="13" w:name="bookmark=id.lnxbz9" w:colFirst="0" w:colLast="0"/>
      <w:bookmarkEnd w:id="13"/>
      <w:r>
        <w:rPr>
          <w:color w:val="000000"/>
          <w:sz w:val="24"/>
          <w:szCs w:val="24"/>
        </w:rPr>
        <w:t xml:space="preserve">CORRÊA, A.A.M. Reunião brasileira de fertilidade do solo e nutrição de plantas: Produção de alimentos para sobrevivência dos brasileiros, 21., 1995, Petrolina. </w:t>
      </w:r>
      <w:r>
        <w:rPr>
          <w:b/>
          <w:color w:val="000000"/>
          <w:sz w:val="24"/>
          <w:szCs w:val="24"/>
        </w:rPr>
        <w:t>Anais...</w:t>
      </w:r>
      <w:r>
        <w:rPr>
          <w:color w:val="000000"/>
          <w:sz w:val="24"/>
          <w:szCs w:val="24"/>
        </w:rPr>
        <w:t xml:space="preserve"> Petrolina: Embrapa, 1995. p. 272-273. </w:t>
      </w:r>
    </w:p>
    <w:p w14:paraId="00000063" w14:textId="77777777" w:rsidR="007405B9" w:rsidRDefault="007405B9">
      <w:pPr>
        <w:widowControl w:val="0"/>
        <w:pBdr>
          <w:top w:val="nil"/>
          <w:left w:val="nil"/>
          <w:bottom w:val="nil"/>
          <w:right w:val="nil"/>
          <w:between w:val="nil"/>
        </w:pBdr>
        <w:spacing w:line="240" w:lineRule="auto"/>
        <w:jc w:val="both"/>
        <w:rPr>
          <w:color w:val="000000"/>
          <w:sz w:val="24"/>
          <w:szCs w:val="24"/>
        </w:rPr>
      </w:pPr>
    </w:p>
    <w:p w14:paraId="00000064" w14:textId="77777777" w:rsidR="007405B9" w:rsidRDefault="00000000">
      <w:pPr>
        <w:widowControl w:val="0"/>
        <w:pBdr>
          <w:top w:val="nil"/>
          <w:left w:val="nil"/>
          <w:bottom w:val="nil"/>
          <w:right w:val="nil"/>
          <w:between w:val="nil"/>
        </w:pBdr>
        <w:spacing w:line="240" w:lineRule="auto"/>
        <w:jc w:val="both"/>
        <w:rPr>
          <w:color w:val="000000"/>
          <w:sz w:val="24"/>
          <w:szCs w:val="24"/>
        </w:rPr>
      </w:pPr>
      <w:bookmarkStart w:id="14" w:name="bookmark=id.35nkun2" w:colFirst="0" w:colLast="0"/>
      <w:bookmarkEnd w:id="14"/>
      <w:r>
        <w:rPr>
          <w:color w:val="000000"/>
          <w:sz w:val="24"/>
          <w:szCs w:val="24"/>
        </w:rPr>
        <w:t xml:space="preserve">EMBRAPA - EMPRESA BRASILEIRA DE PESQUISA AGROPECUÁRIA. </w:t>
      </w:r>
      <w:r>
        <w:rPr>
          <w:b/>
          <w:color w:val="000000"/>
          <w:sz w:val="24"/>
          <w:szCs w:val="24"/>
        </w:rPr>
        <w:t>Sistema Brasileiro de Classificação de Solos</w:t>
      </w:r>
      <w:r>
        <w:rPr>
          <w:color w:val="000000"/>
          <w:sz w:val="24"/>
          <w:szCs w:val="24"/>
        </w:rPr>
        <w:t>. 3. ed. Rio de Janeiro: EMBRAPA, 2013. 306 p.</w:t>
      </w:r>
    </w:p>
    <w:p w14:paraId="00000065" w14:textId="77777777" w:rsidR="007405B9" w:rsidRDefault="007405B9">
      <w:pPr>
        <w:widowControl w:val="0"/>
        <w:pBdr>
          <w:top w:val="nil"/>
          <w:left w:val="nil"/>
          <w:bottom w:val="nil"/>
          <w:right w:val="nil"/>
          <w:between w:val="nil"/>
        </w:pBdr>
        <w:spacing w:line="240" w:lineRule="auto"/>
        <w:jc w:val="both"/>
        <w:rPr>
          <w:color w:val="000000"/>
          <w:sz w:val="24"/>
          <w:szCs w:val="24"/>
        </w:rPr>
      </w:pPr>
    </w:p>
    <w:p w14:paraId="00000066" w14:textId="77777777" w:rsidR="007405B9" w:rsidRDefault="00000000">
      <w:pPr>
        <w:pBdr>
          <w:top w:val="nil"/>
          <w:left w:val="nil"/>
          <w:bottom w:val="nil"/>
          <w:right w:val="nil"/>
          <w:between w:val="nil"/>
        </w:pBdr>
        <w:spacing w:line="240" w:lineRule="auto"/>
        <w:jc w:val="both"/>
        <w:rPr>
          <w:color w:val="000000"/>
          <w:sz w:val="24"/>
          <w:szCs w:val="24"/>
        </w:rPr>
      </w:pPr>
      <w:bookmarkStart w:id="15" w:name="bookmark=id.1ksv4uv" w:colFirst="0" w:colLast="0"/>
      <w:bookmarkEnd w:id="15"/>
      <w:r>
        <w:rPr>
          <w:color w:val="000000"/>
          <w:sz w:val="24"/>
          <w:szCs w:val="24"/>
        </w:rPr>
        <w:t xml:space="preserve">______. </w:t>
      </w:r>
      <w:r>
        <w:rPr>
          <w:b/>
          <w:color w:val="000000"/>
          <w:sz w:val="24"/>
          <w:szCs w:val="24"/>
        </w:rPr>
        <w:t>Manual de Segurança e Qualidade para a Cultura da Soja</w:t>
      </w:r>
      <w:r>
        <w:rPr>
          <w:color w:val="000000"/>
          <w:sz w:val="24"/>
          <w:szCs w:val="24"/>
        </w:rPr>
        <w:t>. Brasília: Embrapa, 2005. 72 p.</w:t>
      </w:r>
    </w:p>
    <w:p w14:paraId="00000067" w14:textId="77777777" w:rsidR="007405B9" w:rsidRDefault="007405B9">
      <w:pPr>
        <w:pBdr>
          <w:top w:val="nil"/>
          <w:left w:val="nil"/>
          <w:bottom w:val="nil"/>
          <w:right w:val="nil"/>
          <w:between w:val="nil"/>
        </w:pBdr>
        <w:spacing w:line="240" w:lineRule="auto"/>
        <w:jc w:val="both"/>
        <w:rPr>
          <w:color w:val="000000"/>
          <w:sz w:val="24"/>
          <w:szCs w:val="24"/>
        </w:rPr>
      </w:pPr>
    </w:p>
    <w:p w14:paraId="00000068" w14:textId="77777777" w:rsidR="007405B9" w:rsidRDefault="00000000">
      <w:pPr>
        <w:spacing w:line="240" w:lineRule="auto"/>
        <w:jc w:val="both"/>
        <w:rPr>
          <w:color w:val="000000"/>
          <w:sz w:val="24"/>
          <w:szCs w:val="24"/>
        </w:rPr>
      </w:pPr>
      <w:bookmarkStart w:id="16" w:name="bookmark=id.44sinio" w:colFirst="0" w:colLast="0"/>
      <w:bookmarkEnd w:id="16"/>
      <w:r>
        <w:rPr>
          <w:color w:val="000000"/>
          <w:sz w:val="24"/>
          <w:szCs w:val="24"/>
        </w:rPr>
        <w:t xml:space="preserve">ENGERA - ENGENHARIA E GERENCIAMENTO DE RECURSOS AMBIENTAIS. </w:t>
      </w:r>
      <w:r>
        <w:rPr>
          <w:b/>
          <w:color w:val="000000"/>
          <w:sz w:val="24"/>
          <w:szCs w:val="24"/>
        </w:rPr>
        <w:t>Avaliação Integrada da Bacia Hidrográfica do rio Marombas</w:t>
      </w:r>
      <w:r>
        <w:rPr>
          <w:color w:val="000000"/>
          <w:sz w:val="24"/>
          <w:szCs w:val="24"/>
        </w:rPr>
        <w:t xml:space="preserve">. Florianópolis: Engera, 2021. </w:t>
      </w:r>
    </w:p>
    <w:p w14:paraId="00000069" w14:textId="77777777" w:rsidR="007405B9" w:rsidRDefault="007405B9">
      <w:pPr>
        <w:pBdr>
          <w:top w:val="nil"/>
          <w:left w:val="nil"/>
          <w:bottom w:val="nil"/>
          <w:right w:val="nil"/>
          <w:between w:val="nil"/>
        </w:pBdr>
        <w:spacing w:line="240" w:lineRule="auto"/>
        <w:jc w:val="both"/>
        <w:rPr>
          <w:color w:val="000000"/>
          <w:sz w:val="24"/>
          <w:szCs w:val="24"/>
        </w:rPr>
      </w:pPr>
    </w:p>
    <w:p w14:paraId="0000006A" w14:textId="77777777" w:rsidR="007405B9" w:rsidRDefault="00000000">
      <w:pPr>
        <w:pBdr>
          <w:top w:val="nil"/>
          <w:left w:val="nil"/>
          <w:bottom w:val="nil"/>
          <w:right w:val="nil"/>
          <w:between w:val="nil"/>
        </w:pBdr>
        <w:spacing w:line="240" w:lineRule="auto"/>
        <w:jc w:val="both"/>
        <w:rPr>
          <w:color w:val="000000"/>
          <w:sz w:val="24"/>
          <w:szCs w:val="24"/>
        </w:rPr>
      </w:pPr>
      <w:bookmarkStart w:id="17" w:name="bookmark=id.2jxsxqh" w:colFirst="0" w:colLast="0"/>
      <w:bookmarkEnd w:id="17"/>
      <w:r>
        <w:rPr>
          <w:color w:val="000000"/>
          <w:sz w:val="24"/>
          <w:szCs w:val="24"/>
        </w:rPr>
        <w:t xml:space="preserve">FERNANDES, H.C.; BURLA, E.R.; LEITE, E.S.; MINETTE, L.J. Avaliação técnica e econômica de um “Harvester” em diferentes condições de terreno e produtividade da Floresta. </w:t>
      </w:r>
      <w:r>
        <w:rPr>
          <w:b/>
          <w:color w:val="000000"/>
          <w:sz w:val="24"/>
          <w:szCs w:val="24"/>
        </w:rPr>
        <w:t>Scientia</w:t>
      </w:r>
      <w:r>
        <w:rPr>
          <w:color w:val="000000"/>
          <w:sz w:val="24"/>
          <w:szCs w:val="24"/>
        </w:rPr>
        <w:t xml:space="preserve"> </w:t>
      </w:r>
      <w:r>
        <w:rPr>
          <w:b/>
          <w:color w:val="000000"/>
          <w:sz w:val="24"/>
          <w:szCs w:val="24"/>
        </w:rPr>
        <w:t>Forestalis</w:t>
      </w:r>
      <w:r>
        <w:rPr>
          <w:color w:val="000000"/>
          <w:sz w:val="24"/>
          <w:szCs w:val="24"/>
        </w:rPr>
        <w:t>, v. 41, n. 97, p. 145-151, 2013.</w:t>
      </w:r>
    </w:p>
    <w:p w14:paraId="0000006B" w14:textId="77777777" w:rsidR="007405B9" w:rsidRDefault="007405B9">
      <w:pPr>
        <w:pBdr>
          <w:top w:val="nil"/>
          <w:left w:val="nil"/>
          <w:bottom w:val="nil"/>
          <w:right w:val="nil"/>
          <w:between w:val="nil"/>
        </w:pBdr>
        <w:spacing w:line="240" w:lineRule="auto"/>
        <w:jc w:val="both"/>
        <w:rPr>
          <w:color w:val="000000"/>
          <w:sz w:val="24"/>
          <w:szCs w:val="24"/>
        </w:rPr>
      </w:pPr>
    </w:p>
    <w:p w14:paraId="0000006C" w14:textId="77777777" w:rsidR="007405B9" w:rsidRDefault="00000000">
      <w:pPr>
        <w:pBdr>
          <w:top w:val="nil"/>
          <w:left w:val="nil"/>
          <w:bottom w:val="nil"/>
          <w:right w:val="nil"/>
          <w:between w:val="nil"/>
        </w:pBdr>
        <w:spacing w:line="240" w:lineRule="auto"/>
        <w:jc w:val="both"/>
        <w:rPr>
          <w:color w:val="000000"/>
          <w:sz w:val="24"/>
          <w:szCs w:val="24"/>
        </w:rPr>
      </w:pPr>
      <w:r>
        <w:rPr>
          <w:color w:val="000000"/>
          <w:sz w:val="24"/>
          <w:szCs w:val="24"/>
        </w:rPr>
        <w:t xml:space="preserve">FERREIRA JÚNIOR, L.G.; SILVA, F.M.; FERREIRA, D.D.; SALES, R.S. Recomendação para colheita mecânica do café baseado no comportamento de vibração das hastes derriçadoras. </w:t>
      </w:r>
      <w:r>
        <w:rPr>
          <w:b/>
          <w:color w:val="000000"/>
          <w:sz w:val="24"/>
          <w:szCs w:val="24"/>
        </w:rPr>
        <w:t>Ciência</w:t>
      </w:r>
      <w:r>
        <w:rPr>
          <w:color w:val="000000"/>
          <w:sz w:val="24"/>
          <w:szCs w:val="24"/>
        </w:rPr>
        <w:t xml:space="preserve"> </w:t>
      </w:r>
      <w:r>
        <w:rPr>
          <w:b/>
          <w:color w:val="000000"/>
          <w:sz w:val="24"/>
          <w:szCs w:val="24"/>
        </w:rPr>
        <w:t>Rural</w:t>
      </w:r>
      <w:r>
        <w:rPr>
          <w:color w:val="000000"/>
          <w:sz w:val="24"/>
          <w:szCs w:val="24"/>
        </w:rPr>
        <w:t>, v. 46, n. 2, p. 273-278, 2016.</w:t>
      </w:r>
    </w:p>
    <w:p w14:paraId="0000006D" w14:textId="77777777" w:rsidR="007405B9" w:rsidRDefault="007405B9">
      <w:pPr>
        <w:pBdr>
          <w:top w:val="nil"/>
          <w:left w:val="nil"/>
          <w:bottom w:val="nil"/>
          <w:right w:val="nil"/>
          <w:between w:val="nil"/>
        </w:pBdr>
        <w:spacing w:line="240" w:lineRule="auto"/>
        <w:jc w:val="both"/>
        <w:rPr>
          <w:color w:val="000000"/>
          <w:sz w:val="24"/>
          <w:szCs w:val="24"/>
        </w:rPr>
      </w:pPr>
    </w:p>
    <w:p w14:paraId="0000006E" w14:textId="77777777" w:rsidR="007405B9" w:rsidRDefault="00000000">
      <w:pPr>
        <w:pBdr>
          <w:top w:val="nil"/>
          <w:left w:val="nil"/>
          <w:bottom w:val="nil"/>
          <w:right w:val="nil"/>
          <w:between w:val="nil"/>
        </w:pBdr>
        <w:spacing w:line="240" w:lineRule="auto"/>
        <w:jc w:val="both"/>
        <w:rPr>
          <w:color w:val="000000"/>
          <w:sz w:val="24"/>
          <w:szCs w:val="24"/>
        </w:rPr>
      </w:pPr>
      <w:bookmarkStart w:id="18" w:name="bookmark=id.z337ya" w:colFirst="0" w:colLast="0"/>
      <w:bookmarkEnd w:id="18"/>
      <w:r>
        <w:rPr>
          <w:color w:val="000000"/>
          <w:sz w:val="24"/>
          <w:szCs w:val="24"/>
        </w:rPr>
        <w:t xml:space="preserve">FLORENZANO, T.G. </w:t>
      </w:r>
      <w:r>
        <w:rPr>
          <w:b/>
          <w:color w:val="000000"/>
          <w:sz w:val="24"/>
          <w:szCs w:val="24"/>
        </w:rPr>
        <w:t>Introdução à geomorfologia</w:t>
      </w:r>
      <w:r>
        <w:rPr>
          <w:color w:val="000000"/>
          <w:sz w:val="24"/>
          <w:szCs w:val="24"/>
        </w:rPr>
        <w:t>: conceitos e tecnologias atuais. São Paulo: Oficina de textos, 2008. p. 11-30.</w:t>
      </w:r>
    </w:p>
    <w:p w14:paraId="0000006F" w14:textId="77777777" w:rsidR="007405B9" w:rsidRDefault="007405B9">
      <w:pPr>
        <w:pBdr>
          <w:top w:val="nil"/>
          <w:left w:val="nil"/>
          <w:bottom w:val="nil"/>
          <w:right w:val="nil"/>
          <w:between w:val="nil"/>
        </w:pBdr>
        <w:spacing w:line="240" w:lineRule="auto"/>
        <w:jc w:val="both"/>
        <w:rPr>
          <w:color w:val="000000"/>
          <w:sz w:val="24"/>
          <w:szCs w:val="24"/>
        </w:rPr>
      </w:pPr>
    </w:p>
    <w:p w14:paraId="00000070" w14:textId="77777777" w:rsidR="007405B9" w:rsidRDefault="00000000">
      <w:pPr>
        <w:spacing w:line="240" w:lineRule="auto"/>
        <w:jc w:val="both"/>
        <w:rPr>
          <w:sz w:val="24"/>
          <w:szCs w:val="24"/>
        </w:rPr>
      </w:pPr>
      <w:bookmarkStart w:id="19" w:name="bookmark=id.3j2qqm3" w:colFirst="0" w:colLast="0"/>
      <w:bookmarkEnd w:id="19"/>
      <w:r>
        <w:rPr>
          <w:color w:val="000000"/>
          <w:sz w:val="24"/>
          <w:szCs w:val="24"/>
        </w:rPr>
        <w:t xml:space="preserve">GARCIA, Y.M.; CAMPOS, S.; TAGLIARINI, F.S.N.; CAMPOS, M.; RODRIGUES, B.T. Declividade e potencial para mecanização agrícola da bacia hidrográfica do Ribeirão Pederneiras - Pederneiras/SP. </w:t>
      </w:r>
      <w:r>
        <w:rPr>
          <w:b/>
          <w:color w:val="000000"/>
          <w:sz w:val="24"/>
          <w:szCs w:val="24"/>
        </w:rPr>
        <w:t>Revista Brasileira de Engenharia de Biossistemas</w:t>
      </w:r>
      <w:r>
        <w:rPr>
          <w:color w:val="000000"/>
          <w:sz w:val="24"/>
          <w:szCs w:val="24"/>
        </w:rPr>
        <w:t xml:space="preserve">, v. 14, n. 1, p. 62-72, 31 mar. 2020. Universidade Estadual Paulista - Campus de Tupa. </w:t>
      </w:r>
      <w:hyperlink r:id="rId11">
        <w:r>
          <w:rPr>
            <w:color w:val="000000"/>
            <w:sz w:val="24"/>
            <w:szCs w:val="24"/>
            <w:u w:val="single"/>
          </w:rPr>
          <w:t>http://dx.doi.org/10.18011/bioeng2020v14n1p62-72</w:t>
        </w:r>
      </w:hyperlink>
      <w:r>
        <w:rPr>
          <w:color w:val="000000"/>
          <w:sz w:val="24"/>
          <w:szCs w:val="24"/>
        </w:rPr>
        <w:t xml:space="preserve"> </w:t>
      </w:r>
    </w:p>
    <w:p w14:paraId="00000071" w14:textId="77777777" w:rsidR="007405B9" w:rsidRDefault="007405B9">
      <w:pPr>
        <w:spacing w:line="240" w:lineRule="auto"/>
        <w:jc w:val="both"/>
        <w:rPr>
          <w:sz w:val="24"/>
          <w:szCs w:val="24"/>
        </w:rPr>
      </w:pPr>
    </w:p>
    <w:p w14:paraId="00000072" w14:textId="77777777" w:rsidR="007405B9" w:rsidRDefault="00000000">
      <w:pPr>
        <w:pBdr>
          <w:top w:val="nil"/>
          <w:left w:val="nil"/>
          <w:bottom w:val="nil"/>
          <w:right w:val="nil"/>
          <w:between w:val="nil"/>
        </w:pBdr>
        <w:spacing w:line="240" w:lineRule="auto"/>
        <w:jc w:val="both"/>
        <w:rPr>
          <w:color w:val="000000"/>
          <w:sz w:val="24"/>
          <w:szCs w:val="24"/>
        </w:rPr>
      </w:pPr>
      <w:bookmarkStart w:id="20" w:name="bookmark=id.1y810tw" w:colFirst="0" w:colLast="0"/>
      <w:bookmarkEnd w:id="20"/>
      <w:r>
        <w:rPr>
          <w:color w:val="000000"/>
          <w:sz w:val="24"/>
          <w:szCs w:val="24"/>
        </w:rPr>
        <w:lastRenderedPageBreak/>
        <w:t xml:space="preserve">IBGE - INSTITUTO BRASILEIRO DE GEOGRAFIA E ESTATÍSTICA. </w:t>
      </w:r>
      <w:r>
        <w:rPr>
          <w:b/>
          <w:color w:val="000000"/>
          <w:sz w:val="24"/>
          <w:szCs w:val="24"/>
        </w:rPr>
        <w:t>Produção Agrícola Municipal</w:t>
      </w:r>
      <w:r>
        <w:rPr>
          <w:color w:val="000000"/>
          <w:sz w:val="24"/>
          <w:szCs w:val="24"/>
        </w:rPr>
        <w:t>: Culturas Temporárias e Permanentes. IBGE, 2022. Disponível em: &lt;https://www.ibge.gov.br/estatisticas/economicas/agricultura-e-pecuaria/9117-producao-agricola-municipal-culturas-temporarias-e-permanentes.html&gt;. Acesso em: 10 jul 2024.</w:t>
      </w:r>
    </w:p>
    <w:p w14:paraId="00000073" w14:textId="77777777" w:rsidR="007405B9" w:rsidRDefault="007405B9">
      <w:pPr>
        <w:pBdr>
          <w:top w:val="nil"/>
          <w:left w:val="nil"/>
          <w:bottom w:val="nil"/>
          <w:right w:val="nil"/>
          <w:between w:val="nil"/>
        </w:pBdr>
        <w:spacing w:line="240" w:lineRule="auto"/>
        <w:jc w:val="both"/>
        <w:rPr>
          <w:color w:val="000000"/>
          <w:sz w:val="24"/>
          <w:szCs w:val="24"/>
        </w:rPr>
      </w:pPr>
    </w:p>
    <w:p w14:paraId="00000074" w14:textId="77777777" w:rsidR="007405B9" w:rsidRDefault="00000000">
      <w:pPr>
        <w:spacing w:line="240" w:lineRule="auto"/>
        <w:jc w:val="both"/>
        <w:rPr>
          <w:color w:val="000000"/>
          <w:sz w:val="24"/>
          <w:szCs w:val="24"/>
        </w:rPr>
      </w:pPr>
      <w:bookmarkStart w:id="21" w:name="bookmark=id.4i7ojhp" w:colFirst="0" w:colLast="0"/>
      <w:bookmarkEnd w:id="21"/>
      <w:r>
        <w:rPr>
          <w:color w:val="000000"/>
          <w:sz w:val="24"/>
          <w:szCs w:val="24"/>
        </w:rPr>
        <w:t xml:space="preserve">MUELLER, L.; SCHINDLER, U.; MIRSCHEL, W.; SHEPHERD, R.B.; BALL, B.C.; HELMING, K.; ROGASIK, J.; EULENSTEIN, F.; WIGGERING, H. Assessing the productivity function of soils: a review. </w:t>
      </w:r>
      <w:r>
        <w:rPr>
          <w:b/>
          <w:color w:val="000000"/>
          <w:sz w:val="24"/>
          <w:szCs w:val="24"/>
        </w:rPr>
        <w:t>Agronomy for Sustainable Development</w:t>
      </w:r>
      <w:r>
        <w:rPr>
          <w:color w:val="000000"/>
          <w:sz w:val="24"/>
          <w:szCs w:val="24"/>
        </w:rPr>
        <w:t xml:space="preserve">, Paris, v. 30, p. 601-604, 2010. </w:t>
      </w:r>
    </w:p>
    <w:p w14:paraId="00000075" w14:textId="77777777" w:rsidR="007405B9" w:rsidRDefault="007405B9">
      <w:pPr>
        <w:pBdr>
          <w:top w:val="nil"/>
          <w:left w:val="nil"/>
          <w:bottom w:val="nil"/>
          <w:right w:val="nil"/>
          <w:between w:val="nil"/>
        </w:pBdr>
        <w:spacing w:line="240" w:lineRule="auto"/>
        <w:jc w:val="both"/>
        <w:rPr>
          <w:color w:val="000000"/>
          <w:sz w:val="24"/>
          <w:szCs w:val="24"/>
        </w:rPr>
      </w:pPr>
    </w:p>
    <w:p w14:paraId="00000076" w14:textId="77777777" w:rsidR="007405B9" w:rsidRDefault="00000000">
      <w:pPr>
        <w:spacing w:line="240" w:lineRule="auto"/>
        <w:jc w:val="both"/>
        <w:rPr>
          <w:color w:val="000000"/>
          <w:sz w:val="24"/>
          <w:szCs w:val="24"/>
        </w:rPr>
      </w:pPr>
      <w:bookmarkStart w:id="22" w:name="bookmark=id.2xcytpi" w:colFirst="0" w:colLast="0"/>
      <w:bookmarkEnd w:id="22"/>
      <w:r>
        <w:rPr>
          <w:color w:val="000000"/>
          <w:sz w:val="24"/>
          <w:szCs w:val="24"/>
        </w:rPr>
        <w:t xml:space="preserve">OLIVEIRA, E.; SILVA, F.M.; SALVADOR, N.; FIGUEIREDO, C.A.P. Influência da vibração das hastes e da velocidade de deslocamento da colhedora no processo de colheita mecanizada do café. </w:t>
      </w:r>
      <w:r>
        <w:rPr>
          <w:b/>
          <w:color w:val="000000"/>
          <w:sz w:val="24"/>
          <w:szCs w:val="24"/>
        </w:rPr>
        <w:t>Engenharia</w:t>
      </w:r>
      <w:r>
        <w:rPr>
          <w:color w:val="000000"/>
          <w:sz w:val="24"/>
          <w:szCs w:val="24"/>
        </w:rPr>
        <w:t xml:space="preserve"> </w:t>
      </w:r>
      <w:r>
        <w:rPr>
          <w:b/>
          <w:color w:val="000000"/>
          <w:sz w:val="24"/>
          <w:szCs w:val="24"/>
        </w:rPr>
        <w:t>Agrícola</w:t>
      </w:r>
      <w:r>
        <w:rPr>
          <w:color w:val="000000"/>
          <w:sz w:val="24"/>
          <w:szCs w:val="24"/>
        </w:rPr>
        <w:t>, v. 27, n. 3, p. 714-721, 2007.</w:t>
      </w:r>
    </w:p>
    <w:p w14:paraId="00000077" w14:textId="77777777" w:rsidR="007405B9" w:rsidRDefault="007405B9">
      <w:pPr>
        <w:spacing w:line="240" w:lineRule="auto"/>
        <w:jc w:val="both"/>
        <w:rPr>
          <w:sz w:val="24"/>
          <w:szCs w:val="24"/>
        </w:rPr>
      </w:pPr>
    </w:p>
    <w:p w14:paraId="00000078" w14:textId="77777777" w:rsidR="007405B9" w:rsidRDefault="00000000">
      <w:pPr>
        <w:spacing w:line="240" w:lineRule="auto"/>
        <w:jc w:val="both"/>
        <w:rPr>
          <w:sz w:val="24"/>
          <w:szCs w:val="24"/>
        </w:rPr>
      </w:pPr>
      <w:r>
        <w:rPr>
          <w:color w:val="000000"/>
          <w:sz w:val="24"/>
          <w:szCs w:val="24"/>
        </w:rPr>
        <w:t xml:space="preserve">PORTUGAL, F.A.; SILVEIRA, J.M. </w:t>
      </w:r>
      <w:r>
        <w:rPr>
          <w:b/>
          <w:color w:val="000000"/>
          <w:sz w:val="24"/>
          <w:szCs w:val="24"/>
        </w:rPr>
        <w:t>Soja</w:t>
      </w:r>
      <w:r>
        <w:rPr>
          <w:color w:val="000000"/>
          <w:sz w:val="24"/>
          <w:szCs w:val="24"/>
        </w:rPr>
        <w:t xml:space="preserve">: fatores que afetam a colheita. Agência Embapa de Informação Tecnológica, 2021. Disponível em: &lt;https://www.embrapa.br/agencia-de-informacao-tecnologica/cultivos/soja/producao/colheita/fatores-que-afetam-a-colheita&gt;. Acesso em: 10 jul. 2024. </w:t>
      </w:r>
    </w:p>
    <w:p w14:paraId="00000079" w14:textId="77777777" w:rsidR="007405B9" w:rsidRDefault="007405B9">
      <w:pPr>
        <w:spacing w:line="240" w:lineRule="auto"/>
        <w:jc w:val="both"/>
        <w:rPr>
          <w:sz w:val="24"/>
          <w:szCs w:val="24"/>
        </w:rPr>
      </w:pPr>
    </w:p>
    <w:p w14:paraId="0000007A" w14:textId="77777777" w:rsidR="007405B9" w:rsidRDefault="00000000">
      <w:pPr>
        <w:pBdr>
          <w:top w:val="nil"/>
          <w:left w:val="nil"/>
          <w:bottom w:val="nil"/>
          <w:right w:val="nil"/>
          <w:between w:val="nil"/>
        </w:pBdr>
        <w:spacing w:line="240" w:lineRule="auto"/>
        <w:jc w:val="both"/>
        <w:rPr>
          <w:color w:val="000000"/>
          <w:sz w:val="24"/>
          <w:szCs w:val="24"/>
        </w:rPr>
      </w:pPr>
      <w:bookmarkStart w:id="23" w:name="bookmark=id.1ci93xb" w:colFirst="0" w:colLast="0"/>
      <w:bookmarkEnd w:id="23"/>
      <w:r>
        <w:rPr>
          <w:color w:val="000000"/>
          <w:sz w:val="24"/>
          <w:szCs w:val="24"/>
        </w:rPr>
        <w:t xml:space="preserve">SANTA CATARINA. SECRETARIA DE ESTADO DO DESENVOLVIMENTO ECONÔMICO SUSTENTÁVEL. </w:t>
      </w:r>
      <w:r>
        <w:rPr>
          <w:b/>
          <w:color w:val="000000"/>
          <w:sz w:val="24"/>
          <w:szCs w:val="24"/>
        </w:rPr>
        <w:t>Metadados para compor as informações contidas na plataforma do SIGSC</w:t>
      </w:r>
      <w:r>
        <w:rPr>
          <w:color w:val="000000"/>
          <w:sz w:val="24"/>
          <w:szCs w:val="24"/>
        </w:rPr>
        <w:t>: Modelo Digital do Terreno (MDT) do estado de Santa Catarina. Sistema de Informações Geográficas de Santa Catarina, 2016. Disponível em &lt;https://sigsc.sc.gov.br/documentacao.html&gt;. Acesso em: 22 jul. 2024.</w:t>
      </w:r>
    </w:p>
    <w:p w14:paraId="0000007B" w14:textId="77777777" w:rsidR="007405B9" w:rsidRDefault="007405B9">
      <w:pPr>
        <w:pBdr>
          <w:top w:val="nil"/>
          <w:left w:val="nil"/>
          <w:bottom w:val="nil"/>
          <w:right w:val="nil"/>
          <w:between w:val="nil"/>
        </w:pBdr>
        <w:spacing w:line="240" w:lineRule="auto"/>
        <w:jc w:val="both"/>
        <w:rPr>
          <w:color w:val="000000"/>
          <w:sz w:val="24"/>
          <w:szCs w:val="24"/>
        </w:rPr>
      </w:pPr>
    </w:p>
    <w:p w14:paraId="0000007C" w14:textId="77777777" w:rsidR="007405B9" w:rsidRDefault="00000000">
      <w:pPr>
        <w:pBdr>
          <w:top w:val="nil"/>
          <w:left w:val="nil"/>
          <w:bottom w:val="nil"/>
          <w:right w:val="nil"/>
          <w:between w:val="nil"/>
        </w:pBdr>
        <w:spacing w:line="240" w:lineRule="auto"/>
        <w:jc w:val="both"/>
        <w:rPr>
          <w:color w:val="000000"/>
          <w:sz w:val="24"/>
          <w:szCs w:val="24"/>
        </w:rPr>
      </w:pPr>
      <w:r>
        <w:rPr>
          <w:color w:val="000000"/>
          <w:sz w:val="24"/>
          <w:szCs w:val="24"/>
        </w:rPr>
        <w:t xml:space="preserve">SOUZA, R.S. </w:t>
      </w:r>
      <w:r>
        <w:rPr>
          <w:b/>
          <w:color w:val="000000"/>
          <w:sz w:val="24"/>
          <w:szCs w:val="24"/>
        </w:rPr>
        <w:t>Economia política do meio ambiente</w:t>
      </w:r>
      <w:r>
        <w:rPr>
          <w:color w:val="000000"/>
          <w:sz w:val="24"/>
          <w:szCs w:val="24"/>
        </w:rPr>
        <w:t>. Pelotas: Educat, 1998.</w:t>
      </w:r>
    </w:p>
    <w:p w14:paraId="0000007D" w14:textId="77777777" w:rsidR="007405B9" w:rsidRDefault="007405B9">
      <w:pPr>
        <w:widowControl w:val="0"/>
        <w:pBdr>
          <w:top w:val="nil"/>
          <w:left w:val="nil"/>
          <w:bottom w:val="nil"/>
          <w:right w:val="nil"/>
          <w:between w:val="nil"/>
        </w:pBdr>
        <w:spacing w:line="240" w:lineRule="auto"/>
        <w:jc w:val="both"/>
        <w:rPr>
          <w:color w:val="000000"/>
          <w:sz w:val="24"/>
          <w:szCs w:val="24"/>
        </w:rPr>
      </w:pPr>
    </w:p>
    <w:sectPr w:rsidR="007405B9">
      <w:headerReference w:type="even" r:id="rId12"/>
      <w:headerReference w:type="default" r:id="rId13"/>
      <w:footerReference w:type="even" r:id="rId14"/>
      <w:footerReference w:type="default" r:id="rId15"/>
      <w:headerReference w:type="first" r:id="rId16"/>
      <w:footerReference w:type="first" r:id="rId17"/>
      <w:pgSz w:w="11906" w:h="16838"/>
      <w:pgMar w:top="1700" w:right="1133" w:bottom="1133"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9125A" w14:textId="77777777" w:rsidR="00AA249F" w:rsidRDefault="00AA249F">
      <w:pPr>
        <w:spacing w:line="240" w:lineRule="auto"/>
      </w:pPr>
      <w:r>
        <w:separator/>
      </w:r>
    </w:p>
  </w:endnote>
  <w:endnote w:type="continuationSeparator" w:id="0">
    <w:p w14:paraId="1AFB3D41" w14:textId="77777777" w:rsidR="00AA249F" w:rsidRDefault="00AA24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panose1 w:val="00000000000000000000"/>
    <w:charset w:val="00"/>
    <w:family w:val="roman"/>
    <w:notTrueType/>
    <w:pitch w:val="default"/>
  </w:font>
  <w:font w:name="Segoe UI">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3" w14:textId="77777777" w:rsidR="007405B9" w:rsidRDefault="007405B9">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4" w14:textId="71CB39BE" w:rsidR="007405B9" w:rsidRDefault="00000000">
    <w:pPr>
      <w:jc w:val="right"/>
    </w:pPr>
    <w:r>
      <w:fldChar w:fldCharType="begin"/>
    </w:r>
    <w:r>
      <w:instrText>PAGE</w:instrText>
    </w:r>
    <w:r>
      <w:fldChar w:fldCharType="separate"/>
    </w:r>
    <w:r w:rsidR="00A92C19">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5" w14:textId="77777777" w:rsidR="007405B9"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C743D" w14:textId="77777777" w:rsidR="00AA249F" w:rsidRDefault="00AA249F">
      <w:pPr>
        <w:spacing w:line="240" w:lineRule="auto"/>
      </w:pPr>
      <w:r>
        <w:separator/>
      </w:r>
    </w:p>
  </w:footnote>
  <w:footnote w:type="continuationSeparator" w:id="0">
    <w:p w14:paraId="37A1B67B" w14:textId="77777777" w:rsidR="00AA249F" w:rsidRDefault="00AA24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E" w14:textId="77777777" w:rsidR="007405B9" w:rsidRDefault="007405B9">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F" w14:textId="77777777" w:rsidR="007405B9" w:rsidRDefault="00000000">
    <w:r>
      <w:rPr>
        <w:noProof/>
      </w:rPr>
      <w:drawing>
        <wp:inline distT="0" distB="0" distL="0" distR="0">
          <wp:extent cx="5753100" cy="18669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753100" cy="1866900"/>
                  </a:xfrm>
                  <a:prstGeom prst="rect">
                    <a:avLst/>
                  </a:prstGeom>
                  <a:ln/>
                </pic:spPr>
              </pic:pic>
            </a:graphicData>
          </a:graphic>
        </wp:inline>
      </w:drawing>
    </w:r>
  </w:p>
  <w:p w14:paraId="00000080" w14:textId="77777777" w:rsidR="007405B9" w:rsidRDefault="007405B9">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1" w14:textId="77777777" w:rsidR="007405B9" w:rsidRDefault="00000000">
    <w:r>
      <w:rPr>
        <w:noProof/>
      </w:rPr>
      <w:drawing>
        <wp:inline distT="0" distB="0" distL="0" distR="0">
          <wp:extent cx="5753100" cy="18669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753100" cy="1866900"/>
                  </a:xfrm>
                  <a:prstGeom prst="rect">
                    <a:avLst/>
                  </a:prstGeom>
                  <a:ln/>
                </pic:spPr>
              </pic:pic>
            </a:graphicData>
          </a:graphic>
        </wp:inline>
      </w:drawing>
    </w:r>
  </w:p>
  <w:p w14:paraId="00000082" w14:textId="77777777" w:rsidR="007405B9" w:rsidRDefault="007405B9">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5B9"/>
    <w:rsid w:val="001D03C9"/>
    <w:rsid w:val="007405B9"/>
    <w:rsid w:val="00A92C19"/>
    <w:rsid w:val="00AA249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E8258"/>
  <w15:docId w15:val="{9FC394D6-2603-4D18-98AF-B8AB72434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PT"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CE4"/>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Corpodetexto"/>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character" w:customStyle="1" w:styleId="CabealhoChar">
    <w:name w:val="Cabeçalho Char"/>
    <w:basedOn w:val="Fontepargpadro"/>
    <w:link w:val="Cabealho"/>
    <w:uiPriority w:val="99"/>
    <w:qFormat/>
    <w:rsid w:val="002E54F1"/>
  </w:style>
  <w:style w:type="character" w:customStyle="1" w:styleId="RodapChar">
    <w:name w:val="Rodapé Char"/>
    <w:basedOn w:val="Fontepargpadro"/>
    <w:link w:val="Rodap"/>
    <w:uiPriority w:val="99"/>
    <w:qFormat/>
    <w:rsid w:val="002E54F1"/>
  </w:style>
  <w:style w:type="character" w:customStyle="1" w:styleId="CorpodetextoChar">
    <w:name w:val="Corpo de texto Char"/>
    <w:basedOn w:val="Fontepargpadro"/>
    <w:link w:val="Corpodetexto"/>
    <w:uiPriority w:val="1"/>
    <w:qFormat/>
    <w:rsid w:val="00A273D5"/>
    <w:rPr>
      <w:rFonts w:ascii="Arial MT" w:eastAsia="Arial MT" w:hAnsi="Arial MT" w:cs="Arial MT"/>
      <w:sz w:val="24"/>
      <w:szCs w:val="24"/>
      <w:lang w:val="pt-PT" w:eastAsia="en-US"/>
    </w:rPr>
  </w:style>
  <w:style w:type="character" w:customStyle="1" w:styleId="TextodebaloChar">
    <w:name w:val="Texto de balão Char"/>
    <w:basedOn w:val="Fontepargpadro"/>
    <w:link w:val="Textodebalo"/>
    <w:uiPriority w:val="99"/>
    <w:semiHidden/>
    <w:qFormat/>
    <w:rsid w:val="00E10322"/>
    <w:rPr>
      <w:rFonts w:ascii="Segoe UI" w:hAnsi="Segoe UI" w:cs="Segoe UI"/>
      <w:sz w:val="18"/>
      <w:szCs w:val="18"/>
    </w:rPr>
  </w:style>
  <w:style w:type="character" w:customStyle="1" w:styleId="InternetLink">
    <w:name w:val="Internet Link"/>
    <w:qFormat/>
    <w:rPr>
      <w:color w:val="000080"/>
      <w:u w:val="single"/>
    </w:rPr>
  </w:style>
  <w:style w:type="character" w:styleId="Hyperlink">
    <w:name w:val="Hyperlink"/>
    <w:rPr>
      <w:color w:val="000080"/>
      <w:u w:val="single"/>
    </w:rPr>
  </w:style>
  <w:style w:type="character" w:styleId="Forte">
    <w:name w:val="Strong"/>
    <w:qFormat/>
    <w:rPr>
      <w:b/>
      <w:bCs/>
    </w:rPr>
  </w:style>
  <w:style w:type="paragraph" w:styleId="Corpodetexto">
    <w:name w:val="Body Text"/>
    <w:basedOn w:val="Normal"/>
    <w:link w:val="CorpodetextoChar"/>
    <w:uiPriority w:val="1"/>
    <w:qFormat/>
    <w:rsid w:val="00A273D5"/>
    <w:pPr>
      <w:widowControl w:val="0"/>
      <w:spacing w:line="240" w:lineRule="auto"/>
    </w:pPr>
    <w:rPr>
      <w:rFonts w:ascii="Arial MT" w:eastAsia="Arial MT" w:hAnsi="Arial MT" w:cs="Arial MT"/>
      <w:sz w:val="24"/>
      <w:szCs w:val="24"/>
      <w:lang w:eastAsia="en-US"/>
    </w:rPr>
  </w:style>
  <w:style w:type="paragraph" w:styleId="Lista">
    <w:name w:val="List"/>
    <w:basedOn w:val="Corpodetexto"/>
    <w:rPr>
      <w:rFonts w:cs="Arial"/>
    </w:rPr>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styleId="Subttulo">
    <w:name w:val="Subtitle"/>
    <w:basedOn w:val="Normal"/>
    <w:next w:val="Normal"/>
    <w:uiPriority w:val="11"/>
    <w:qFormat/>
    <w:pPr>
      <w:keepNext/>
      <w:keepLines/>
      <w:spacing w:after="320"/>
    </w:pPr>
    <w:rPr>
      <w:color w:val="666666"/>
      <w:sz w:val="30"/>
      <w:szCs w:val="30"/>
    </w:rPr>
  </w:style>
  <w:style w:type="paragraph" w:styleId="PargrafodaLista">
    <w:name w:val="List Paragraph"/>
    <w:basedOn w:val="Normal"/>
    <w:uiPriority w:val="34"/>
    <w:qFormat/>
    <w:rsid w:val="00EC3A44"/>
    <w:pPr>
      <w:ind w:left="720"/>
      <w:contextualSpacing/>
    </w:p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2E54F1"/>
    <w:pPr>
      <w:tabs>
        <w:tab w:val="center" w:pos="4252"/>
        <w:tab w:val="right" w:pos="8504"/>
      </w:tabs>
      <w:spacing w:line="240" w:lineRule="auto"/>
    </w:pPr>
  </w:style>
  <w:style w:type="paragraph" w:styleId="Rodap">
    <w:name w:val="footer"/>
    <w:basedOn w:val="Normal"/>
    <w:link w:val="RodapChar"/>
    <w:uiPriority w:val="99"/>
    <w:unhideWhenUsed/>
    <w:rsid w:val="002E54F1"/>
    <w:pPr>
      <w:tabs>
        <w:tab w:val="center" w:pos="4252"/>
        <w:tab w:val="right" w:pos="8504"/>
      </w:tabs>
      <w:spacing w:line="240" w:lineRule="auto"/>
    </w:pPr>
  </w:style>
  <w:style w:type="paragraph" w:customStyle="1" w:styleId="TableParagraph">
    <w:name w:val="Table Paragraph"/>
    <w:basedOn w:val="Normal"/>
    <w:uiPriority w:val="1"/>
    <w:qFormat/>
    <w:rsid w:val="00A273D5"/>
    <w:pPr>
      <w:widowControl w:val="0"/>
      <w:spacing w:before="54" w:line="240" w:lineRule="auto"/>
      <w:jc w:val="center"/>
    </w:pPr>
    <w:rPr>
      <w:rFonts w:ascii="Arial MT" w:eastAsia="Arial MT" w:hAnsi="Arial MT" w:cs="Arial MT"/>
      <w:lang w:eastAsia="en-US"/>
    </w:rPr>
  </w:style>
  <w:style w:type="paragraph" w:styleId="Textodebalo">
    <w:name w:val="Balloon Text"/>
    <w:basedOn w:val="Normal"/>
    <w:link w:val="TextodebaloChar"/>
    <w:uiPriority w:val="99"/>
    <w:semiHidden/>
    <w:unhideWhenUsed/>
    <w:qFormat/>
    <w:rsid w:val="00E10322"/>
    <w:pPr>
      <w:spacing w:line="240" w:lineRule="auto"/>
    </w:pPr>
    <w:rPr>
      <w:rFonts w:ascii="Segoe UI" w:hAnsi="Segoe UI" w:cs="Segoe UI"/>
      <w:sz w:val="18"/>
      <w:szCs w:val="18"/>
    </w:r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table" w:customStyle="1" w:styleId="TableNormal1">
    <w:name w:val="Table Normal"/>
    <w:uiPriority w:val="2"/>
    <w:qFormat/>
    <w:tblPr>
      <w:tblCellMar>
        <w:top w:w="0" w:type="dxa"/>
        <w:left w:w="0" w:type="dxa"/>
        <w:bottom w:w="0" w:type="dxa"/>
        <w:right w:w="0" w:type="dxa"/>
      </w:tblCellMar>
    </w:tblPr>
  </w:style>
  <w:style w:type="character" w:styleId="Refdecomentrio">
    <w:name w:val="annotation reference"/>
    <w:basedOn w:val="Fontepargpadro"/>
    <w:uiPriority w:val="99"/>
    <w:semiHidden/>
    <w:unhideWhenUsed/>
    <w:rsid w:val="00F50572"/>
    <w:rPr>
      <w:sz w:val="16"/>
      <w:szCs w:val="16"/>
    </w:rPr>
  </w:style>
  <w:style w:type="paragraph" w:styleId="Textodecomentrio">
    <w:name w:val="annotation text"/>
    <w:basedOn w:val="Normal"/>
    <w:link w:val="TextodecomentrioChar"/>
    <w:uiPriority w:val="99"/>
    <w:unhideWhenUsed/>
    <w:rsid w:val="00F50572"/>
    <w:pPr>
      <w:spacing w:line="240" w:lineRule="auto"/>
    </w:pPr>
    <w:rPr>
      <w:sz w:val="20"/>
      <w:szCs w:val="20"/>
    </w:rPr>
  </w:style>
  <w:style w:type="character" w:customStyle="1" w:styleId="TextodecomentrioChar">
    <w:name w:val="Texto de comentário Char"/>
    <w:basedOn w:val="Fontepargpadro"/>
    <w:link w:val="Textodecomentrio"/>
    <w:uiPriority w:val="99"/>
    <w:rsid w:val="00F50572"/>
    <w:rPr>
      <w:sz w:val="20"/>
      <w:szCs w:val="20"/>
    </w:rPr>
  </w:style>
  <w:style w:type="paragraph" w:styleId="Assuntodocomentrio">
    <w:name w:val="annotation subject"/>
    <w:basedOn w:val="Textodecomentrio"/>
    <w:next w:val="Textodecomentrio"/>
    <w:link w:val="AssuntodocomentrioChar"/>
    <w:uiPriority w:val="99"/>
    <w:semiHidden/>
    <w:unhideWhenUsed/>
    <w:rsid w:val="00F50572"/>
    <w:rPr>
      <w:b/>
      <w:bCs/>
    </w:rPr>
  </w:style>
  <w:style w:type="character" w:customStyle="1" w:styleId="AssuntodocomentrioChar">
    <w:name w:val="Assunto do comentário Char"/>
    <w:basedOn w:val="TextodecomentrioChar"/>
    <w:link w:val="Assuntodocomentrio"/>
    <w:uiPriority w:val="99"/>
    <w:semiHidden/>
    <w:rsid w:val="00F50572"/>
    <w:rPr>
      <w:b/>
      <w:bCs/>
      <w:sz w:val="20"/>
      <w:szCs w:val="20"/>
    </w:rPr>
  </w:style>
  <w:style w:type="table" w:customStyle="1" w:styleId="a">
    <w:basedOn w:val="TableNormal1"/>
    <w:tblPr>
      <w:tblStyleRowBandSize w:val="1"/>
      <w:tblStyleColBandSize w:val="1"/>
      <w:tblCellMar>
        <w:top w:w="40" w:type="dxa"/>
        <w:bottom w:w="40" w:type="dxa"/>
      </w:tblCellMar>
    </w:tblPr>
  </w:style>
  <w:style w:type="character" w:styleId="MenoPendente">
    <w:name w:val="Unresolved Mention"/>
    <w:basedOn w:val="Fontepargpadro"/>
    <w:uiPriority w:val="99"/>
    <w:semiHidden/>
    <w:unhideWhenUsed/>
    <w:rsid w:val="003C7391"/>
    <w:rPr>
      <w:color w:val="605E5C"/>
      <w:shd w:val="clear" w:color="auto" w:fill="E1DFDD"/>
    </w:rPr>
  </w:style>
  <w:style w:type="table" w:customStyle="1" w:styleId="a0">
    <w:basedOn w:val="TableNormal0"/>
    <w:tblPr>
      <w:tblStyleRowBandSize w:val="1"/>
      <w:tblStyleColBandSize w:val="1"/>
      <w:tblCellMar>
        <w:top w:w="40" w:type="dxa"/>
        <w:bottom w:w="4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x.doi.org/10.18011/bioeng2020v14n1p62-7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HiiXtZ8qiG5op1q+RCzhZF2xww==">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gAciExNWtzWlY4elRheGpILVFsek16bW1na2MzcUNEbHh2O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2227</Words>
  <Characters>12030</Characters>
  <Application>Microsoft Office Word</Application>
  <DocSecurity>0</DocSecurity>
  <Lines>100</Lines>
  <Paragraphs>28</Paragraphs>
  <ScaleCrop>false</ScaleCrop>
  <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dc:creator>
  <cp:lastModifiedBy>Edu Martins</cp:lastModifiedBy>
  <cp:revision>2</cp:revision>
  <dcterms:created xsi:type="dcterms:W3CDTF">2024-07-22T19:23:00Z</dcterms:created>
  <dcterms:modified xsi:type="dcterms:W3CDTF">2024-07-22T19:23:00Z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d62974cfcf60dd8d7c80ef103df6711f9daecdca44cf80bd62966a4f62f6ea5a</vt:lpwstr>
  </property>
</Properties>
</file>