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F" w:rsidRPr="0088424E" w:rsidRDefault="00DD15EF" w:rsidP="00DD15EF">
      <w:pPr>
        <w:tabs>
          <w:tab w:val="left" w:pos="3885"/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Abordagem clínica ao paciente com Isquemia Mesentérica</w:t>
      </w:r>
    </w:p>
    <w:p w:rsidR="00DD15EF" w:rsidRPr="0088424E" w:rsidRDefault="00DD15EF" w:rsidP="00DD15EF">
      <w:pPr>
        <w:tabs>
          <w:tab w:val="left" w:pos="3885"/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 xml:space="preserve">Szabo LV, Neto JT, Filho VEF, Roza MC, </w:t>
      </w:r>
      <w:proofErr w:type="spellStart"/>
      <w:r w:rsidRPr="0088424E">
        <w:rPr>
          <w:rFonts w:ascii="Arial" w:hAnsi="Arial" w:cs="Arial"/>
          <w:b/>
          <w:sz w:val="24"/>
          <w:szCs w:val="24"/>
        </w:rPr>
        <w:t>Sangirardi</w:t>
      </w:r>
      <w:proofErr w:type="spellEnd"/>
      <w:r w:rsidRPr="0088424E">
        <w:rPr>
          <w:rFonts w:ascii="Arial" w:hAnsi="Arial" w:cs="Arial"/>
          <w:b/>
          <w:sz w:val="24"/>
          <w:szCs w:val="24"/>
        </w:rPr>
        <w:t xml:space="preserve"> CAM, Peixoto LB, Antunes BMS</w:t>
      </w:r>
      <w:r w:rsidR="001E5B26">
        <w:rPr>
          <w:rFonts w:ascii="Arial" w:hAnsi="Arial" w:cs="Arial"/>
          <w:b/>
          <w:sz w:val="24"/>
          <w:szCs w:val="24"/>
        </w:rPr>
        <w:t>, Moreno CR</w:t>
      </w: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424E">
        <w:rPr>
          <w:rFonts w:ascii="Arial" w:hAnsi="Arial" w:cs="Arial"/>
          <w:b/>
          <w:bCs/>
          <w:sz w:val="24"/>
          <w:szCs w:val="24"/>
        </w:rPr>
        <w:t>Escola de Medicina Souza Marques</w:t>
      </w:r>
    </w:p>
    <w:p w:rsidR="00DD15EF" w:rsidRDefault="00DD15EF" w:rsidP="00DD15EF">
      <w:pPr>
        <w:tabs>
          <w:tab w:val="left" w:pos="3885"/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5B26" w:rsidRPr="001E5B26" w:rsidRDefault="001E5B26" w:rsidP="00DD15EF">
      <w:pPr>
        <w:tabs>
          <w:tab w:val="left" w:pos="3885"/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isquemia mesentérica, infarto mesentérico, artéria celíaca, artéria mesentérica, circulação mesentérica, abdome agudo, tratamento clínico</w:t>
      </w:r>
    </w:p>
    <w:p w:rsidR="00DD15EF" w:rsidRPr="0088424E" w:rsidRDefault="00DD15EF" w:rsidP="00DD15EF">
      <w:pPr>
        <w:tabs>
          <w:tab w:val="left" w:pos="3885"/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15EF" w:rsidRPr="0088424E" w:rsidRDefault="00DD15EF" w:rsidP="00DD15EF">
      <w:pPr>
        <w:tabs>
          <w:tab w:val="left" w:pos="3885"/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Introdução:</w:t>
      </w:r>
    </w:p>
    <w:p w:rsidR="00DD15EF" w:rsidRPr="0088424E" w:rsidRDefault="00DD15EF" w:rsidP="00DD15EF">
      <w:pPr>
        <w:tabs>
          <w:tab w:val="center" w:pos="4252"/>
          <w:tab w:val="left" w:pos="60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4E">
        <w:rPr>
          <w:rFonts w:ascii="Arial" w:hAnsi="Arial" w:cs="Arial"/>
          <w:sz w:val="24"/>
          <w:szCs w:val="24"/>
        </w:rPr>
        <w:t>Quando a perfusão dos principais órgãos irrigados pela circulação mesentérica (artéria celíaca, artéria mesentérica superior, artéria mesentérica inferior e ramos colaterais) é insuficiente para suprir suas necessidades metabólicas, ocorre a isquemia mesentérica (IM). Sua incidência é maior em indivíduos idosos e naqueles com algum transtorno cardiovascular prévio, como fibrilação atrial. A colite isquêmica é o tipo mais comum dessa entidade.</w:t>
      </w:r>
      <w:r>
        <w:rPr>
          <w:rFonts w:ascii="Arial" w:hAnsi="Arial" w:cs="Arial"/>
          <w:sz w:val="24"/>
          <w:szCs w:val="24"/>
        </w:rPr>
        <w:t xml:space="preserve"> O conhecimento da abordagem clínica é fundamental para melhor manejo inicial e prognóstico.</w:t>
      </w: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Métodos:</w:t>
      </w: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4E">
        <w:rPr>
          <w:rFonts w:ascii="Arial" w:hAnsi="Arial" w:cs="Arial"/>
          <w:sz w:val="24"/>
          <w:szCs w:val="24"/>
        </w:rPr>
        <w:t xml:space="preserve">Revisão de literatura. Artigos selecionados em busca nos bancos de dados do </w:t>
      </w:r>
      <w:proofErr w:type="spellStart"/>
      <w:r w:rsidRPr="0088424E">
        <w:rPr>
          <w:rFonts w:ascii="Arial" w:hAnsi="Arial" w:cs="Arial"/>
          <w:sz w:val="24"/>
          <w:szCs w:val="24"/>
        </w:rPr>
        <w:t>Scielo</w:t>
      </w:r>
      <w:proofErr w:type="spellEnd"/>
      <w:r w:rsidRPr="0088424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8424E">
        <w:rPr>
          <w:rFonts w:ascii="Arial" w:hAnsi="Arial" w:cs="Arial"/>
          <w:sz w:val="24"/>
          <w:szCs w:val="24"/>
        </w:rPr>
        <w:t>PubMed</w:t>
      </w:r>
      <w:proofErr w:type="spellEnd"/>
      <w:r w:rsidRPr="0088424E">
        <w:rPr>
          <w:rFonts w:ascii="Arial" w:hAnsi="Arial" w:cs="Arial"/>
          <w:sz w:val="24"/>
          <w:szCs w:val="24"/>
        </w:rPr>
        <w:t xml:space="preserve">. A pesquisa foi realizada de Abril a Junho de </w:t>
      </w:r>
      <w:r>
        <w:rPr>
          <w:rFonts w:ascii="Arial" w:hAnsi="Arial" w:cs="Arial"/>
          <w:sz w:val="24"/>
          <w:szCs w:val="24"/>
        </w:rPr>
        <w:t>2020</w:t>
      </w:r>
      <w:r w:rsidRPr="0088424E">
        <w:rPr>
          <w:rFonts w:ascii="Arial" w:hAnsi="Arial" w:cs="Arial"/>
          <w:sz w:val="24"/>
          <w:szCs w:val="24"/>
        </w:rPr>
        <w:t>.</w:t>
      </w: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Desenvolvimento:</w:t>
      </w:r>
    </w:p>
    <w:p w:rsidR="00DD15EF" w:rsidRPr="0088424E" w:rsidRDefault="00DD15EF" w:rsidP="00DD1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O paciente que sofre de IM apresenta importante perda de líquido para o terceiro espaço, justificando ser a ressuscitação volêmica uma das medidas prioritárias no momento inicial. Nas primeiras 24 horas, podem ser necessários até 20 litros de </w:t>
      </w:r>
      <w:proofErr w:type="spellStart"/>
      <w:r w:rsidRPr="0088424E">
        <w:rPr>
          <w:rFonts w:ascii="Arial" w:eastAsia="Times New Roman" w:hAnsi="Arial" w:cs="Arial"/>
          <w:sz w:val="24"/>
          <w:szCs w:val="24"/>
          <w:lang w:eastAsia="pt-BR"/>
        </w:rPr>
        <w:t>cristalóides</w:t>
      </w:r>
      <w:proofErr w:type="spellEnd"/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. Monitorização seriada dos eletrólitos e do status ácido-base também fazem parte do manejo inicial. Com a injúria à parede intestinal, ocorre a perda da barreira mucosa, facilitando a translocação bacteriana. Portanto, </w:t>
      </w:r>
      <w:proofErr w:type="spellStart"/>
      <w:r w:rsidRPr="0088424E">
        <w:rPr>
          <w:rFonts w:ascii="Arial" w:eastAsia="Times New Roman" w:hAnsi="Arial" w:cs="Arial"/>
          <w:sz w:val="24"/>
          <w:szCs w:val="24"/>
          <w:lang w:eastAsia="pt-BR"/>
        </w:rPr>
        <w:t>antibioticoterapia</w:t>
      </w:r>
      <w:proofErr w:type="spellEnd"/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 de amplo espectro deve ser iniciada precocemente. Na ausência de contraindicações, a terapia com Heparina não fracionada IV deve ser iniciada o mais precocemente possível. Cumpre salientar que qualquer evidência de isquemia ou infarto intestinal impede o uso de terapia trombolítica. Havendo peritonite difusa, é provável que já tenha ocorrido infarto intestinal, o que reduz drasticamente as chances de sobrevivência do paciente. A literatura demonstra que a peritonite secundária à necrose intestinal exige cirurgia imediata. Por fim, na busca pela definição de qual seria a estratégia de primeira linha para o tratamento da IM, não existem ensaios controlados randomizados comparando </w:t>
      </w:r>
      <w:proofErr w:type="spellStart"/>
      <w:r w:rsidRPr="0088424E">
        <w:rPr>
          <w:rFonts w:ascii="Arial" w:eastAsia="Times New Roman" w:hAnsi="Arial" w:cs="Arial"/>
          <w:sz w:val="24"/>
          <w:szCs w:val="24"/>
          <w:lang w:eastAsia="pt-BR"/>
        </w:rPr>
        <w:t>laparotomia</w:t>
      </w:r>
      <w:proofErr w:type="spellEnd"/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 com tratamento </w:t>
      </w:r>
      <w:proofErr w:type="spellStart"/>
      <w:r w:rsidRPr="0088424E">
        <w:rPr>
          <w:rFonts w:ascii="Arial" w:eastAsia="Times New Roman" w:hAnsi="Arial" w:cs="Arial"/>
          <w:sz w:val="24"/>
          <w:szCs w:val="24"/>
          <w:lang w:eastAsia="pt-BR"/>
        </w:rPr>
        <w:t>endovascular</w:t>
      </w:r>
      <w:proofErr w:type="spellEnd"/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. O argumento mais importante a favor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laparotomia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Pr="0088424E">
        <w:rPr>
          <w:rFonts w:ascii="Arial" w:eastAsia="Times New Roman" w:hAnsi="Arial" w:cs="Arial"/>
          <w:sz w:val="24"/>
          <w:szCs w:val="24"/>
          <w:lang w:eastAsia="pt-BR"/>
        </w:rPr>
        <w:t xml:space="preserve"> sua capacidade de avaliar diretamente a viabilidade intestinal.</w:t>
      </w: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15EF" w:rsidRPr="0088424E" w:rsidRDefault="00DD15EF" w:rsidP="00DD1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424E">
        <w:rPr>
          <w:rFonts w:ascii="Arial" w:hAnsi="Arial" w:cs="Arial"/>
          <w:b/>
          <w:sz w:val="24"/>
          <w:szCs w:val="24"/>
        </w:rPr>
        <w:t>Conclusão:</w:t>
      </w:r>
    </w:p>
    <w:p w:rsidR="00DF633D" w:rsidRPr="001E5B26" w:rsidRDefault="00DD15EF" w:rsidP="001E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4E">
        <w:rPr>
          <w:rFonts w:ascii="Arial" w:hAnsi="Arial" w:cs="Arial"/>
          <w:sz w:val="24"/>
          <w:szCs w:val="24"/>
        </w:rPr>
        <w:t xml:space="preserve">O tratamento com reposição volêmica, acompanhada de monitorização seriada dos eletrólitos e do status ácido base constituem medidas prioritárias na abordagem inicial. Realiza-se terapia com heparina não fracionada IV e antibióticos de largo espectro para evitar infecções. Em peritonite difusa indica-se </w:t>
      </w:r>
      <w:proofErr w:type="spellStart"/>
      <w:r w:rsidRPr="0088424E">
        <w:rPr>
          <w:rFonts w:ascii="Arial" w:hAnsi="Arial" w:cs="Arial"/>
          <w:sz w:val="24"/>
          <w:szCs w:val="24"/>
        </w:rPr>
        <w:t>laparotomia</w:t>
      </w:r>
      <w:proofErr w:type="spellEnd"/>
      <w:r w:rsidRPr="0088424E">
        <w:rPr>
          <w:rFonts w:ascii="Arial" w:hAnsi="Arial" w:cs="Arial"/>
          <w:sz w:val="24"/>
          <w:szCs w:val="24"/>
        </w:rPr>
        <w:t xml:space="preserve"> exploratória para avaliar adequadamente a viabilidade intestinal para minimizar atrasos na reparação do fluxo sanguíneo.</w:t>
      </w:r>
      <w:bookmarkStart w:id="0" w:name="_GoBack"/>
      <w:bookmarkEnd w:id="0"/>
    </w:p>
    <w:sectPr w:rsidR="00DF633D" w:rsidRPr="001E5B26" w:rsidSect="00373D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EF"/>
    <w:rsid w:val="001E5B26"/>
    <w:rsid w:val="00373DAC"/>
    <w:rsid w:val="00DD15EF"/>
    <w:rsid w:val="00D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EF"/>
    <w:pPr>
      <w:spacing w:after="160" w:line="259" w:lineRule="auto"/>
    </w:pPr>
    <w:rPr>
      <w:rFonts w:eastAsiaTheme="minorHAnsi"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EF"/>
    <w:pPr>
      <w:spacing w:after="160" w:line="259" w:lineRule="auto"/>
    </w:pPr>
    <w:rPr>
      <w:rFonts w:eastAsiaTheme="minorHAnsi"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Macintosh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Szabo</dc:creator>
  <cp:keywords/>
  <dc:description/>
  <cp:lastModifiedBy>Luana Szabo</cp:lastModifiedBy>
  <cp:revision>2</cp:revision>
  <dcterms:created xsi:type="dcterms:W3CDTF">2020-07-05T21:18:00Z</dcterms:created>
  <dcterms:modified xsi:type="dcterms:W3CDTF">2020-07-05T21:18:00Z</dcterms:modified>
</cp:coreProperties>
</file>