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C402F" w14:textId="72F6DAB0" w:rsidR="00D257D6" w:rsidRPr="00D257D6" w:rsidRDefault="00D257D6" w:rsidP="00D257D6">
      <w:pPr>
        <w:spacing w:before="240"/>
        <w:jc w:val="center"/>
        <w:rPr>
          <w:rFonts w:ascii="Times New Roman" w:hAnsi="Times New Roman" w:cs="Times New Roman"/>
          <w:b/>
          <w:sz w:val="24"/>
          <w:szCs w:val="24"/>
        </w:rPr>
      </w:pPr>
      <w:r w:rsidRPr="00D257D6">
        <w:rPr>
          <w:rFonts w:ascii="Times New Roman" w:hAnsi="Times New Roman" w:cs="Times New Roman"/>
          <w:b/>
          <w:sz w:val="24"/>
          <w:szCs w:val="24"/>
        </w:rPr>
        <w:t>ESTADO E INTERVENÇÃO NUTRICIONAL NA ADMISSÃO DE PACIENTES COM COVID 19 INTERNADOS EM UTI EM SALVADOR, BAHIA.</w:t>
      </w:r>
    </w:p>
    <w:p w14:paraId="681EB0FB" w14:textId="61565308" w:rsidR="005211F1" w:rsidRDefault="00E7394C" w:rsidP="005211F1">
      <w:pPr>
        <w:spacing w:before="240"/>
        <w:rPr>
          <w:rFonts w:ascii="Times New Roman" w:hAnsi="Times New Roman" w:cs="Times New Roman"/>
          <w:b/>
          <w:sz w:val="24"/>
          <w:szCs w:val="24"/>
        </w:rPr>
      </w:pPr>
      <w:r w:rsidRPr="004A70F4">
        <w:rPr>
          <w:rFonts w:ascii="Times New Roman" w:hAnsi="Times New Roman" w:cs="Times New Roman"/>
          <w:b/>
          <w:sz w:val="24"/>
          <w:szCs w:val="24"/>
        </w:rPr>
        <w:t>RESUMO</w:t>
      </w:r>
    </w:p>
    <w:p w14:paraId="6FF0CEC9" w14:textId="1668FEA2" w:rsidR="005245C8" w:rsidRPr="005211F1" w:rsidRDefault="00D257D6" w:rsidP="00F91BD1">
      <w:pPr>
        <w:spacing w:before="240"/>
        <w:jc w:val="both"/>
        <w:rPr>
          <w:rFonts w:ascii="Times New Roman" w:hAnsi="Times New Roman" w:cs="Times New Roman"/>
          <w:b/>
          <w:sz w:val="24"/>
          <w:szCs w:val="24"/>
        </w:rPr>
      </w:pPr>
      <w:r w:rsidRPr="00D257D6">
        <w:rPr>
          <w:rFonts w:ascii="Times New Roman" w:hAnsi="Times New Roman" w:cs="Times New Roman"/>
          <w:sz w:val="24"/>
          <w:szCs w:val="24"/>
        </w:rPr>
        <w:t xml:space="preserve">A COVID-19 grave se manifesta como inflamação não controlada, associada à síndrome do desconforto respiratório agudo, e em casos graves a oferta nutricional precoce é indicada para preservar o estado nutricional e contribuir favoravelmente com o prognóstico clínico. Neste sentido, objetivo deste estudo é caracterizar o estado e a oferta nutricional em pacientes adultos e idosos admitidos em UTI do principal hospital de referência para COVID-19 na Bahia. Trata-se de um estudo transversal com os dados admissionais dos pacientes participantes de um estudo multicêntrico de coorte retrospectivo. A amostra de pacientes foi estratificada segundo faixa etária, em adultos e idosos, e avaliada por medidas de frequência, cujas diferenças foram avaliadas pelo teste </w:t>
      </w:r>
      <w:proofErr w:type="spellStart"/>
      <w:r w:rsidRPr="00D257D6">
        <w:rPr>
          <w:rFonts w:ascii="Times New Roman" w:hAnsi="Times New Roman" w:cs="Times New Roman"/>
          <w:sz w:val="24"/>
          <w:szCs w:val="24"/>
        </w:rPr>
        <w:t>Qui</w:t>
      </w:r>
      <w:proofErr w:type="spellEnd"/>
      <w:r w:rsidRPr="00D257D6">
        <w:rPr>
          <w:rFonts w:ascii="Times New Roman" w:hAnsi="Times New Roman" w:cs="Times New Roman"/>
          <w:sz w:val="24"/>
          <w:szCs w:val="24"/>
        </w:rPr>
        <w:t>-quadrado. Dentre os 136 pacientes admitidos na UTI, foi observada frequência de oferta da terapia nutricional precoce em 80% dos adultos e 84,5% dos idosos.  Os idosos apresentaram maior percentual de desnutrição em relação aos adultos (18,3% versus 7,7%) enquanto o excesso de peso foi observado em 87,7% dos adultos. Maior mortalidade foi observada entre os idosos (p=0,015), em comparação com os adultos. Pacientes que apresentam desvios nutricionais parecem ser frequentes portadores COVID-19 e necessitam de maior atenção por parte de toda equipe hospitalar durante a evolução clínica da doença</w:t>
      </w:r>
      <w:r w:rsidR="00D12528" w:rsidRPr="00D12528">
        <w:rPr>
          <w:rFonts w:ascii="Times New Roman" w:hAnsi="Times New Roman" w:cs="Times New Roman"/>
          <w:sz w:val="24"/>
          <w:szCs w:val="24"/>
        </w:rPr>
        <w:t>.</w:t>
      </w:r>
    </w:p>
    <w:p w14:paraId="65787997" w14:textId="5E3D9AC4" w:rsidR="00E7394C" w:rsidRDefault="00E7394C" w:rsidP="00DC59F2">
      <w:pPr>
        <w:spacing w:after="0" w:line="240" w:lineRule="auto"/>
        <w:jc w:val="both"/>
        <w:rPr>
          <w:rFonts w:ascii="Times New Roman" w:hAnsi="Times New Roman" w:cs="Times New Roman"/>
          <w:sz w:val="24"/>
          <w:szCs w:val="24"/>
        </w:rPr>
      </w:pPr>
      <w:r w:rsidRPr="004A70F4">
        <w:rPr>
          <w:rFonts w:ascii="Times New Roman" w:hAnsi="Times New Roman" w:cs="Times New Roman"/>
          <w:b/>
          <w:sz w:val="24"/>
          <w:szCs w:val="24"/>
        </w:rPr>
        <w:t>Palavras-chave:</w:t>
      </w:r>
      <w:r w:rsidR="00D12528">
        <w:rPr>
          <w:rFonts w:ascii="Times New Roman" w:hAnsi="Times New Roman" w:cs="Times New Roman"/>
          <w:b/>
          <w:sz w:val="24"/>
          <w:szCs w:val="24"/>
        </w:rPr>
        <w:t xml:space="preserve"> </w:t>
      </w:r>
      <w:r w:rsidR="00D257D6">
        <w:rPr>
          <w:rFonts w:ascii="Times New Roman" w:hAnsi="Times New Roman" w:cs="Times New Roman"/>
          <w:bCs/>
          <w:sz w:val="24"/>
          <w:szCs w:val="24"/>
        </w:rPr>
        <w:t>Adultos</w:t>
      </w:r>
      <w:r w:rsidR="00D12528" w:rsidRPr="00D12528">
        <w:rPr>
          <w:rFonts w:ascii="Times New Roman" w:hAnsi="Times New Roman" w:cs="Times New Roman"/>
          <w:bCs/>
          <w:sz w:val="24"/>
          <w:szCs w:val="24"/>
        </w:rPr>
        <w:t xml:space="preserve">, </w:t>
      </w:r>
      <w:r w:rsidR="00D257D6">
        <w:rPr>
          <w:rFonts w:ascii="Times New Roman" w:hAnsi="Times New Roman" w:cs="Times New Roman"/>
          <w:bCs/>
          <w:sz w:val="24"/>
          <w:szCs w:val="24"/>
        </w:rPr>
        <w:t>Idoso</w:t>
      </w:r>
      <w:r w:rsidR="00672CA9">
        <w:rPr>
          <w:rFonts w:ascii="Times New Roman" w:hAnsi="Times New Roman" w:cs="Times New Roman"/>
          <w:bCs/>
          <w:sz w:val="24"/>
          <w:szCs w:val="24"/>
        </w:rPr>
        <w:t xml:space="preserve">s, </w:t>
      </w:r>
      <w:r w:rsidR="00D257D6">
        <w:rPr>
          <w:rFonts w:ascii="Times New Roman" w:hAnsi="Times New Roman" w:cs="Times New Roman"/>
          <w:bCs/>
          <w:sz w:val="24"/>
          <w:szCs w:val="24"/>
        </w:rPr>
        <w:t>Estado Nutricional,</w:t>
      </w:r>
      <w:r w:rsidR="00D12528" w:rsidRPr="00D12528">
        <w:rPr>
          <w:rFonts w:ascii="Times New Roman" w:hAnsi="Times New Roman" w:cs="Times New Roman"/>
          <w:bCs/>
          <w:sz w:val="24"/>
          <w:szCs w:val="24"/>
        </w:rPr>
        <w:t xml:space="preserve"> SARS-CoV-2</w:t>
      </w:r>
      <w:r w:rsidRPr="00D12528">
        <w:rPr>
          <w:rFonts w:ascii="Times New Roman" w:hAnsi="Times New Roman" w:cs="Times New Roman"/>
          <w:bCs/>
          <w:sz w:val="24"/>
          <w:szCs w:val="24"/>
        </w:rPr>
        <w:t xml:space="preserve"> </w:t>
      </w:r>
    </w:p>
    <w:p w14:paraId="59DD7FF4" w14:textId="77777777" w:rsidR="00DC59F2" w:rsidRDefault="00DC59F2" w:rsidP="00DC59F2">
      <w:pPr>
        <w:spacing w:after="0" w:line="360" w:lineRule="auto"/>
        <w:jc w:val="both"/>
        <w:rPr>
          <w:rFonts w:ascii="Times New Roman" w:hAnsi="Times New Roman" w:cs="Times New Roman"/>
          <w:sz w:val="24"/>
          <w:szCs w:val="24"/>
        </w:rPr>
      </w:pPr>
    </w:p>
    <w:p w14:paraId="21829546" w14:textId="77777777" w:rsidR="00E7394C" w:rsidRPr="004A70F4" w:rsidRDefault="00E7394C" w:rsidP="00DC59F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4A70F4">
        <w:rPr>
          <w:rFonts w:ascii="Times New Roman" w:hAnsi="Times New Roman" w:cs="Times New Roman"/>
          <w:b/>
          <w:sz w:val="24"/>
          <w:szCs w:val="24"/>
        </w:rPr>
        <w:t>INTRODUÇÃO</w:t>
      </w:r>
    </w:p>
    <w:p w14:paraId="66F09350" w14:textId="77777777" w:rsidR="00D257D6" w:rsidRPr="00D257D6" w:rsidRDefault="00D257D6" w:rsidP="00D257D6">
      <w:pPr>
        <w:spacing w:after="0" w:line="360" w:lineRule="auto"/>
        <w:jc w:val="both"/>
        <w:rPr>
          <w:rFonts w:ascii="Times New Roman" w:eastAsia="SimSun" w:hAnsi="Times New Roman" w:cs="Times New Roman"/>
          <w:sz w:val="24"/>
          <w:szCs w:val="24"/>
          <w:lang w:eastAsia="en-US"/>
        </w:rPr>
      </w:pPr>
      <w:r w:rsidRPr="00D257D6">
        <w:rPr>
          <w:rFonts w:ascii="Times New Roman" w:eastAsia="SimSun" w:hAnsi="Times New Roman" w:cs="Times New Roman"/>
          <w:sz w:val="24"/>
          <w:szCs w:val="24"/>
          <w:lang w:eastAsia="en-US"/>
        </w:rPr>
        <w:t>A recente pandemia do COVID-19 é causada pela infecção por SARS-CoV-2. (BOGOCH et al., 2020; ZHU et al., 2020) e foi declarada pela Organização Mundial da Saúde (OMS) como uma emergência global de saúde pública (ZHU et al., 2020). O Brasil encontra-se atualmente no segundo lugar no panorama mundial, com mais de 150.000 óbitos por COVID-19 (WHO, 2020).</w:t>
      </w:r>
    </w:p>
    <w:p w14:paraId="36505C8C" w14:textId="77777777" w:rsidR="00D257D6" w:rsidRPr="00D257D6" w:rsidRDefault="00D257D6" w:rsidP="00D257D6">
      <w:pPr>
        <w:spacing w:after="0" w:line="360" w:lineRule="auto"/>
        <w:jc w:val="both"/>
        <w:rPr>
          <w:rFonts w:ascii="Times New Roman" w:eastAsia="SimSun" w:hAnsi="Times New Roman" w:cs="Times New Roman"/>
          <w:sz w:val="24"/>
          <w:szCs w:val="24"/>
          <w:lang w:eastAsia="en-US"/>
        </w:rPr>
      </w:pPr>
      <w:r w:rsidRPr="00D257D6">
        <w:rPr>
          <w:rFonts w:ascii="Times New Roman" w:eastAsia="SimSun" w:hAnsi="Times New Roman" w:cs="Times New Roman"/>
          <w:sz w:val="24"/>
          <w:szCs w:val="24"/>
          <w:lang w:eastAsia="en-US"/>
        </w:rPr>
        <w:t xml:space="preserve">         A COVID-19 grave se manifesta como inflamação não controlada, associada à síndrome do desconforto respiratório agudo (SARS) (PEDERSON et al., 2020; DUSHIANTHAN A et al., 2019). Uma estratégia que está bem documentada na literatura e que tem uma importante contribuição no tratamento clínico de respostas inflamatórias presentes em doenças infecciosas como o </w:t>
      </w:r>
      <w:proofErr w:type="spellStart"/>
      <w:r w:rsidRPr="00D257D6">
        <w:rPr>
          <w:rFonts w:ascii="Times New Roman" w:eastAsia="SimSun" w:hAnsi="Times New Roman" w:cs="Times New Roman"/>
          <w:sz w:val="24"/>
          <w:szCs w:val="24"/>
          <w:lang w:eastAsia="en-US"/>
        </w:rPr>
        <w:t>Coronavírus</w:t>
      </w:r>
      <w:proofErr w:type="spellEnd"/>
      <w:r w:rsidRPr="00D257D6">
        <w:rPr>
          <w:rFonts w:ascii="Times New Roman" w:eastAsia="SimSun" w:hAnsi="Times New Roman" w:cs="Times New Roman"/>
          <w:sz w:val="24"/>
          <w:szCs w:val="24"/>
          <w:lang w:eastAsia="en-US"/>
        </w:rPr>
        <w:t xml:space="preserve"> 2, é a oferta de suporte nutricional (CALDER PC et al., 2020). Em pacientes graves, a nutrição enteral é a via preferencial, </w:t>
      </w:r>
      <w:r w:rsidRPr="00D257D6">
        <w:rPr>
          <w:rFonts w:ascii="Times New Roman" w:eastAsia="SimSun" w:hAnsi="Times New Roman" w:cs="Times New Roman"/>
          <w:sz w:val="24"/>
          <w:szCs w:val="24"/>
          <w:lang w:eastAsia="en-US"/>
        </w:rPr>
        <w:lastRenderedPageBreak/>
        <w:t>devendo ser individualizada e iniciada precocemente, entre 24 a 48 horas (SINGER, et al., 2019).</w:t>
      </w:r>
    </w:p>
    <w:p w14:paraId="2305E1C2" w14:textId="1960DF87" w:rsidR="00DC59F2" w:rsidRDefault="00D257D6" w:rsidP="00D257D6">
      <w:pPr>
        <w:spacing w:after="0" w:line="360" w:lineRule="auto"/>
        <w:jc w:val="both"/>
        <w:rPr>
          <w:rFonts w:ascii="Times New Roman" w:eastAsia="SimSun" w:hAnsi="Times New Roman" w:cs="Times New Roman"/>
          <w:sz w:val="24"/>
          <w:szCs w:val="24"/>
          <w:lang w:eastAsia="en-US"/>
        </w:rPr>
      </w:pPr>
      <w:r w:rsidRPr="00D257D6">
        <w:rPr>
          <w:rFonts w:ascii="Times New Roman" w:eastAsia="SimSun" w:hAnsi="Times New Roman" w:cs="Times New Roman"/>
          <w:sz w:val="24"/>
          <w:szCs w:val="24"/>
          <w:lang w:eastAsia="en-US"/>
        </w:rPr>
        <w:t xml:space="preserve">          Nesse contexto, é importante destacar a relevância da terapia nutricional precoce em pessoas principalmente idosas, frágeis e </w:t>
      </w:r>
      <w:proofErr w:type="spellStart"/>
      <w:r w:rsidRPr="00D257D6">
        <w:rPr>
          <w:rFonts w:ascii="Times New Roman" w:eastAsia="SimSun" w:hAnsi="Times New Roman" w:cs="Times New Roman"/>
          <w:sz w:val="24"/>
          <w:szCs w:val="24"/>
          <w:lang w:eastAsia="en-US"/>
        </w:rPr>
        <w:t>comórbidas</w:t>
      </w:r>
      <w:proofErr w:type="spellEnd"/>
      <w:r w:rsidRPr="00D257D6">
        <w:rPr>
          <w:rFonts w:ascii="Times New Roman" w:eastAsia="SimSun" w:hAnsi="Times New Roman" w:cs="Times New Roman"/>
          <w:sz w:val="24"/>
          <w:szCs w:val="24"/>
          <w:lang w:eastAsia="en-US"/>
        </w:rPr>
        <w:t xml:space="preserve"> que apresentam maior risco de desnutrição e consequente pior prognóstico (BARAZZONI et al., 2020). Estudos desenvolvidos durante a pandemia identificaram presença tanto de desnutrição quanto de obesidade entre os pacientes hospitalizados, com prevalências que variam muito entre os países de origem, mas evidenciando o papel do estado nutricional como um possível fator prognóstico entre os portadores de COVID-19 (WEIC, et al, 2020; BEST, et al., 2020). Diante do exposto, este estudo teve como objetivo caracterizar o estado nutricional e a oferta nutricional precoce em pacientes adultos e idosos admitidos na Unidade de Terapia Intensiva (UTI) no principal hospital de referência para COVID-19 na Bahia.</w:t>
      </w:r>
    </w:p>
    <w:p w14:paraId="346C0C0B" w14:textId="77777777" w:rsidR="00D257D6" w:rsidRDefault="00D257D6" w:rsidP="00D257D6">
      <w:pPr>
        <w:spacing w:after="0" w:line="360" w:lineRule="auto"/>
        <w:jc w:val="both"/>
        <w:rPr>
          <w:rFonts w:ascii="Times New Roman" w:hAnsi="Times New Roman" w:cs="Times New Roman"/>
          <w:b/>
          <w:sz w:val="24"/>
          <w:szCs w:val="24"/>
        </w:rPr>
      </w:pPr>
    </w:p>
    <w:p w14:paraId="33B2832E" w14:textId="77777777" w:rsidR="00E7394C" w:rsidRPr="004A70F4" w:rsidRDefault="00E7394C" w:rsidP="00DC59F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 MATERIAIS E MÉTODOS</w:t>
      </w:r>
    </w:p>
    <w:p w14:paraId="63A8AF69" w14:textId="77777777" w:rsidR="00D257D6" w:rsidRPr="00D257D6" w:rsidRDefault="00D257D6" w:rsidP="00D257D6">
      <w:pPr>
        <w:pStyle w:val="Textodecomentrio"/>
        <w:spacing w:after="0" w:line="360" w:lineRule="auto"/>
        <w:jc w:val="both"/>
        <w:rPr>
          <w:rFonts w:ascii="Times New Roman" w:hAnsi="Times New Roman" w:cs="Times New Roman"/>
          <w:sz w:val="24"/>
          <w:szCs w:val="24"/>
        </w:rPr>
      </w:pPr>
      <w:r w:rsidRPr="00D257D6">
        <w:rPr>
          <w:rFonts w:ascii="Times New Roman" w:hAnsi="Times New Roman" w:cs="Times New Roman"/>
          <w:sz w:val="24"/>
          <w:szCs w:val="24"/>
        </w:rPr>
        <w:t>Trata-se de um estudo transversal com os dados admissionais dos pacientes de um hospital coparticipante do estudo de coorte intitulado: “Influência da terapia nutricional sobre prognóstico clínico em pacientes com COVID-19: um estudo multicêntrico de coorte retrospectivo”. O projeto foi aprovado pelo Comitê de Ética e Pesquisa da Escola de Nutrição da UFBA sob o número 4.139.951, e posteriormente aprovado pelo Comitê de Ética e Pesquisa da unidade hospitalar coparticipante.</w:t>
      </w:r>
    </w:p>
    <w:p w14:paraId="595E31C0" w14:textId="77777777" w:rsidR="00D257D6" w:rsidRPr="00D257D6" w:rsidRDefault="00D257D6" w:rsidP="00D257D6">
      <w:pPr>
        <w:pStyle w:val="Textodecomentrio"/>
        <w:spacing w:after="0" w:line="360" w:lineRule="auto"/>
        <w:jc w:val="both"/>
        <w:rPr>
          <w:rFonts w:ascii="Times New Roman" w:hAnsi="Times New Roman" w:cs="Times New Roman"/>
          <w:sz w:val="24"/>
          <w:szCs w:val="24"/>
        </w:rPr>
      </w:pPr>
      <w:r w:rsidRPr="00D257D6">
        <w:rPr>
          <w:rFonts w:ascii="Times New Roman" w:hAnsi="Times New Roman" w:cs="Times New Roman"/>
          <w:sz w:val="24"/>
          <w:szCs w:val="24"/>
        </w:rPr>
        <w:t xml:space="preserve">      A população do estudo foi composta por pacientes maiores de 18 anos que apresentavam infecção por COVID-19 confirmada laboratorialmente, admitidos na UTI. Não foram incluídas pacientes gestantes, menores de 18 anos ou que não possuíam confirmação laboratorial da COVID-19 registrada em prontuário.</w:t>
      </w:r>
    </w:p>
    <w:p w14:paraId="0DA76E17" w14:textId="77777777" w:rsidR="00D257D6" w:rsidRPr="00D257D6" w:rsidRDefault="00D257D6" w:rsidP="00D257D6">
      <w:pPr>
        <w:pStyle w:val="Textodecomentrio"/>
        <w:spacing w:after="0" w:line="360" w:lineRule="auto"/>
        <w:jc w:val="both"/>
        <w:rPr>
          <w:rFonts w:ascii="Times New Roman" w:hAnsi="Times New Roman" w:cs="Times New Roman"/>
          <w:sz w:val="24"/>
          <w:szCs w:val="24"/>
        </w:rPr>
      </w:pPr>
      <w:r w:rsidRPr="00D257D6">
        <w:rPr>
          <w:rFonts w:ascii="Times New Roman" w:hAnsi="Times New Roman" w:cs="Times New Roman"/>
          <w:sz w:val="24"/>
          <w:szCs w:val="24"/>
        </w:rPr>
        <w:t xml:space="preserve">       As informações foram retrospectivamente coletadas por uma equipe de pesquisadores treinados e registradas em formulário on-line elaborado para pesquisa, que gerou o banco de dados utilizados na análise. Para o estudo em questão foram incluídos apenas os pacientes que tinham informações referentes ao estado antropométrico (Índice de massa Corpórea-IMC) e terapia nutricional, em prontuário, totalizando uma amostra de 136 pacientes. </w:t>
      </w:r>
    </w:p>
    <w:p w14:paraId="1D9A2E17" w14:textId="3E9D903F" w:rsidR="000F6F62" w:rsidRDefault="00D257D6" w:rsidP="00D257D6">
      <w:pPr>
        <w:pStyle w:val="Textodecomentrio"/>
        <w:spacing w:after="0" w:line="360" w:lineRule="auto"/>
        <w:jc w:val="both"/>
        <w:rPr>
          <w:rFonts w:ascii="Times New Roman" w:hAnsi="Times New Roman" w:cs="Times New Roman"/>
          <w:sz w:val="24"/>
          <w:szCs w:val="24"/>
        </w:rPr>
      </w:pPr>
      <w:r w:rsidRPr="00D257D6">
        <w:rPr>
          <w:rFonts w:ascii="Times New Roman" w:hAnsi="Times New Roman" w:cs="Times New Roman"/>
          <w:sz w:val="24"/>
          <w:szCs w:val="24"/>
        </w:rPr>
        <w:t xml:space="preserve">       A análise descritiva apresentada neste estudo estratificou a amostra de pacientes segundo a faixa etária, em adultos e idosos. Foram classificados como idosos indivíduos </w:t>
      </w:r>
      <w:r w:rsidRPr="00D257D6">
        <w:rPr>
          <w:rFonts w:ascii="Times New Roman" w:hAnsi="Times New Roman" w:cs="Times New Roman"/>
          <w:sz w:val="24"/>
          <w:szCs w:val="24"/>
        </w:rPr>
        <w:lastRenderedPageBreak/>
        <w:t xml:space="preserve">com idade igual ou superior a 60 anos. As características clínicas referentes ao momento da admissão hospitalar foram apresentadas em percentual. A diferença de prevalência foi avaliada pelo teste </w:t>
      </w:r>
      <w:proofErr w:type="spellStart"/>
      <w:r w:rsidRPr="00D257D6">
        <w:rPr>
          <w:rFonts w:ascii="Times New Roman" w:hAnsi="Times New Roman" w:cs="Times New Roman"/>
          <w:sz w:val="24"/>
          <w:szCs w:val="24"/>
        </w:rPr>
        <w:t>Qui</w:t>
      </w:r>
      <w:proofErr w:type="spellEnd"/>
      <w:r w:rsidRPr="00D257D6">
        <w:rPr>
          <w:rFonts w:ascii="Times New Roman" w:hAnsi="Times New Roman" w:cs="Times New Roman"/>
          <w:sz w:val="24"/>
          <w:szCs w:val="24"/>
        </w:rPr>
        <w:t>-quadrado de Pearson. Nas análises estatísticas adotaram-se os testes bicaudais e um nível de significância de 5%.</w:t>
      </w:r>
    </w:p>
    <w:p w14:paraId="3DB396AE" w14:textId="77777777" w:rsidR="00D257D6" w:rsidRDefault="00D257D6" w:rsidP="00D257D6">
      <w:pPr>
        <w:pStyle w:val="Textodecomentrio"/>
        <w:spacing w:after="0" w:line="360" w:lineRule="auto"/>
        <w:jc w:val="both"/>
        <w:rPr>
          <w:rFonts w:ascii="Times New Roman" w:hAnsi="Times New Roman" w:cs="Times New Roman"/>
          <w:sz w:val="24"/>
          <w:szCs w:val="24"/>
        </w:rPr>
      </w:pPr>
    </w:p>
    <w:p w14:paraId="3DB6BC12" w14:textId="19F8CE6D" w:rsidR="000F6F62" w:rsidRPr="000F6F62" w:rsidRDefault="000F6F62" w:rsidP="000F6F62">
      <w:pPr>
        <w:pStyle w:val="Textodecomentrio"/>
        <w:spacing w:after="0" w:line="360" w:lineRule="auto"/>
        <w:jc w:val="both"/>
        <w:rPr>
          <w:rFonts w:ascii="Times New Roman" w:hAnsi="Times New Roman" w:cs="Times New Roman"/>
          <w:b/>
          <w:bCs/>
          <w:sz w:val="24"/>
          <w:szCs w:val="24"/>
        </w:rPr>
      </w:pPr>
      <w:r w:rsidRPr="000F6F62">
        <w:rPr>
          <w:rFonts w:ascii="Times New Roman" w:hAnsi="Times New Roman" w:cs="Times New Roman"/>
          <w:b/>
          <w:bCs/>
          <w:sz w:val="24"/>
          <w:szCs w:val="24"/>
        </w:rPr>
        <w:t>3. RESULTADOS E DISCUSSÃO</w:t>
      </w:r>
    </w:p>
    <w:p w14:paraId="03A0BBF8" w14:textId="77777777" w:rsidR="00D257D6" w:rsidRPr="00D257D6" w:rsidRDefault="00D257D6" w:rsidP="00D257D6">
      <w:pPr>
        <w:pStyle w:val="Els-table-caption"/>
        <w:spacing w:after="120" w:line="360" w:lineRule="auto"/>
        <w:ind w:firstLine="709"/>
        <w:jc w:val="both"/>
        <w:rPr>
          <w:rFonts w:eastAsiaTheme="minorHAnsi"/>
          <w:b w:val="0"/>
          <w:sz w:val="24"/>
          <w:szCs w:val="24"/>
          <w:lang w:val="pt-BR"/>
        </w:rPr>
      </w:pPr>
      <w:r w:rsidRPr="00D257D6">
        <w:rPr>
          <w:rFonts w:eastAsiaTheme="minorHAnsi"/>
          <w:b w:val="0"/>
          <w:sz w:val="24"/>
          <w:szCs w:val="24"/>
          <w:lang w:val="pt-BR"/>
        </w:rPr>
        <w:t>Dentre os participantes deste estudo, 65 (47,8%) eram adultos e 71 (52,2%) eram idosos. A maioria pertencia ao sexo feminino (n=79; 58,1%) e era proveniente de Salvador (n=67; 56,3%), nas duas faixas de idade. Entre os desfechos clínicos, percebe-se elevada prevalência de óbito (n=106; 77,9%) em comparação com outros desfechos (11,8% alta e 10,3% transferência).</w:t>
      </w:r>
    </w:p>
    <w:p w14:paraId="6DE4A2ED" w14:textId="77777777" w:rsidR="00D257D6" w:rsidRPr="00D257D6" w:rsidRDefault="00D257D6" w:rsidP="00D257D6">
      <w:pPr>
        <w:pStyle w:val="Els-table-caption"/>
        <w:spacing w:before="0" w:after="120" w:line="360" w:lineRule="auto"/>
        <w:ind w:firstLine="709"/>
        <w:jc w:val="both"/>
        <w:rPr>
          <w:rFonts w:hint="eastAsia"/>
          <w:lang w:val="pt-BR"/>
        </w:rPr>
      </w:pPr>
      <w:r w:rsidRPr="000F6F62">
        <w:rPr>
          <w:sz w:val="20"/>
          <w:lang w:val="pt-BR"/>
        </w:rPr>
        <w:t>Tabela 1 –</w:t>
      </w:r>
      <w:r w:rsidRPr="000F6F62">
        <w:rPr>
          <w:b w:val="0"/>
          <w:bCs/>
          <w:sz w:val="20"/>
          <w:lang w:val="pt-BR"/>
        </w:rPr>
        <w:t xml:space="preserve"> </w:t>
      </w:r>
      <w:r w:rsidRPr="00D257D6">
        <w:rPr>
          <w:b w:val="0"/>
          <w:bCs/>
          <w:sz w:val="20"/>
          <w:lang w:val="pt-BR"/>
        </w:rPr>
        <w:t xml:space="preserve">Características dos pacientes internados </w:t>
      </w:r>
      <w:r>
        <w:rPr>
          <w:b w:val="0"/>
          <w:bCs/>
          <w:sz w:val="20"/>
          <w:lang w:val="pt-BR"/>
        </w:rPr>
        <w:t xml:space="preserve">em UTI </w:t>
      </w:r>
      <w:r w:rsidRPr="00D257D6">
        <w:rPr>
          <w:b w:val="0"/>
          <w:bCs/>
          <w:sz w:val="20"/>
          <w:lang w:val="pt-BR"/>
        </w:rPr>
        <w:t>com COVID 19, segundo faixa etária, em Salvador, Bahia, Brasil, 2020.</w:t>
      </w:r>
    </w:p>
    <w:tbl>
      <w:tblPr>
        <w:tblW w:w="8504" w:type="dxa"/>
        <w:tblLayout w:type="fixed"/>
        <w:tblCellMar>
          <w:left w:w="10" w:type="dxa"/>
          <w:right w:w="10" w:type="dxa"/>
        </w:tblCellMar>
        <w:tblLook w:val="04A0" w:firstRow="1" w:lastRow="0" w:firstColumn="1" w:lastColumn="0" w:noHBand="0" w:noVBand="1"/>
      </w:tblPr>
      <w:tblGrid>
        <w:gridCol w:w="2921"/>
        <w:gridCol w:w="2081"/>
        <w:gridCol w:w="1941"/>
        <w:gridCol w:w="1561"/>
      </w:tblGrid>
      <w:tr w:rsidR="00D257D6" w14:paraId="5DCD6C07" w14:textId="77777777" w:rsidTr="00AD0EE9">
        <w:tc>
          <w:tcPr>
            <w:tcW w:w="2920" w:type="dxa"/>
            <w:tcBorders>
              <w:top w:val="single" w:sz="4" w:space="0" w:color="000000"/>
              <w:bottom w:val="single" w:sz="4" w:space="0" w:color="000000"/>
            </w:tcBorders>
            <w:tcMar>
              <w:top w:w="0" w:type="dxa"/>
              <w:left w:w="108" w:type="dxa"/>
              <w:bottom w:w="0" w:type="dxa"/>
              <w:right w:w="108" w:type="dxa"/>
            </w:tcMar>
            <w:vAlign w:val="center"/>
          </w:tcPr>
          <w:p w14:paraId="774B5ED2" w14:textId="77777777" w:rsidR="00D257D6" w:rsidRPr="00D257D6" w:rsidRDefault="00D257D6" w:rsidP="00AD0EE9">
            <w:pPr>
              <w:pStyle w:val="Standard"/>
              <w:rPr>
                <w:rFonts w:hint="eastAsia"/>
                <w:b/>
                <w:bCs/>
              </w:rPr>
            </w:pPr>
          </w:p>
        </w:tc>
        <w:tc>
          <w:tcPr>
            <w:tcW w:w="208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2181A0E4" w14:textId="77777777" w:rsidR="00D257D6" w:rsidRPr="00D257D6" w:rsidRDefault="00D257D6" w:rsidP="00AD0EE9">
            <w:pPr>
              <w:pStyle w:val="Standard"/>
              <w:jc w:val="center"/>
              <w:rPr>
                <w:b/>
                <w:bCs/>
                <w:sz w:val="18"/>
                <w:szCs w:val="18"/>
              </w:rPr>
            </w:pPr>
            <w:r w:rsidRPr="00D257D6">
              <w:rPr>
                <w:b/>
                <w:bCs/>
                <w:sz w:val="18"/>
                <w:szCs w:val="18"/>
              </w:rPr>
              <w:t xml:space="preserve">Adulto </w:t>
            </w:r>
          </w:p>
          <w:p w14:paraId="05061563" w14:textId="77777777" w:rsidR="00D257D6" w:rsidRPr="00D257D6" w:rsidRDefault="00D257D6" w:rsidP="00AD0EE9">
            <w:pPr>
              <w:pStyle w:val="Standard"/>
              <w:jc w:val="center"/>
              <w:rPr>
                <w:rFonts w:hint="eastAsia"/>
                <w:b/>
                <w:bCs/>
                <w:sz w:val="18"/>
                <w:szCs w:val="18"/>
              </w:rPr>
            </w:pPr>
            <w:r w:rsidRPr="00D257D6">
              <w:rPr>
                <w:b/>
                <w:bCs/>
                <w:sz w:val="18"/>
                <w:szCs w:val="18"/>
              </w:rPr>
              <w:t>(n=65)</w:t>
            </w:r>
          </w:p>
        </w:tc>
        <w:tc>
          <w:tcPr>
            <w:tcW w:w="194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56F202D" w14:textId="77777777" w:rsidR="00D257D6" w:rsidRPr="00D257D6" w:rsidRDefault="00D257D6" w:rsidP="00AD0EE9">
            <w:pPr>
              <w:pStyle w:val="Standard"/>
              <w:jc w:val="center"/>
              <w:rPr>
                <w:b/>
                <w:bCs/>
                <w:sz w:val="18"/>
                <w:szCs w:val="18"/>
              </w:rPr>
            </w:pPr>
            <w:r w:rsidRPr="00D257D6">
              <w:rPr>
                <w:b/>
                <w:bCs/>
                <w:sz w:val="18"/>
                <w:szCs w:val="18"/>
              </w:rPr>
              <w:t xml:space="preserve">Idoso </w:t>
            </w:r>
          </w:p>
          <w:p w14:paraId="23323471" w14:textId="77777777" w:rsidR="00D257D6" w:rsidRPr="00D257D6" w:rsidRDefault="00D257D6" w:rsidP="00AD0EE9">
            <w:pPr>
              <w:pStyle w:val="Standard"/>
              <w:jc w:val="center"/>
              <w:rPr>
                <w:rFonts w:hint="eastAsia"/>
                <w:b/>
                <w:bCs/>
                <w:sz w:val="18"/>
                <w:szCs w:val="18"/>
              </w:rPr>
            </w:pPr>
            <w:r w:rsidRPr="00D257D6">
              <w:rPr>
                <w:b/>
                <w:bCs/>
                <w:sz w:val="18"/>
                <w:szCs w:val="18"/>
              </w:rPr>
              <w:t>(n=71)</w:t>
            </w:r>
          </w:p>
        </w:tc>
        <w:tc>
          <w:tcPr>
            <w:tcW w:w="1561" w:type="dxa"/>
            <w:tcBorders>
              <w:top w:val="single" w:sz="4" w:space="0" w:color="000000"/>
              <w:bottom w:val="single" w:sz="4" w:space="0" w:color="000000"/>
            </w:tcBorders>
            <w:tcMar>
              <w:top w:w="0" w:type="dxa"/>
              <w:left w:w="108" w:type="dxa"/>
              <w:bottom w:w="0" w:type="dxa"/>
              <w:right w:w="108" w:type="dxa"/>
            </w:tcMar>
            <w:vAlign w:val="center"/>
          </w:tcPr>
          <w:p w14:paraId="5812A193" w14:textId="77777777" w:rsidR="00D257D6" w:rsidRPr="00D257D6" w:rsidRDefault="00D257D6" w:rsidP="00AD0EE9">
            <w:pPr>
              <w:pStyle w:val="Standard"/>
              <w:jc w:val="center"/>
              <w:rPr>
                <w:rFonts w:hint="eastAsia"/>
                <w:b/>
                <w:bCs/>
              </w:rPr>
            </w:pPr>
            <w:r w:rsidRPr="00D257D6">
              <w:rPr>
                <w:b/>
                <w:bCs/>
                <w:sz w:val="18"/>
                <w:szCs w:val="18"/>
              </w:rPr>
              <w:t>p - valor</w:t>
            </w:r>
          </w:p>
        </w:tc>
      </w:tr>
      <w:tr w:rsidR="00D257D6" w14:paraId="5B55D330" w14:textId="77777777" w:rsidTr="00AD0EE9">
        <w:tc>
          <w:tcPr>
            <w:tcW w:w="2920" w:type="dxa"/>
            <w:tcBorders>
              <w:top w:val="single" w:sz="4" w:space="0" w:color="000000"/>
            </w:tcBorders>
            <w:tcMar>
              <w:top w:w="0" w:type="dxa"/>
              <w:left w:w="108" w:type="dxa"/>
              <w:bottom w:w="0" w:type="dxa"/>
              <w:right w:w="108" w:type="dxa"/>
            </w:tcMar>
            <w:vAlign w:val="center"/>
          </w:tcPr>
          <w:p w14:paraId="2CB62A67" w14:textId="77777777" w:rsidR="00D257D6" w:rsidRDefault="00D257D6" w:rsidP="00AD0EE9">
            <w:pPr>
              <w:pStyle w:val="Standard"/>
              <w:rPr>
                <w:rFonts w:hint="eastAsia"/>
                <w:b/>
                <w:bCs/>
                <w:sz w:val="18"/>
                <w:szCs w:val="18"/>
              </w:rPr>
            </w:pPr>
          </w:p>
        </w:tc>
        <w:tc>
          <w:tcPr>
            <w:tcW w:w="2081" w:type="dxa"/>
            <w:tcBorders>
              <w:top w:val="single" w:sz="4" w:space="0" w:color="000000"/>
            </w:tcBorders>
            <w:tcMar>
              <w:top w:w="0" w:type="dxa"/>
              <w:left w:w="108" w:type="dxa"/>
              <w:bottom w:w="0" w:type="dxa"/>
              <w:right w:w="108" w:type="dxa"/>
            </w:tcMar>
            <w:vAlign w:val="center"/>
          </w:tcPr>
          <w:p w14:paraId="63856D6F" w14:textId="77777777" w:rsidR="00D257D6" w:rsidRDefault="00D257D6" w:rsidP="00AD0EE9">
            <w:pPr>
              <w:pStyle w:val="Standard"/>
              <w:jc w:val="center"/>
              <w:rPr>
                <w:rFonts w:hint="eastAsia"/>
              </w:rPr>
            </w:pPr>
            <w:r>
              <w:rPr>
                <w:b/>
                <w:bCs/>
                <w:sz w:val="18"/>
                <w:szCs w:val="18"/>
              </w:rPr>
              <w:t>n (%)</w:t>
            </w:r>
          </w:p>
        </w:tc>
        <w:tc>
          <w:tcPr>
            <w:tcW w:w="1941" w:type="dxa"/>
            <w:tcBorders>
              <w:top w:val="single" w:sz="4" w:space="0" w:color="000000"/>
            </w:tcBorders>
            <w:tcMar>
              <w:top w:w="0" w:type="dxa"/>
              <w:left w:w="108" w:type="dxa"/>
              <w:bottom w:w="0" w:type="dxa"/>
              <w:right w:w="108" w:type="dxa"/>
            </w:tcMar>
            <w:vAlign w:val="center"/>
          </w:tcPr>
          <w:p w14:paraId="10C42820" w14:textId="77777777" w:rsidR="00D257D6" w:rsidRDefault="00D257D6" w:rsidP="00AD0EE9">
            <w:pPr>
              <w:pStyle w:val="Standard"/>
              <w:jc w:val="center"/>
              <w:rPr>
                <w:rFonts w:hint="eastAsia"/>
              </w:rPr>
            </w:pPr>
            <w:r>
              <w:rPr>
                <w:b/>
                <w:bCs/>
                <w:sz w:val="18"/>
                <w:szCs w:val="18"/>
              </w:rPr>
              <w:t>n (%)</w:t>
            </w:r>
          </w:p>
        </w:tc>
        <w:tc>
          <w:tcPr>
            <w:tcW w:w="1561" w:type="dxa"/>
            <w:tcBorders>
              <w:top w:val="single" w:sz="4" w:space="0" w:color="000000"/>
            </w:tcBorders>
            <w:tcMar>
              <w:top w:w="0" w:type="dxa"/>
              <w:left w:w="108" w:type="dxa"/>
              <w:bottom w:w="0" w:type="dxa"/>
              <w:right w:w="108" w:type="dxa"/>
            </w:tcMar>
            <w:vAlign w:val="center"/>
          </w:tcPr>
          <w:p w14:paraId="5043FD36" w14:textId="77777777" w:rsidR="00D257D6" w:rsidRDefault="00D257D6" w:rsidP="00AD0EE9">
            <w:pPr>
              <w:pStyle w:val="Standard"/>
              <w:jc w:val="center"/>
              <w:rPr>
                <w:rFonts w:hint="eastAsia"/>
                <w:sz w:val="18"/>
                <w:szCs w:val="18"/>
              </w:rPr>
            </w:pPr>
          </w:p>
        </w:tc>
      </w:tr>
      <w:tr w:rsidR="00D257D6" w14:paraId="3A0EA558" w14:textId="77777777" w:rsidTr="00AD0EE9">
        <w:tc>
          <w:tcPr>
            <w:tcW w:w="2920" w:type="dxa"/>
            <w:tcMar>
              <w:top w:w="0" w:type="dxa"/>
              <w:left w:w="108" w:type="dxa"/>
              <w:bottom w:w="0" w:type="dxa"/>
              <w:right w:w="108" w:type="dxa"/>
            </w:tcMar>
            <w:vAlign w:val="center"/>
          </w:tcPr>
          <w:p w14:paraId="0693B8B9" w14:textId="77777777" w:rsidR="00D257D6" w:rsidRDefault="00D257D6" w:rsidP="00AD0EE9">
            <w:pPr>
              <w:pStyle w:val="Standard"/>
              <w:rPr>
                <w:rFonts w:hint="eastAsia"/>
              </w:rPr>
            </w:pPr>
            <w:r>
              <w:rPr>
                <w:b/>
                <w:bCs/>
                <w:sz w:val="18"/>
                <w:szCs w:val="18"/>
              </w:rPr>
              <w:t xml:space="preserve">    Sexo</w:t>
            </w:r>
          </w:p>
        </w:tc>
        <w:tc>
          <w:tcPr>
            <w:tcW w:w="2081" w:type="dxa"/>
            <w:tcMar>
              <w:top w:w="0" w:type="dxa"/>
              <w:left w:w="108" w:type="dxa"/>
              <w:bottom w:w="0" w:type="dxa"/>
              <w:right w:w="108" w:type="dxa"/>
            </w:tcMar>
            <w:vAlign w:val="center"/>
          </w:tcPr>
          <w:p w14:paraId="6C225457" w14:textId="77777777" w:rsidR="00D257D6" w:rsidRDefault="00D257D6" w:rsidP="00AD0EE9">
            <w:pPr>
              <w:pStyle w:val="Standard"/>
              <w:jc w:val="center"/>
              <w:rPr>
                <w:rFonts w:hint="eastAsia"/>
                <w:sz w:val="18"/>
                <w:szCs w:val="18"/>
              </w:rPr>
            </w:pPr>
          </w:p>
        </w:tc>
        <w:tc>
          <w:tcPr>
            <w:tcW w:w="1941" w:type="dxa"/>
            <w:tcMar>
              <w:top w:w="0" w:type="dxa"/>
              <w:left w:w="108" w:type="dxa"/>
              <w:bottom w:w="0" w:type="dxa"/>
              <w:right w:w="108" w:type="dxa"/>
            </w:tcMar>
            <w:vAlign w:val="center"/>
          </w:tcPr>
          <w:p w14:paraId="7C0A8437" w14:textId="77777777" w:rsidR="00D257D6" w:rsidRDefault="00D257D6" w:rsidP="00AD0EE9">
            <w:pPr>
              <w:pStyle w:val="Standard"/>
              <w:jc w:val="center"/>
              <w:rPr>
                <w:rFonts w:hint="eastAsia"/>
                <w:sz w:val="18"/>
                <w:szCs w:val="18"/>
              </w:rPr>
            </w:pPr>
          </w:p>
        </w:tc>
        <w:tc>
          <w:tcPr>
            <w:tcW w:w="1561" w:type="dxa"/>
            <w:tcMar>
              <w:top w:w="0" w:type="dxa"/>
              <w:left w:w="108" w:type="dxa"/>
              <w:bottom w:w="0" w:type="dxa"/>
              <w:right w:w="108" w:type="dxa"/>
            </w:tcMar>
            <w:vAlign w:val="center"/>
          </w:tcPr>
          <w:p w14:paraId="3A7F2080" w14:textId="77777777" w:rsidR="00D257D6" w:rsidRDefault="00D257D6" w:rsidP="00AD0EE9">
            <w:pPr>
              <w:pStyle w:val="Standard"/>
              <w:jc w:val="center"/>
              <w:rPr>
                <w:rFonts w:hint="eastAsia"/>
                <w:sz w:val="18"/>
                <w:szCs w:val="18"/>
              </w:rPr>
            </w:pPr>
          </w:p>
        </w:tc>
      </w:tr>
      <w:tr w:rsidR="00D257D6" w14:paraId="12B53D4B" w14:textId="77777777" w:rsidTr="00AD0EE9">
        <w:tc>
          <w:tcPr>
            <w:tcW w:w="2920" w:type="dxa"/>
            <w:tcMar>
              <w:top w:w="0" w:type="dxa"/>
              <w:left w:w="108" w:type="dxa"/>
              <w:bottom w:w="0" w:type="dxa"/>
              <w:right w:w="108" w:type="dxa"/>
            </w:tcMar>
            <w:vAlign w:val="center"/>
          </w:tcPr>
          <w:p w14:paraId="5EE9E873" w14:textId="77777777" w:rsidR="00D257D6" w:rsidRDefault="00D257D6" w:rsidP="00AD0EE9">
            <w:pPr>
              <w:pStyle w:val="Standard"/>
              <w:rPr>
                <w:rFonts w:hint="eastAsia"/>
              </w:rPr>
            </w:pPr>
            <w:r>
              <w:rPr>
                <w:sz w:val="18"/>
                <w:szCs w:val="18"/>
              </w:rPr>
              <w:t>Feminino</w:t>
            </w:r>
          </w:p>
        </w:tc>
        <w:tc>
          <w:tcPr>
            <w:tcW w:w="2081" w:type="dxa"/>
            <w:tcMar>
              <w:top w:w="0" w:type="dxa"/>
              <w:left w:w="108" w:type="dxa"/>
              <w:bottom w:w="0" w:type="dxa"/>
              <w:right w:w="108" w:type="dxa"/>
            </w:tcMar>
            <w:vAlign w:val="center"/>
          </w:tcPr>
          <w:p w14:paraId="4E87688E" w14:textId="77777777" w:rsidR="00D257D6" w:rsidRDefault="00D257D6" w:rsidP="00AD0EE9">
            <w:pPr>
              <w:pStyle w:val="Standard"/>
              <w:jc w:val="center"/>
              <w:rPr>
                <w:rFonts w:hint="eastAsia"/>
              </w:rPr>
            </w:pPr>
            <w:r>
              <w:rPr>
                <w:sz w:val="18"/>
                <w:szCs w:val="18"/>
              </w:rPr>
              <w:t>36 (55,5)</w:t>
            </w:r>
          </w:p>
        </w:tc>
        <w:tc>
          <w:tcPr>
            <w:tcW w:w="1941" w:type="dxa"/>
            <w:tcMar>
              <w:top w:w="0" w:type="dxa"/>
              <w:left w:w="108" w:type="dxa"/>
              <w:bottom w:w="0" w:type="dxa"/>
              <w:right w:w="108" w:type="dxa"/>
            </w:tcMar>
            <w:vAlign w:val="center"/>
          </w:tcPr>
          <w:p w14:paraId="3BC2F530" w14:textId="77777777" w:rsidR="00D257D6" w:rsidRDefault="00D257D6" w:rsidP="00AD0EE9">
            <w:pPr>
              <w:pStyle w:val="Standard"/>
              <w:jc w:val="center"/>
              <w:rPr>
                <w:rFonts w:hint="eastAsia"/>
              </w:rPr>
            </w:pPr>
            <w:r>
              <w:rPr>
                <w:sz w:val="18"/>
                <w:szCs w:val="18"/>
              </w:rPr>
              <w:t>43 (60,6)</w:t>
            </w:r>
          </w:p>
        </w:tc>
        <w:tc>
          <w:tcPr>
            <w:tcW w:w="1561" w:type="dxa"/>
            <w:vMerge w:val="restart"/>
            <w:tcMar>
              <w:top w:w="0" w:type="dxa"/>
              <w:left w:w="108" w:type="dxa"/>
              <w:bottom w:w="0" w:type="dxa"/>
              <w:right w:w="108" w:type="dxa"/>
            </w:tcMar>
            <w:vAlign w:val="center"/>
          </w:tcPr>
          <w:p w14:paraId="414517F7" w14:textId="77777777" w:rsidR="00D257D6" w:rsidRDefault="00D257D6" w:rsidP="00AD0EE9">
            <w:pPr>
              <w:pStyle w:val="Standard"/>
              <w:jc w:val="center"/>
              <w:rPr>
                <w:rFonts w:hint="eastAsia"/>
              </w:rPr>
            </w:pPr>
            <w:r>
              <w:rPr>
                <w:sz w:val="18"/>
                <w:szCs w:val="18"/>
              </w:rPr>
              <w:t>0,541</w:t>
            </w:r>
          </w:p>
        </w:tc>
      </w:tr>
      <w:tr w:rsidR="00D257D6" w14:paraId="1B131A48" w14:textId="77777777" w:rsidTr="00AD0EE9">
        <w:tc>
          <w:tcPr>
            <w:tcW w:w="2920" w:type="dxa"/>
            <w:tcMar>
              <w:top w:w="0" w:type="dxa"/>
              <w:left w:w="108" w:type="dxa"/>
              <w:bottom w:w="0" w:type="dxa"/>
              <w:right w:w="108" w:type="dxa"/>
            </w:tcMar>
            <w:vAlign w:val="center"/>
          </w:tcPr>
          <w:p w14:paraId="4DFD2290" w14:textId="77777777" w:rsidR="00D257D6" w:rsidRDefault="00D257D6" w:rsidP="00AD0EE9">
            <w:pPr>
              <w:pStyle w:val="Standard"/>
              <w:rPr>
                <w:rFonts w:hint="eastAsia"/>
              </w:rPr>
            </w:pPr>
            <w:r>
              <w:rPr>
                <w:sz w:val="18"/>
                <w:szCs w:val="18"/>
              </w:rPr>
              <w:t>Masculino</w:t>
            </w:r>
          </w:p>
        </w:tc>
        <w:tc>
          <w:tcPr>
            <w:tcW w:w="2081" w:type="dxa"/>
            <w:tcMar>
              <w:top w:w="0" w:type="dxa"/>
              <w:left w:w="108" w:type="dxa"/>
              <w:bottom w:w="0" w:type="dxa"/>
              <w:right w:w="108" w:type="dxa"/>
            </w:tcMar>
            <w:vAlign w:val="center"/>
          </w:tcPr>
          <w:p w14:paraId="0323D09F" w14:textId="77777777" w:rsidR="00D257D6" w:rsidRDefault="00D257D6" w:rsidP="00AD0EE9">
            <w:pPr>
              <w:pStyle w:val="Standard"/>
              <w:jc w:val="center"/>
              <w:rPr>
                <w:rFonts w:hint="eastAsia"/>
              </w:rPr>
            </w:pPr>
            <w:r>
              <w:rPr>
                <w:sz w:val="18"/>
                <w:szCs w:val="18"/>
              </w:rPr>
              <w:t>29 (44,6)</w:t>
            </w:r>
          </w:p>
        </w:tc>
        <w:tc>
          <w:tcPr>
            <w:tcW w:w="1941" w:type="dxa"/>
            <w:tcMar>
              <w:top w:w="0" w:type="dxa"/>
              <w:left w:w="108" w:type="dxa"/>
              <w:bottom w:w="0" w:type="dxa"/>
              <w:right w:w="108" w:type="dxa"/>
            </w:tcMar>
            <w:vAlign w:val="center"/>
          </w:tcPr>
          <w:p w14:paraId="1007233B" w14:textId="77777777" w:rsidR="00D257D6" w:rsidRDefault="00D257D6" w:rsidP="00AD0EE9">
            <w:pPr>
              <w:pStyle w:val="Standard"/>
              <w:jc w:val="center"/>
              <w:rPr>
                <w:rFonts w:hint="eastAsia"/>
              </w:rPr>
            </w:pPr>
            <w:r>
              <w:rPr>
                <w:sz w:val="18"/>
                <w:szCs w:val="18"/>
              </w:rPr>
              <w:t>28 (39,4)</w:t>
            </w:r>
          </w:p>
        </w:tc>
        <w:tc>
          <w:tcPr>
            <w:tcW w:w="1561" w:type="dxa"/>
            <w:vMerge/>
            <w:tcMar>
              <w:top w:w="0" w:type="dxa"/>
              <w:left w:w="108" w:type="dxa"/>
              <w:bottom w:w="0" w:type="dxa"/>
              <w:right w:w="108" w:type="dxa"/>
            </w:tcMar>
            <w:vAlign w:val="center"/>
          </w:tcPr>
          <w:p w14:paraId="7CDF3C24" w14:textId="77777777" w:rsidR="00D257D6" w:rsidRDefault="00D257D6" w:rsidP="00AD0EE9">
            <w:pPr>
              <w:rPr>
                <w:rFonts w:hint="eastAsia"/>
              </w:rPr>
            </w:pPr>
          </w:p>
        </w:tc>
      </w:tr>
      <w:tr w:rsidR="00D257D6" w14:paraId="7A9F3861" w14:textId="77777777" w:rsidTr="00AD0EE9">
        <w:tc>
          <w:tcPr>
            <w:tcW w:w="2920" w:type="dxa"/>
            <w:tcMar>
              <w:top w:w="0" w:type="dxa"/>
              <w:left w:w="108" w:type="dxa"/>
              <w:bottom w:w="0" w:type="dxa"/>
              <w:right w:w="108" w:type="dxa"/>
            </w:tcMar>
            <w:vAlign w:val="center"/>
          </w:tcPr>
          <w:p w14:paraId="46E3F088" w14:textId="77777777" w:rsidR="00D257D6" w:rsidRDefault="00D257D6" w:rsidP="00AD0EE9">
            <w:pPr>
              <w:pStyle w:val="Standard"/>
              <w:rPr>
                <w:rFonts w:hint="eastAsia"/>
              </w:rPr>
            </w:pPr>
            <w:r>
              <w:rPr>
                <w:b/>
                <w:bCs/>
                <w:sz w:val="18"/>
                <w:szCs w:val="18"/>
              </w:rPr>
              <w:t xml:space="preserve">    Nutrição iniciada em até 48h </w:t>
            </w:r>
          </w:p>
        </w:tc>
        <w:tc>
          <w:tcPr>
            <w:tcW w:w="2081" w:type="dxa"/>
            <w:tcMar>
              <w:top w:w="0" w:type="dxa"/>
              <w:left w:w="108" w:type="dxa"/>
              <w:bottom w:w="0" w:type="dxa"/>
              <w:right w:w="108" w:type="dxa"/>
            </w:tcMar>
            <w:vAlign w:val="center"/>
          </w:tcPr>
          <w:p w14:paraId="318F69F9" w14:textId="77777777" w:rsidR="00D257D6" w:rsidRDefault="00D257D6" w:rsidP="00AD0EE9">
            <w:pPr>
              <w:pStyle w:val="Standard"/>
              <w:jc w:val="center"/>
              <w:rPr>
                <w:rFonts w:hint="eastAsia"/>
                <w:sz w:val="18"/>
                <w:szCs w:val="18"/>
              </w:rPr>
            </w:pPr>
          </w:p>
        </w:tc>
        <w:tc>
          <w:tcPr>
            <w:tcW w:w="1941" w:type="dxa"/>
            <w:tcMar>
              <w:top w:w="0" w:type="dxa"/>
              <w:left w:w="108" w:type="dxa"/>
              <w:bottom w:w="0" w:type="dxa"/>
              <w:right w:w="108" w:type="dxa"/>
            </w:tcMar>
            <w:vAlign w:val="center"/>
          </w:tcPr>
          <w:p w14:paraId="65E143C1" w14:textId="77777777" w:rsidR="00D257D6" w:rsidRDefault="00D257D6" w:rsidP="00AD0EE9">
            <w:pPr>
              <w:pStyle w:val="Standard"/>
              <w:jc w:val="center"/>
              <w:rPr>
                <w:rFonts w:hint="eastAsia"/>
                <w:sz w:val="18"/>
                <w:szCs w:val="18"/>
              </w:rPr>
            </w:pPr>
          </w:p>
        </w:tc>
        <w:tc>
          <w:tcPr>
            <w:tcW w:w="1561" w:type="dxa"/>
            <w:tcMar>
              <w:top w:w="0" w:type="dxa"/>
              <w:left w:w="108" w:type="dxa"/>
              <w:bottom w:w="0" w:type="dxa"/>
              <w:right w:w="108" w:type="dxa"/>
            </w:tcMar>
            <w:vAlign w:val="center"/>
          </w:tcPr>
          <w:p w14:paraId="0DF13C33" w14:textId="77777777" w:rsidR="00D257D6" w:rsidRDefault="00D257D6" w:rsidP="00AD0EE9">
            <w:pPr>
              <w:pStyle w:val="Standard"/>
              <w:jc w:val="center"/>
              <w:rPr>
                <w:rFonts w:hint="eastAsia"/>
                <w:sz w:val="18"/>
                <w:szCs w:val="18"/>
              </w:rPr>
            </w:pPr>
          </w:p>
        </w:tc>
      </w:tr>
      <w:tr w:rsidR="00D257D6" w14:paraId="6E0EBCE3" w14:textId="77777777" w:rsidTr="00AD0EE9">
        <w:tc>
          <w:tcPr>
            <w:tcW w:w="2920" w:type="dxa"/>
            <w:tcMar>
              <w:top w:w="0" w:type="dxa"/>
              <w:left w:w="108" w:type="dxa"/>
              <w:bottom w:w="0" w:type="dxa"/>
              <w:right w:w="108" w:type="dxa"/>
            </w:tcMar>
            <w:vAlign w:val="center"/>
          </w:tcPr>
          <w:p w14:paraId="4942E8DC" w14:textId="77777777" w:rsidR="00D257D6" w:rsidRDefault="00D257D6" w:rsidP="00AD0EE9">
            <w:pPr>
              <w:pStyle w:val="Standard"/>
              <w:rPr>
                <w:rFonts w:hint="eastAsia"/>
              </w:rPr>
            </w:pPr>
            <w:r>
              <w:rPr>
                <w:sz w:val="18"/>
                <w:szCs w:val="18"/>
              </w:rPr>
              <w:t>Sim</w:t>
            </w:r>
          </w:p>
        </w:tc>
        <w:tc>
          <w:tcPr>
            <w:tcW w:w="2081" w:type="dxa"/>
            <w:tcMar>
              <w:top w:w="0" w:type="dxa"/>
              <w:left w:w="108" w:type="dxa"/>
              <w:bottom w:w="0" w:type="dxa"/>
              <w:right w:w="108" w:type="dxa"/>
            </w:tcMar>
            <w:vAlign w:val="center"/>
          </w:tcPr>
          <w:p w14:paraId="26EC1112" w14:textId="77777777" w:rsidR="00D257D6" w:rsidRDefault="00D257D6" w:rsidP="00AD0EE9">
            <w:pPr>
              <w:pStyle w:val="Standard"/>
              <w:jc w:val="center"/>
              <w:rPr>
                <w:rFonts w:hint="eastAsia"/>
              </w:rPr>
            </w:pPr>
            <w:r>
              <w:rPr>
                <w:sz w:val="18"/>
                <w:szCs w:val="18"/>
              </w:rPr>
              <w:t>52 (80,0)</w:t>
            </w:r>
          </w:p>
        </w:tc>
        <w:tc>
          <w:tcPr>
            <w:tcW w:w="1941" w:type="dxa"/>
            <w:tcMar>
              <w:top w:w="0" w:type="dxa"/>
              <w:left w:w="108" w:type="dxa"/>
              <w:bottom w:w="0" w:type="dxa"/>
              <w:right w:w="108" w:type="dxa"/>
            </w:tcMar>
            <w:vAlign w:val="center"/>
          </w:tcPr>
          <w:p w14:paraId="4957AE83" w14:textId="77777777" w:rsidR="00D257D6" w:rsidRDefault="00D257D6" w:rsidP="00AD0EE9">
            <w:pPr>
              <w:pStyle w:val="Standard"/>
              <w:jc w:val="center"/>
              <w:rPr>
                <w:rFonts w:hint="eastAsia"/>
              </w:rPr>
            </w:pPr>
            <w:r>
              <w:rPr>
                <w:sz w:val="18"/>
                <w:szCs w:val="18"/>
              </w:rPr>
              <w:t>60 (84,5)</w:t>
            </w:r>
          </w:p>
        </w:tc>
        <w:tc>
          <w:tcPr>
            <w:tcW w:w="1561" w:type="dxa"/>
            <w:tcMar>
              <w:top w:w="0" w:type="dxa"/>
              <w:left w:w="108" w:type="dxa"/>
              <w:bottom w:w="0" w:type="dxa"/>
              <w:right w:w="108" w:type="dxa"/>
            </w:tcMar>
            <w:vAlign w:val="center"/>
          </w:tcPr>
          <w:p w14:paraId="43CEC2AA" w14:textId="77777777" w:rsidR="00D257D6" w:rsidRDefault="00D257D6" w:rsidP="00AD0EE9">
            <w:pPr>
              <w:pStyle w:val="Standard"/>
              <w:jc w:val="center"/>
              <w:rPr>
                <w:rFonts w:hint="eastAsia"/>
              </w:rPr>
            </w:pPr>
            <w:r>
              <w:rPr>
                <w:sz w:val="18"/>
                <w:szCs w:val="18"/>
              </w:rPr>
              <w:t>0,491</w:t>
            </w:r>
          </w:p>
        </w:tc>
      </w:tr>
      <w:tr w:rsidR="00D257D6" w14:paraId="2942BD5B" w14:textId="77777777" w:rsidTr="00AD0EE9">
        <w:tc>
          <w:tcPr>
            <w:tcW w:w="2920" w:type="dxa"/>
            <w:tcMar>
              <w:top w:w="0" w:type="dxa"/>
              <w:left w:w="108" w:type="dxa"/>
              <w:bottom w:w="0" w:type="dxa"/>
              <w:right w:w="108" w:type="dxa"/>
            </w:tcMar>
            <w:vAlign w:val="center"/>
          </w:tcPr>
          <w:p w14:paraId="46713518" w14:textId="77777777" w:rsidR="00D257D6" w:rsidRDefault="00D257D6" w:rsidP="00AD0EE9">
            <w:pPr>
              <w:pStyle w:val="Standard"/>
              <w:rPr>
                <w:rFonts w:hint="eastAsia"/>
              </w:rPr>
            </w:pPr>
            <w:r>
              <w:rPr>
                <w:sz w:val="18"/>
                <w:szCs w:val="18"/>
              </w:rPr>
              <w:t>Não</w:t>
            </w:r>
          </w:p>
        </w:tc>
        <w:tc>
          <w:tcPr>
            <w:tcW w:w="2081" w:type="dxa"/>
            <w:tcMar>
              <w:top w:w="0" w:type="dxa"/>
              <w:left w:w="108" w:type="dxa"/>
              <w:bottom w:w="0" w:type="dxa"/>
              <w:right w:w="108" w:type="dxa"/>
            </w:tcMar>
            <w:vAlign w:val="center"/>
          </w:tcPr>
          <w:p w14:paraId="000EB177" w14:textId="77777777" w:rsidR="00D257D6" w:rsidRDefault="00D257D6" w:rsidP="00AD0EE9">
            <w:pPr>
              <w:pStyle w:val="Standard"/>
              <w:jc w:val="center"/>
              <w:rPr>
                <w:rFonts w:hint="eastAsia"/>
              </w:rPr>
            </w:pPr>
            <w:r>
              <w:rPr>
                <w:sz w:val="18"/>
                <w:szCs w:val="18"/>
              </w:rPr>
              <w:t>13 (20,0)</w:t>
            </w:r>
          </w:p>
        </w:tc>
        <w:tc>
          <w:tcPr>
            <w:tcW w:w="1941" w:type="dxa"/>
            <w:tcMar>
              <w:top w:w="0" w:type="dxa"/>
              <w:left w:w="108" w:type="dxa"/>
              <w:bottom w:w="0" w:type="dxa"/>
              <w:right w:w="108" w:type="dxa"/>
            </w:tcMar>
            <w:vAlign w:val="center"/>
          </w:tcPr>
          <w:p w14:paraId="4EBACA3E" w14:textId="77777777" w:rsidR="00D257D6" w:rsidRDefault="00D257D6" w:rsidP="00AD0EE9">
            <w:pPr>
              <w:pStyle w:val="Standard"/>
              <w:jc w:val="center"/>
              <w:rPr>
                <w:rFonts w:hint="eastAsia"/>
              </w:rPr>
            </w:pPr>
            <w:r>
              <w:rPr>
                <w:sz w:val="18"/>
                <w:szCs w:val="18"/>
              </w:rPr>
              <w:t>11 (15,5)</w:t>
            </w:r>
          </w:p>
        </w:tc>
        <w:tc>
          <w:tcPr>
            <w:tcW w:w="1561" w:type="dxa"/>
            <w:tcMar>
              <w:top w:w="0" w:type="dxa"/>
              <w:left w:w="108" w:type="dxa"/>
              <w:bottom w:w="0" w:type="dxa"/>
              <w:right w:w="108" w:type="dxa"/>
            </w:tcMar>
            <w:vAlign w:val="center"/>
          </w:tcPr>
          <w:p w14:paraId="6EED8636" w14:textId="77777777" w:rsidR="00D257D6" w:rsidRDefault="00D257D6" w:rsidP="00AD0EE9">
            <w:pPr>
              <w:pStyle w:val="Standard"/>
              <w:jc w:val="center"/>
              <w:rPr>
                <w:rFonts w:hint="eastAsia"/>
                <w:sz w:val="18"/>
                <w:szCs w:val="18"/>
              </w:rPr>
            </w:pPr>
          </w:p>
        </w:tc>
      </w:tr>
      <w:tr w:rsidR="00D257D6" w14:paraId="7A7501EC" w14:textId="77777777" w:rsidTr="00AD0EE9">
        <w:tc>
          <w:tcPr>
            <w:tcW w:w="2920" w:type="dxa"/>
            <w:tcMar>
              <w:top w:w="0" w:type="dxa"/>
              <w:left w:w="108" w:type="dxa"/>
              <w:bottom w:w="0" w:type="dxa"/>
              <w:right w:w="108" w:type="dxa"/>
            </w:tcMar>
            <w:vAlign w:val="center"/>
          </w:tcPr>
          <w:p w14:paraId="006709BB" w14:textId="77777777" w:rsidR="00D257D6" w:rsidRDefault="00D257D6" w:rsidP="00AD0EE9">
            <w:pPr>
              <w:pStyle w:val="Standard"/>
              <w:rPr>
                <w:rFonts w:hint="eastAsia"/>
              </w:rPr>
            </w:pPr>
            <w:r>
              <w:rPr>
                <w:b/>
                <w:bCs/>
                <w:sz w:val="18"/>
                <w:szCs w:val="18"/>
              </w:rPr>
              <w:t xml:space="preserve">    Procedência</w:t>
            </w:r>
          </w:p>
        </w:tc>
        <w:tc>
          <w:tcPr>
            <w:tcW w:w="2081" w:type="dxa"/>
            <w:tcMar>
              <w:top w:w="0" w:type="dxa"/>
              <w:left w:w="108" w:type="dxa"/>
              <w:bottom w:w="0" w:type="dxa"/>
              <w:right w:w="108" w:type="dxa"/>
            </w:tcMar>
            <w:vAlign w:val="center"/>
          </w:tcPr>
          <w:p w14:paraId="0BECEADB" w14:textId="77777777" w:rsidR="00D257D6" w:rsidRDefault="00D257D6" w:rsidP="00AD0EE9">
            <w:pPr>
              <w:pStyle w:val="Standard"/>
              <w:jc w:val="center"/>
              <w:rPr>
                <w:rFonts w:hint="eastAsia"/>
                <w:sz w:val="18"/>
                <w:szCs w:val="18"/>
              </w:rPr>
            </w:pPr>
          </w:p>
        </w:tc>
        <w:tc>
          <w:tcPr>
            <w:tcW w:w="1941" w:type="dxa"/>
            <w:tcMar>
              <w:top w:w="0" w:type="dxa"/>
              <w:left w:w="108" w:type="dxa"/>
              <w:bottom w:w="0" w:type="dxa"/>
              <w:right w:w="108" w:type="dxa"/>
            </w:tcMar>
            <w:vAlign w:val="center"/>
          </w:tcPr>
          <w:p w14:paraId="1AFA9593" w14:textId="77777777" w:rsidR="00D257D6" w:rsidRDefault="00D257D6" w:rsidP="00AD0EE9">
            <w:pPr>
              <w:pStyle w:val="Standard"/>
              <w:jc w:val="center"/>
              <w:rPr>
                <w:rFonts w:hint="eastAsia"/>
                <w:sz w:val="18"/>
                <w:szCs w:val="18"/>
              </w:rPr>
            </w:pPr>
          </w:p>
        </w:tc>
        <w:tc>
          <w:tcPr>
            <w:tcW w:w="1561" w:type="dxa"/>
            <w:tcMar>
              <w:top w:w="0" w:type="dxa"/>
              <w:left w:w="108" w:type="dxa"/>
              <w:bottom w:w="0" w:type="dxa"/>
              <w:right w:w="108" w:type="dxa"/>
            </w:tcMar>
            <w:vAlign w:val="center"/>
          </w:tcPr>
          <w:p w14:paraId="1A48EB3B" w14:textId="77777777" w:rsidR="00D257D6" w:rsidRDefault="00D257D6" w:rsidP="00AD0EE9">
            <w:pPr>
              <w:pStyle w:val="Standard"/>
              <w:jc w:val="center"/>
              <w:rPr>
                <w:rFonts w:hint="eastAsia"/>
                <w:sz w:val="18"/>
                <w:szCs w:val="18"/>
              </w:rPr>
            </w:pPr>
          </w:p>
        </w:tc>
      </w:tr>
      <w:tr w:rsidR="00D257D6" w14:paraId="1400234B" w14:textId="77777777" w:rsidTr="00AD0EE9">
        <w:tc>
          <w:tcPr>
            <w:tcW w:w="2920" w:type="dxa"/>
            <w:tcMar>
              <w:top w:w="0" w:type="dxa"/>
              <w:left w:w="108" w:type="dxa"/>
              <w:bottom w:w="0" w:type="dxa"/>
              <w:right w:w="108" w:type="dxa"/>
            </w:tcMar>
            <w:vAlign w:val="center"/>
          </w:tcPr>
          <w:p w14:paraId="75D7A7DD" w14:textId="77777777" w:rsidR="00D257D6" w:rsidRDefault="00D257D6" w:rsidP="00AD0EE9">
            <w:pPr>
              <w:pStyle w:val="Standard"/>
              <w:rPr>
                <w:rFonts w:hint="eastAsia"/>
              </w:rPr>
            </w:pPr>
            <w:r>
              <w:rPr>
                <w:sz w:val="18"/>
                <w:szCs w:val="18"/>
              </w:rPr>
              <w:t>Interior</w:t>
            </w:r>
          </w:p>
        </w:tc>
        <w:tc>
          <w:tcPr>
            <w:tcW w:w="2081" w:type="dxa"/>
            <w:tcMar>
              <w:top w:w="0" w:type="dxa"/>
              <w:left w:w="108" w:type="dxa"/>
              <w:bottom w:w="0" w:type="dxa"/>
              <w:right w:w="108" w:type="dxa"/>
            </w:tcMar>
            <w:vAlign w:val="center"/>
          </w:tcPr>
          <w:p w14:paraId="6D4FCBE2" w14:textId="77777777" w:rsidR="00D257D6" w:rsidRDefault="00D257D6" w:rsidP="00AD0EE9">
            <w:pPr>
              <w:pStyle w:val="Standard"/>
              <w:jc w:val="center"/>
              <w:rPr>
                <w:rFonts w:hint="eastAsia"/>
              </w:rPr>
            </w:pPr>
            <w:r>
              <w:rPr>
                <w:sz w:val="18"/>
                <w:szCs w:val="18"/>
              </w:rPr>
              <w:t>14 (26,9)</w:t>
            </w:r>
          </w:p>
        </w:tc>
        <w:tc>
          <w:tcPr>
            <w:tcW w:w="1941" w:type="dxa"/>
            <w:tcMar>
              <w:top w:w="0" w:type="dxa"/>
              <w:left w:w="108" w:type="dxa"/>
              <w:bottom w:w="0" w:type="dxa"/>
              <w:right w:w="108" w:type="dxa"/>
            </w:tcMar>
            <w:vAlign w:val="center"/>
          </w:tcPr>
          <w:p w14:paraId="294D8E05" w14:textId="77777777" w:rsidR="00D257D6" w:rsidRDefault="00D257D6" w:rsidP="00AD0EE9">
            <w:pPr>
              <w:pStyle w:val="Standard"/>
              <w:jc w:val="center"/>
              <w:rPr>
                <w:rFonts w:hint="eastAsia"/>
              </w:rPr>
            </w:pPr>
            <w:r>
              <w:rPr>
                <w:sz w:val="18"/>
                <w:szCs w:val="18"/>
              </w:rPr>
              <w:t>18 (26,9)</w:t>
            </w:r>
          </w:p>
        </w:tc>
        <w:tc>
          <w:tcPr>
            <w:tcW w:w="1561" w:type="dxa"/>
            <w:vMerge w:val="restart"/>
            <w:tcMar>
              <w:top w:w="0" w:type="dxa"/>
              <w:left w:w="108" w:type="dxa"/>
              <w:bottom w:w="0" w:type="dxa"/>
              <w:right w:w="108" w:type="dxa"/>
            </w:tcMar>
            <w:vAlign w:val="center"/>
          </w:tcPr>
          <w:p w14:paraId="1F4E2578" w14:textId="77777777" w:rsidR="00D257D6" w:rsidRDefault="00D257D6" w:rsidP="00AD0EE9">
            <w:pPr>
              <w:pStyle w:val="Standard"/>
              <w:jc w:val="center"/>
              <w:rPr>
                <w:rFonts w:hint="eastAsia"/>
              </w:rPr>
            </w:pPr>
            <w:r>
              <w:rPr>
                <w:bCs/>
                <w:sz w:val="18"/>
                <w:szCs w:val="18"/>
              </w:rPr>
              <w:t>0,810</w:t>
            </w:r>
          </w:p>
        </w:tc>
      </w:tr>
      <w:tr w:rsidR="00D257D6" w14:paraId="0072FA85" w14:textId="77777777" w:rsidTr="00AD0EE9">
        <w:tc>
          <w:tcPr>
            <w:tcW w:w="2920" w:type="dxa"/>
            <w:tcMar>
              <w:top w:w="0" w:type="dxa"/>
              <w:left w:w="108" w:type="dxa"/>
              <w:bottom w:w="0" w:type="dxa"/>
              <w:right w:w="108" w:type="dxa"/>
            </w:tcMar>
            <w:vAlign w:val="center"/>
          </w:tcPr>
          <w:p w14:paraId="6456BEA6" w14:textId="77777777" w:rsidR="00D257D6" w:rsidRDefault="00D257D6" w:rsidP="00AD0EE9">
            <w:pPr>
              <w:pStyle w:val="Standard"/>
              <w:rPr>
                <w:rFonts w:hint="eastAsia"/>
              </w:rPr>
            </w:pPr>
            <w:r>
              <w:rPr>
                <w:sz w:val="18"/>
                <w:szCs w:val="18"/>
              </w:rPr>
              <w:t>Não informado</w:t>
            </w:r>
          </w:p>
        </w:tc>
        <w:tc>
          <w:tcPr>
            <w:tcW w:w="2081" w:type="dxa"/>
            <w:tcMar>
              <w:top w:w="0" w:type="dxa"/>
              <w:left w:w="108" w:type="dxa"/>
              <w:bottom w:w="0" w:type="dxa"/>
              <w:right w:w="108" w:type="dxa"/>
            </w:tcMar>
            <w:vAlign w:val="center"/>
          </w:tcPr>
          <w:p w14:paraId="6EDCCE4D" w14:textId="77777777" w:rsidR="00D257D6" w:rsidRDefault="00D257D6" w:rsidP="00AD0EE9">
            <w:pPr>
              <w:pStyle w:val="Standard"/>
              <w:jc w:val="center"/>
              <w:rPr>
                <w:rFonts w:hint="eastAsia"/>
              </w:rPr>
            </w:pPr>
            <w:r>
              <w:rPr>
                <w:sz w:val="18"/>
                <w:szCs w:val="18"/>
              </w:rPr>
              <w:t>10 (19,2)</w:t>
            </w:r>
          </w:p>
        </w:tc>
        <w:tc>
          <w:tcPr>
            <w:tcW w:w="1941" w:type="dxa"/>
            <w:tcMar>
              <w:top w:w="0" w:type="dxa"/>
              <w:left w:w="108" w:type="dxa"/>
              <w:bottom w:w="0" w:type="dxa"/>
              <w:right w:w="108" w:type="dxa"/>
            </w:tcMar>
            <w:vAlign w:val="center"/>
          </w:tcPr>
          <w:p w14:paraId="27E364AC" w14:textId="77777777" w:rsidR="00D257D6" w:rsidRDefault="00D257D6" w:rsidP="00AD0EE9">
            <w:pPr>
              <w:pStyle w:val="Standard"/>
              <w:jc w:val="center"/>
              <w:rPr>
                <w:rFonts w:hint="eastAsia"/>
              </w:rPr>
            </w:pPr>
            <w:r>
              <w:rPr>
                <w:sz w:val="18"/>
                <w:szCs w:val="18"/>
              </w:rPr>
              <w:t>10 (14,9)</w:t>
            </w:r>
          </w:p>
        </w:tc>
        <w:tc>
          <w:tcPr>
            <w:tcW w:w="1561" w:type="dxa"/>
            <w:vMerge/>
            <w:tcMar>
              <w:top w:w="0" w:type="dxa"/>
              <w:left w:w="108" w:type="dxa"/>
              <w:bottom w:w="0" w:type="dxa"/>
              <w:right w:w="108" w:type="dxa"/>
            </w:tcMar>
            <w:vAlign w:val="center"/>
          </w:tcPr>
          <w:p w14:paraId="5999E855" w14:textId="77777777" w:rsidR="00D257D6" w:rsidRDefault="00D257D6" w:rsidP="00AD0EE9">
            <w:pPr>
              <w:rPr>
                <w:rFonts w:hint="eastAsia"/>
              </w:rPr>
            </w:pPr>
          </w:p>
        </w:tc>
      </w:tr>
      <w:tr w:rsidR="00D257D6" w14:paraId="109B84EA" w14:textId="77777777" w:rsidTr="00AD0EE9">
        <w:tc>
          <w:tcPr>
            <w:tcW w:w="2920" w:type="dxa"/>
            <w:tcMar>
              <w:top w:w="0" w:type="dxa"/>
              <w:left w:w="108" w:type="dxa"/>
              <w:bottom w:w="0" w:type="dxa"/>
              <w:right w:w="108" w:type="dxa"/>
            </w:tcMar>
            <w:vAlign w:val="center"/>
          </w:tcPr>
          <w:p w14:paraId="56017A89" w14:textId="77777777" w:rsidR="00D257D6" w:rsidRDefault="00D257D6" w:rsidP="00AD0EE9">
            <w:pPr>
              <w:pStyle w:val="Standard"/>
              <w:rPr>
                <w:rFonts w:hint="eastAsia"/>
              </w:rPr>
            </w:pPr>
            <w:r>
              <w:rPr>
                <w:sz w:val="18"/>
                <w:szCs w:val="18"/>
              </w:rPr>
              <w:t>Salvador</w:t>
            </w:r>
          </w:p>
        </w:tc>
        <w:tc>
          <w:tcPr>
            <w:tcW w:w="2081" w:type="dxa"/>
            <w:tcMar>
              <w:top w:w="0" w:type="dxa"/>
              <w:left w:w="108" w:type="dxa"/>
              <w:bottom w:w="0" w:type="dxa"/>
              <w:right w:w="108" w:type="dxa"/>
            </w:tcMar>
            <w:vAlign w:val="center"/>
          </w:tcPr>
          <w:p w14:paraId="11C6B8C8" w14:textId="77777777" w:rsidR="00D257D6" w:rsidRDefault="00D257D6" w:rsidP="00AD0EE9">
            <w:pPr>
              <w:pStyle w:val="Standard"/>
              <w:jc w:val="center"/>
              <w:rPr>
                <w:rFonts w:hint="eastAsia"/>
              </w:rPr>
            </w:pPr>
            <w:r>
              <w:rPr>
                <w:sz w:val="18"/>
                <w:szCs w:val="18"/>
              </w:rPr>
              <w:t>28 (53,8)</w:t>
            </w:r>
          </w:p>
        </w:tc>
        <w:tc>
          <w:tcPr>
            <w:tcW w:w="1941" w:type="dxa"/>
            <w:tcMar>
              <w:top w:w="0" w:type="dxa"/>
              <w:left w:w="108" w:type="dxa"/>
              <w:bottom w:w="0" w:type="dxa"/>
              <w:right w:w="108" w:type="dxa"/>
            </w:tcMar>
            <w:vAlign w:val="center"/>
          </w:tcPr>
          <w:p w14:paraId="0FAB9BE3" w14:textId="77777777" w:rsidR="00D257D6" w:rsidRDefault="00D257D6" w:rsidP="00AD0EE9">
            <w:pPr>
              <w:pStyle w:val="Standard"/>
              <w:jc w:val="center"/>
              <w:rPr>
                <w:rFonts w:hint="eastAsia"/>
              </w:rPr>
            </w:pPr>
            <w:r>
              <w:rPr>
                <w:sz w:val="18"/>
                <w:szCs w:val="18"/>
              </w:rPr>
              <w:t>39 (58,2)</w:t>
            </w:r>
          </w:p>
        </w:tc>
        <w:tc>
          <w:tcPr>
            <w:tcW w:w="1561" w:type="dxa"/>
            <w:vMerge/>
            <w:tcMar>
              <w:top w:w="0" w:type="dxa"/>
              <w:left w:w="108" w:type="dxa"/>
              <w:bottom w:w="0" w:type="dxa"/>
              <w:right w:w="108" w:type="dxa"/>
            </w:tcMar>
            <w:vAlign w:val="center"/>
          </w:tcPr>
          <w:p w14:paraId="45881507" w14:textId="77777777" w:rsidR="00D257D6" w:rsidRDefault="00D257D6" w:rsidP="00AD0EE9">
            <w:pPr>
              <w:rPr>
                <w:rFonts w:hint="eastAsia"/>
              </w:rPr>
            </w:pPr>
          </w:p>
        </w:tc>
      </w:tr>
      <w:tr w:rsidR="00D257D6" w14:paraId="0631A2F9" w14:textId="77777777" w:rsidTr="00AD0EE9">
        <w:tc>
          <w:tcPr>
            <w:tcW w:w="2920" w:type="dxa"/>
            <w:tcMar>
              <w:top w:w="0" w:type="dxa"/>
              <w:left w:w="108" w:type="dxa"/>
              <w:bottom w:w="0" w:type="dxa"/>
              <w:right w:w="108" w:type="dxa"/>
            </w:tcMar>
            <w:vAlign w:val="center"/>
          </w:tcPr>
          <w:p w14:paraId="3946B08B" w14:textId="77777777" w:rsidR="00D257D6" w:rsidRDefault="00D257D6" w:rsidP="00AD0EE9">
            <w:pPr>
              <w:pStyle w:val="Standard"/>
              <w:rPr>
                <w:rFonts w:hint="eastAsia"/>
              </w:rPr>
            </w:pPr>
            <w:r>
              <w:rPr>
                <w:b/>
                <w:bCs/>
                <w:sz w:val="18"/>
                <w:szCs w:val="18"/>
              </w:rPr>
              <w:t xml:space="preserve">    Desfecho</w:t>
            </w:r>
          </w:p>
        </w:tc>
        <w:tc>
          <w:tcPr>
            <w:tcW w:w="2081" w:type="dxa"/>
            <w:tcMar>
              <w:top w:w="0" w:type="dxa"/>
              <w:left w:w="108" w:type="dxa"/>
              <w:bottom w:w="0" w:type="dxa"/>
              <w:right w:w="108" w:type="dxa"/>
            </w:tcMar>
            <w:vAlign w:val="center"/>
          </w:tcPr>
          <w:p w14:paraId="67EF8C6D" w14:textId="77777777" w:rsidR="00D257D6" w:rsidRDefault="00D257D6" w:rsidP="00AD0EE9">
            <w:pPr>
              <w:pStyle w:val="Standard"/>
              <w:jc w:val="center"/>
              <w:rPr>
                <w:rFonts w:hint="eastAsia"/>
                <w:sz w:val="18"/>
                <w:szCs w:val="18"/>
              </w:rPr>
            </w:pPr>
          </w:p>
        </w:tc>
        <w:tc>
          <w:tcPr>
            <w:tcW w:w="1941" w:type="dxa"/>
            <w:tcMar>
              <w:top w:w="0" w:type="dxa"/>
              <w:left w:w="108" w:type="dxa"/>
              <w:bottom w:w="0" w:type="dxa"/>
              <w:right w:w="108" w:type="dxa"/>
            </w:tcMar>
            <w:vAlign w:val="center"/>
          </w:tcPr>
          <w:p w14:paraId="6BEB19D2" w14:textId="77777777" w:rsidR="00D257D6" w:rsidRDefault="00D257D6" w:rsidP="00AD0EE9">
            <w:pPr>
              <w:pStyle w:val="Standard"/>
              <w:jc w:val="center"/>
              <w:rPr>
                <w:rFonts w:hint="eastAsia"/>
                <w:sz w:val="18"/>
                <w:szCs w:val="18"/>
              </w:rPr>
            </w:pPr>
          </w:p>
        </w:tc>
        <w:tc>
          <w:tcPr>
            <w:tcW w:w="1561" w:type="dxa"/>
            <w:tcMar>
              <w:top w:w="0" w:type="dxa"/>
              <w:left w:w="108" w:type="dxa"/>
              <w:bottom w:w="0" w:type="dxa"/>
              <w:right w:w="108" w:type="dxa"/>
            </w:tcMar>
            <w:vAlign w:val="center"/>
          </w:tcPr>
          <w:p w14:paraId="354A8088" w14:textId="77777777" w:rsidR="00D257D6" w:rsidRDefault="00D257D6" w:rsidP="00AD0EE9">
            <w:pPr>
              <w:pStyle w:val="Standard"/>
              <w:jc w:val="center"/>
              <w:rPr>
                <w:rFonts w:hint="eastAsia"/>
                <w:sz w:val="18"/>
                <w:szCs w:val="18"/>
              </w:rPr>
            </w:pPr>
          </w:p>
        </w:tc>
      </w:tr>
      <w:tr w:rsidR="00D257D6" w14:paraId="414DE4B8" w14:textId="77777777" w:rsidTr="00AD0EE9">
        <w:tc>
          <w:tcPr>
            <w:tcW w:w="2920" w:type="dxa"/>
            <w:tcMar>
              <w:top w:w="0" w:type="dxa"/>
              <w:left w:w="108" w:type="dxa"/>
              <w:bottom w:w="0" w:type="dxa"/>
              <w:right w:w="108" w:type="dxa"/>
            </w:tcMar>
            <w:vAlign w:val="center"/>
          </w:tcPr>
          <w:p w14:paraId="3945DB76" w14:textId="77777777" w:rsidR="00D257D6" w:rsidRDefault="00D257D6" w:rsidP="00AD0EE9">
            <w:pPr>
              <w:pStyle w:val="Standard"/>
              <w:rPr>
                <w:rFonts w:hint="eastAsia"/>
              </w:rPr>
            </w:pPr>
            <w:r>
              <w:rPr>
                <w:sz w:val="18"/>
                <w:szCs w:val="18"/>
              </w:rPr>
              <w:t>Transferência</w:t>
            </w:r>
          </w:p>
        </w:tc>
        <w:tc>
          <w:tcPr>
            <w:tcW w:w="2081" w:type="dxa"/>
            <w:tcMar>
              <w:top w:w="0" w:type="dxa"/>
              <w:left w:w="108" w:type="dxa"/>
              <w:bottom w:w="0" w:type="dxa"/>
              <w:right w:w="108" w:type="dxa"/>
            </w:tcMar>
            <w:vAlign w:val="center"/>
          </w:tcPr>
          <w:p w14:paraId="48010FC3" w14:textId="77777777" w:rsidR="00D257D6" w:rsidRDefault="00D257D6" w:rsidP="00AD0EE9">
            <w:pPr>
              <w:pStyle w:val="Standard"/>
              <w:jc w:val="center"/>
              <w:rPr>
                <w:rFonts w:hint="eastAsia"/>
              </w:rPr>
            </w:pPr>
            <w:r>
              <w:rPr>
                <w:sz w:val="18"/>
                <w:szCs w:val="18"/>
              </w:rPr>
              <w:t>7 (10,8)</w:t>
            </w:r>
          </w:p>
        </w:tc>
        <w:tc>
          <w:tcPr>
            <w:tcW w:w="1941" w:type="dxa"/>
            <w:tcMar>
              <w:top w:w="0" w:type="dxa"/>
              <w:left w:w="108" w:type="dxa"/>
              <w:bottom w:w="0" w:type="dxa"/>
              <w:right w:w="108" w:type="dxa"/>
            </w:tcMar>
            <w:vAlign w:val="center"/>
          </w:tcPr>
          <w:p w14:paraId="6BC69A22" w14:textId="77777777" w:rsidR="00D257D6" w:rsidRDefault="00D257D6" w:rsidP="00AD0EE9">
            <w:pPr>
              <w:pStyle w:val="Standard"/>
              <w:jc w:val="center"/>
              <w:rPr>
                <w:rFonts w:hint="eastAsia"/>
              </w:rPr>
            </w:pPr>
            <w:r>
              <w:rPr>
                <w:sz w:val="18"/>
                <w:szCs w:val="18"/>
              </w:rPr>
              <w:t>7 (9,9)</w:t>
            </w:r>
          </w:p>
        </w:tc>
        <w:tc>
          <w:tcPr>
            <w:tcW w:w="1561" w:type="dxa"/>
            <w:vMerge w:val="restart"/>
            <w:tcMar>
              <w:top w:w="0" w:type="dxa"/>
              <w:left w:w="108" w:type="dxa"/>
              <w:bottom w:w="0" w:type="dxa"/>
              <w:right w:w="108" w:type="dxa"/>
            </w:tcMar>
            <w:vAlign w:val="center"/>
          </w:tcPr>
          <w:p w14:paraId="3D13F294" w14:textId="77777777" w:rsidR="00D257D6" w:rsidRDefault="00D257D6" w:rsidP="00AD0EE9">
            <w:pPr>
              <w:pStyle w:val="Standard"/>
              <w:jc w:val="center"/>
              <w:rPr>
                <w:rFonts w:hint="eastAsia"/>
              </w:rPr>
            </w:pPr>
            <w:r>
              <w:rPr>
                <w:b/>
                <w:bCs/>
                <w:sz w:val="18"/>
                <w:szCs w:val="18"/>
              </w:rPr>
              <w:t xml:space="preserve"> 0,015</w:t>
            </w:r>
          </w:p>
        </w:tc>
      </w:tr>
      <w:tr w:rsidR="00D257D6" w14:paraId="7D978197" w14:textId="77777777" w:rsidTr="00AD0EE9">
        <w:tc>
          <w:tcPr>
            <w:tcW w:w="2920" w:type="dxa"/>
            <w:tcMar>
              <w:top w:w="0" w:type="dxa"/>
              <w:left w:w="108" w:type="dxa"/>
              <w:bottom w:w="0" w:type="dxa"/>
              <w:right w:w="108" w:type="dxa"/>
            </w:tcMar>
            <w:vAlign w:val="center"/>
          </w:tcPr>
          <w:p w14:paraId="644C2F39" w14:textId="77777777" w:rsidR="00D257D6" w:rsidRDefault="00D257D6" w:rsidP="00AD0EE9">
            <w:pPr>
              <w:pStyle w:val="Standard"/>
              <w:rPr>
                <w:rFonts w:hint="eastAsia"/>
              </w:rPr>
            </w:pPr>
            <w:r>
              <w:rPr>
                <w:sz w:val="18"/>
                <w:szCs w:val="18"/>
              </w:rPr>
              <w:t>Alta hospitalar</w:t>
            </w:r>
          </w:p>
        </w:tc>
        <w:tc>
          <w:tcPr>
            <w:tcW w:w="2081" w:type="dxa"/>
            <w:tcMar>
              <w:top w:w="0" w:type="dxa"/>
              <w:left w:w="108" w:type="dxa"/>
              <w:bottom w:w="0" w:type="dxa"/>
              <w:right w:w="108" w:type="dxa"/>
            </w:tcMar>
            <w:vAlign w:val="center"/>
          </w:tcPr>
          <w:p w14:paraId="59BC8961" w14:textId="77777777" w:rsidR="00D257D6" w:rsidRDefault="00D257D6" w:rsidP="00AD0EE9">
            <w:pPr>
              <w:pStyle w:val="Standard"/>
              <w:jc w:val="center"/>
              <w:rPr>
                <w:rFonts w:hint="eastAsia"/>
              </w:rPr>
            </w:pPr>
            <w:r>
              <w:rPr>
                <w:sz w:val="18"/>
                <w:szCs w:val="18"/>
              </w:rPr>
              <w:t>13 (20,0)</w:t>
            </w:r>
          </w:p>
        </w:tc>
        <w:tc>
          <w:tcPr>
            <w:tcW w:w="1941" w:type="dxa"/>
            <w:tcMar>
              <w:top w:w="0" w:type="dxa"/>
              <w:left w:w="108" w:type="dxa"/>
              <w:bottom w:w="0" w:type="dxa"/>
              <w:right w:w="108" w:type="dxa"/>
            </w:tcMar>
            <w:vAlign w:val="center"/>
          </w:tcPr>
          <w:p w14:paraId="30EF28C1" w14:textId="77777777" w:rsidR="00D257D6" w:rsidRDefault="00D257D6" w:rsidP="00AD0EE9">
            <w:pPr>
              <w:pStyle w:val="Standard"/>
              <w:jc w:val="center"/>
              <w:rPr>
                <w:rFonts w:hint="eastAsia"/>
              </w:rPr>
            </w:pPr>
            <w:r>
              <w:rPr>
                <w:sz w:val="18"/>
                <w:szCs w:val="18"/>
              </w:rPr>
              <w:t>3 (4,2)</w:t>
            </w:r>
          </w:p>
        </w:tc>
        <w:tc>
          <w:tcPr>
            <w:tcW w:w="1561" w:type="dxa"/>
            <w:vMerge/>
            <w:tcMar>
              <w:top w:w="0" w:type="dxa"/>
              <w:left w:w="108" w:type="dxa"/>
              <w:bottom w:w="0" w:type="dxa"/>
              <w:right w:w="108" w:type="dxa"/>
            </w:tcMar>
            <w:vAlign w:val="center"/>
          </w:tcPr>
          <w:p w14:paraId="61FB37C6" w14:textId="77777777" w:rsidR="00D257D6" w:rsidRDefault="00D257D6" w:rsidP="00AD0EE9">
            <w:pPr>
              <w:rPr>
                <w:rFonts w:hint="eastAsia"/>
              </w:rPr>
            </w:pPr>
          </w:p>
        </w:tc>
      </w:tr>
      <w:tr w:rsidR="00D257D6" w14:paraId="0FC6078F" w14:textId="77777777" w:rsidTr="00AD0EE9">
        <w:tc>
          <w:tcPr>
            <w:tcW w:w="2920" w:type="dxa"/>
            <w:tcMar>
              <w:top w:w="0" w:type="dxa"/>
              <w:left w:w="108" w:type="dxa"/>
              <w:bottom w:w="0" w:type="dxa"/>
              <w:right w:w="108" w:type="dxa"/>
            </w:tcMar>
            <w:vAlign w:val="center"/>
          </w:tcPr>
          <w:p w14:paraId="385375D1" w14:textId="77777777" w:rsidR="00D257D6" w:rsidRDefault="00D257D6" w:rsidP="00AD0EE9">
            <w:pPr>
              <w:pStyle w:val="Standard"/>
              <w:rPr>
                <w:rFonts w:hint="eastAsia"/>
              </w:rPr>
            </w:pPr>
            <w:r>
              <w:rPr>
                <w:sz w:val="18"/>
                <w:szCs w:val="18"/>
              </w:rPr>
              <w:t>Óbito</w:t>
            </w:r>
          </w:p>
        </w:tc>
        <w:tc>
          <w:tcPr>
            <w:tcW w:w="2081" w:type="dxa"/>
            <w:tcMar>
              <w:top w:w="0" w:type="dxa"/>
              <w:left w:w="108" w:type="dxa"/>
              <w:bottom w:w="0" w:type="dxa"/>
              <w:right w:w="108" w:type="dxa"/>
            </w:tcMar>
            <w:vAlign w:val="center"/>
          </w:tcPr>
          <w:p w14:paraId="74DBA56B" w14:textId="77777777" w:rsidR="00D257D6" w:rsidRDefault="00D257D6" w:rsidP="00AD0EE9">
            <w:pPr>
              <w:pStyle w:val="Standard"/>
              <w:jc w:val="center"/>
              <w:rPr>
                <w:rFonts w:hint="eastAsia"/>
              </w:rPr>
            </w:pPr>
            <w:r>
              <w:rPr>
                <w:sz w:val="18"/>
                <w:szCs w:val="18"/>
              </w:rPr>
              <w:t>45 (69,2)</w:t>
            </w:r>
          </w:p>
        </w:tc>
        <w:tc>
          <w:tcPr>
            <w:tcW w:w="1941" w:type="dxa"/>
            <w:tcMar>
              <w:top w:w="0" w:type="dxa"/>
              <w:left w:w="108" w:type="dxa"/>
              <w:bottom w:w="0" w:type="dxa"/>
              <w:right w:w="108" w:type="dxa"/>
            </w:tcMar>
            <w:vAlign w:val="center"/>
          </w:tcPr>
          <w:p w14:paraId="2965F98D" w14:textId="77777777" w:rsidR="00D257D6" w:rsidRDefault="00D257D6" w:rsidP="00AD0EE9">
            <w:pPr>
              <w:pStyle w:val="Standard"/>
              <w:jc w:val="center"/>
              <w:rPr>
                <w:rFonts w:hint="eastAsia"/>
              </w:rPr>
            </w:pPr>
            <w:r>
              <w:rPr>
                <w:sz w:val="18"/>
                <w:szCs w:val="18"/>
              </w:rPr>
              <w:t>61 (85,9)</w:t>
            </w:r>
          </w:p>
        </w:tc>
        <w:tc>
          <w:tcPr>
            <w:tcW w:w="1561" w:type="dxa"/>
            <w:vMerge/>
            <w:tcMar>
              <w:top w:w="0" w:type="dxa"/>
              <w:left w:w="108" w:type="dxa"/>
              <w:bottom w:w="0" w:type="dxa"/>
              <w:right w:w="108" w:type="dxa"/>
            </w:tcMar>
            <w:vAlign w:val="center"/>
          </w:tcPr>
          <w:p w14:paraId="48235D7B" w14:textId="77777777" w:rsidR="00D257D6" w:rsidRDefault="00D257D6" w:rsidP="00AD0EE9">
            <w:pPr>
              <w:rPr>
                <w:rFonts w:hint="eastAsia"/>
              </w:rPr>
            </w:pPr>
          </w:p>
        </w:tc>
      </w:tr>
      <w:tr w:rsidR="00D257D6" w14:paraId="3E8BD381" w14:textId="77777777" w:rsidTr="00AD0EE9">
        <w:tc>
          <w:tcPr>
            <w:tcW w:w="2920" w:type="dxa"/>
            <w:tcMar>
              <w:top w:w="0" w:type="dxa"/>
              <w:left w:w="108" w:type="dxa"/>
              <w:bottom w:w="0" w:type="dxa"/>
              <w:right w:w="108" w:type="dxa"/>
            </w:tcMar>
            <w:vAlign w:val="center"/>
          </w:tcPr>
          <w:p w14:paraId="3B1CC48D" w14:textId="77777777" w:rsidR="00D257D6" w:rsidRDefault="00D257D6" w:rsidP="00AD0EE9">
            <w:pPr>
              <w:pStyle w:val="Standard"/>
              <w:rPr>
                <w:rFonts w:hint="eastAsia"/>
              </w:rPr>
            </w:pPr>
            <w:r>
              <w:rPr>
                <w:b/>
                <w:bCs/>
                <w:sz w:val="18"/>
                <w:szCs w:val="18"/>
              </w:rPr>
              <w:t xml:space="preserve">    Diagnóstico antropométrico</w:t>
            </w:r>
          </w:p>
        </w:tc>
        <w:tc>
          <w:tcPr>
            <w:tcW w:w="2081" w:type="dxa"/>
            <w:tcMar>
              <w:top w:w="0" w:type="dxa"/>
              <w:left w:w="108" w:type="dxa"/>
              <w:bottom w:w="0" w:type="dxa"/>
              <w:right w:w="108" w:type="dxa"/>
            </w:tcMar>
            <w:vAlign w:val="center"/>
          </w:tcPr>
          <w:p w14:paraId="59AD39A0" w14:textId="77777777" w:rsidR="00D257D6" w:rsidRDefault="00D257D6" w:rsidP="00AD0EE9">
            <w:pPr>
              <w:pStyle w:val="Standard"/>
              <w:jc w:val="center"/>
              <w:rPr>
                <w:rFonts w:hint="eastAsia"/>
                <w:sz w:val="18"/>
                <w:szCs w:val="18"/>
              </w:rPr>
            </w:pPr>
          </w:p>
        </w:tc>
        <w:tc>
          <w:tcPr>
            <w:tcW w:w="1941" w:type="dxa"/>
            <w:tcMar>
              <w:top w:w="0" w:type="dxa"/>
              <w:left w:w="108" w:type="dxa"/>
              <w:bottom w:w="0" w:type="dxa"/>
              <w:right w:w="108" w:type="dxa"/>
            </w:tcMar>
            <w:vAlign w:val="center"/>
          </w:tcPr>
          <w:p w14:paraId="6588983F" w14:textId="77777777" w:rsidR="00D257D6" w:rsidRDefault="00D257D6" w:rsidP="00AD0EE9">
            <w:pPr>
              <w:pStyle w:val="Standard"/>
              <w:jc w:val="center"/>
              <w:rPr>
                <w:rFonts w:hint="eastAsia"/>
                <w:sz w:val="18"/>
                <w:szCs w:val="18"/>
              </w:rPr>
            </w:pPr>
          </w:p>
        </w:tc>
        <w:tc>
          <w:tcPr>
            <w:tcW w:w="1561" w:type="dxa"/>
            <w:tcMar>
              <w:top w:w="0" w:type="dxa"/>
              <w:left w:w="108" w:type="dxa"/>
              <w:bottom w:w="0" w:type="dxa"/>
              <w:right w:w="108" w:type="dxa"/>
            </w:tcMar>
            <w:vAlign w:val="center"/>
          </w:tcPr>
          <w:p w14:paraId="4445A305" w14:textId="77777777" w:rsidR="00D257D6" w:rsidRDefault="00D257D6" w:rsidP="00AD0EE9">
            <w:pPr>
              <w:pStyle w:val="Standard"/>
              <w:jc w:val="center"/>
              <w:rPr>
                <w:rFonts w:hint="eastAsia"/>
                <w:sz w:val="18"/>
                <w:szCs w:val="18"/>
              </w:rPr>
            </w:pPr>
          </w:p>
        </w:tc>
      </w:tr>
      <w:tr w:rsidR="00D257D6" w14:paraId="2B6B2EB9" w14:textId="77777777" w:rsidTr="00AD0EE9">
        <w:tc>
          <w:tcPr>
            <w:tcW w:w="2920" w:type="dxa"/>
            <w:tcMar>
              <w:top w:w="0" w:type="dxa"/>
              <w:left w:w="108" w:type="dxa"/>
              <w:bottom w:w="0" w:type="dxa"/>
              <w:right w:w="108" w:type="dxa"/>
            </w:tcMar>
            <w:vAlign w:val="center"/>
          </w:tcPr>
          <w:p w14:paraId="153DC9CB" w14:textId="77777777" w:rsidR="00D257D6" w:rsidRDefault="00D257D6" w:rsidP="00AD0EE9">
            <w:pPr>
              <w:pStyle w:val="Standard"/>
              <w:rPr>
                <w:rFonts w:hint="eastAsia"/>
              </w:rPr>
            </w:pPr>
            <w:r>
              <w:rPr>
                <w:sz w:val="18"/>
                <w:szCs w:val="18"/>
              </w:rPr>
              <w:t>Adequado</w:t>
            </w:r>
          </w:p>
        </w:tc>
        <w:tc>
          <w:tcPr>
            <w:tcW w:w="2081" w:type="dxa"/>
            <w:tcMar>
              <w:top w:w="0" w:type="dxa"/>
              <w:left w:w="108" w:type="dxa"/>
              <w:bottom w:w="0" w:type="dxa"/>
              <w:right w:w="108" w:type="dxa"/>
            </w:tcMar>
            <w:vAlign w:val="center"/>
          </w:tcPr>
          <w:p w14:paraId="7E73209F" w14:textId="77777777" w:rsidR="00D257D6" w:rsidRDefault="00D257D6" w:rsidP="00AD0EE9">
            <w:pPr>
              <w:pStyle w:val="Standard"/>
              <w:jc w:val="center"/>
              <w:rPr>
                <w:rFonts w:hint="eastAsia"/>
              </w:rPr>
            </w:pPr>
            <w:r>
              <w:rPr>
                <w:sz w:val="18"/>
                <w:szCs w:val="18"/>
              </w:rPr>
              <w:t>3 (4,6)</w:t>
            </w:r>
          </w:p>
        </w:tc>
        <w:tc>
          <w:tcPr>
            <w:tcW w:w="1941" w:type="dxa"/>
            <w:tcMar>
              <w:top w:w="0" w:type="dxa"/>
              <w:left w:w="108" w:type="dxa"/>
              <w:bottom w:w="0" w:type="dxa"/>
              <w:right w:w="108" w:type="dxa"/>
            </w:tcMar>
            <w:vAlign w:val="center"/>
          </w:tcPr>
          <w:p w14:paraId="21B77697" w14:textId="77777777" w:rsidR="00D257D6" w:rsidRDefault="00D257D6" w:rsidP="00AD0EE9">
            <w:pPr>
              <w:pStyle w:val="Standard"/>
              <w:jc w:val="center"/>
              <w:rPr>
                <w:rFonts w:hint="eastAsia"/>
              </w:rPr>
            </w:pPr>
            <w:r>
              <w:rPr>
                <w:sz w:val="18"/>
                <w:szCs w:val="18"/>
              </w:rPr>
              <w:t>9 (12,7)</w:t>
            </w:r>
          </w:p>
        </w:tc>
        <w:tc>
          <w:tcPr>
            <w:tcW w:w="1561" w:type="dxa"/>
            <w:tcMar>
              <w:top w:w="0" w:type="dxa"/>
              <w:left w:w="108" w:type="dxa"/>
              <w:bottom w:w="0" w:type="dxa"/>
              <w:right w:w="108" w:type="dxa"/>
            </w:tcMar>
            <w:vAlign w:val="center"/>
          </w:tcPr>
          <w:p w14:paraId="164D3807" w14:textId="77777777" w:rsidR="00D257D6" w:rsidRDefault="00D257D6" w:rsidP="00AD0EE9">
            <w:pPr>
              <w:pStyle w:val="Standard"/>
              <w:jc w:val="center"/>
              <w:rPr>
                <w:rFonts w:hint="eastAsia"/>
                <w:b/>
                <w:bCs/>
                <w:sz w:val="18"/>
                <w:szCs w:val="18"/>
              </w:rPr>
            </w:pPr>
          </w:p>
        </w:tc>
      </w:tr>
      <w:tr w:rsidR="00D257D6" w14:paraId="7E940E48" w14:textId="77777777" w:rsidTr="00AD0EE9">
        <w:tc>
          <w:tcPr>
            <w:tcW w:w="2920" w:type="dxa"/>
            <w:tcMar>
              <w:top w:w="0" w:type="dxa"/>
              <w:left w:w="108" w:type="dxa"/>
              <w:bottom w:w="0" w:type="dxa"/>
              <w:right w:w="108" w:type="dxa"/>
            </w:tcMar>
            <w:vAlign w:val="center"/>
          </w:tcPr>
          <w:p w14:paraId="49EC424D" w14:textId="77777777" w:rsidR="00D257D6" w:rsidRDefault="00D257D6" w:rsidP="00AD0EE9">
            <w:pPr>
              <w:pStyle w:val="Standard"/>
              <w:rPr>
                <w:rFonts w:hint="eastAsia"/>
              </w:rPr>
            </w:pPr>
            <w:r>
              <w:rPr>
                <w:sz w:val="18"/>
                <w:szCs w:val="18"/>
              </w:rPr>
              <w:t>Desnutrido</w:t>
            </w:r>
          </w:p>
        </w:tc>
        <w:tc>
          <w:tcPr>
            <w:tcW w:w="2081" w:type="dxa"/>
            <w:tcMar>
              <w:top w:w="0" w:type="dxa"/>
              <w:left w:w="108" w:type="dxa"/>
              <w:bottom w:w="0" w:type="dxa"/>
              <w:right w:w="108" w:type="dxa"/>
            </w:tcMar>
            <w:vAlign w:val="center"/>
          </w:tcPr>
          <w:p w14:paraId="07B86EAD" w14:textId="77777777" w:rsidR="00D257D6" w:rsidRDefault="00D257D6" w:rsidP="00AD0EE9">
            <w:pPr>
              <w:pStyle w:val="Standard"/>
              <w:jc w:val="center"/>
              <w:rPr>
                <w:rFonts w:hint="eastAsia"/>
              </w:rPr>
            </w:pPr>
            <w:r>
              <w:rPr>
                <w:sz w:val="18"/>
                <w:szCs w:val="18"/>
              </w:rPr>
              <w:t>5 (7,7)</w:t>
            </w:r>
          </w:p>
        </w:tc>
        <w:tc>
          <w:tcPr>
            <w:tcW w:w="1941" w:type="dxa"/>
            <w:tcMar>
              <w:top w:w="0" w:type="dxa"/>
              <w:left w:w="108" w:type="dxa"/>
              <w:bottom w:w="0" w:type="dxa"/>
              <w:right w:w="108" w:type="dxa"/>
            </w:tcMar>
            <w:vAlign w:val="center"/>
          </w:tcPr>
          <w:p w14:paraId="497A8923" w14:textId="77777777" w:rsidR="00D257D6" w:rsidRDefault="00D257D6" w:rsidP="00AD0EE9">
            <w:pPr>
              <w:pStyle w:val="Standard"/>
              <w:jc w:val="center"/>
              <w:rPr>
                <w:rFonts w:hint="eastAsia"/>
              </w:rPr>
            </w:pPr>
            <w:r>
              <w:rPr>
                <w:sz w:val="18"/>
                <w:szCs w:val="18"/>
              </w:rPr>
              <w:t>13 (18,3)</w:t>
            </w:r>
          </w:p>
        </w:tc>
        <w:tc>
          <w:tcPr>
            <w:tcW w:w="1561" w:type="dxa"/>
            <w:tcMar>
              <w:top w:w="0" w:type="dxa"/>
              <w:left w:w="108" w:type="dxa"/>
              <w:bottom w:w="0" w:type="dxa"/>
              <w:right w:w="108" w:type="dxa"/>
            </w:tcMar>
            <w:vAlign w:val="center"/>
          </w:tcPr>
          <w:p w14:paraId="7CEBD695" w14:textId="77777777" w:rsidR="00D257D6" w:rsidRDefault="00D257D6" w:rsidP="00AD0EE9">
            <w:pPr>
              <w:pStyle w:val="Standard"/>
              <w:jc w:val="center"/>
              <w:rPr>
                <w:rFonts w:hint="eastAsia"/>
              </w:rPr>
            </w:pPr>
            <w:r>
              <w:rPr>
                <w:b/>
                <w:sz w:val="18"/>
                <w:szCs w:val="18"/>
              </w:rPr>
              <w:t>0,032</w:t>
            </w:r>
          </w:p>
        </w:tc>
      </w:tr>
      <w:tr w:rsidR="00D257D6" w14:paraId="19086453" w14:textId="77777777" w:rsidTr="00AD0EE9">
        <w:tc>
          <w:tcPr>
            <w:tcW w:w="2920" w:type="dxa"/>
            <w:tcMar>
              <w:top w:w="0" w:type="dxa"/>
              <w:left w:w="108" w:type="dxa"/>
              <w:bottom w:w="0" w:type="dxa"/>
              <w:right w:w="108" w:type="dxa"/>
            </w:tcMar>
            <w:vAlign w:val="center"/>
          </w:tcPr>
          <w:p w14:paraId="10F4DF9D" w14:textId="77777777" w:rsidR="00D257D6" w:rsidRDefault="00D257D6" w:rsidP="00AD0EE9">
            <w:pPr>
              <w:pStyle w:val="Standard"/>
              <w:rPr>
                <w:rFonts w:hint="eastAsia"/>
              </w:rPr>
            </w:pPr>
            <w:r>
              <w:rPr>
                <w:sz w:val="18"/>
                <w:szCs w:val="18"/>
              </w:rPr>
              <w:t>Excesso de peso</w:t>
            </w:r>
          </w:p>
        </w:tc>
        <w:tc>
          <w:tcPr>
            <w:tcW w:w="2081" w:type="dxa"/>
            <w:tcMar>
              <w:top w:w="0" w:type="dxa"/>
              <w:left w:w="108" w:type="dxa"/>
              <w:bottom w:w="0" w:type="dxa"/>
              <w:right w:w="108" w:type="dxa"/>
            </w:tcMar>
            <w:vAlign w:val="center"/>
          </w:tcPr>
          <w:p w14:paraId="1D333C77" w14:textId="77777777" w:rsidR="00D257D6" w:rsidRDefault="00D257D6" w:rsidP="00AD0EE9">
            <w:pPr>
              <w:pStyle w:val="Standard"/>
              <w:jc w:val="center"/>
              <w:rPr>
                <w:rFonts w:hint="eastAsia"/>
              </w:rPr>
            </w:pPr>
            <w:r>
              <w:rPr>
                <w:sz w:val="18"/>
                <w:szCs w:val="18"/>
              </w:rPr>
              <w:t>57 (87,7)</w:t>
            </w:r>
          </w:p>
        </w:tc>
        <w:tc>
          <w:tcPr>
            <w:tcW w:w="1941" w:type="dxa"/>
            <w:tcMar>
              <w:top w:w="0" w:type="dxa"/>
              <w:left w:w="108" w:type="dxa"/>
              <w:bottom w:w="0" w:type="dxa"/>
              <w:right w:w="108" w:type="dxa"/>
            </w:tcMar>
            <w:vAlign w:val="center"/>
          </w:tcPr>
          <w:p w14:paraId="51A35E12" w14:textId="77777777" w:rsidR="00D257D6" w:rsidRDefault="00D257D6" w:rsidP="00AD0EE9">
            <w:pPr>
              <w:pStyle w:val="Standard"/>
              <w:jc w:val="center"/>
              <w:rPr>
                <w:rFonts w:hint="eastAsia"/>
              </w:rPr>
            </w:pPr>
            <w:r>
              <w:rPr>
                <w:sz w:val="18"/>
                <w:szCs w:val="18"/>
              </w:rPr>
              <w:t>49 (69,0)</w:t>
            </w:r>
          </w:p>
        </w:tc>
        <w:tc>
          <w:tcPr>
            <w:tcW w:w="1561" w:type="dxa"/>
            <w:tcMar>
              <w:top w:w="0" w:type="dxa"/>
              <w:left w:w="108" w:type="dxa"/>
              <w:bottom w:w="0" w:type="dxa"/>
              <w:right w:w="108" w:type="dxa"/>
            </w:tcMar>
            <w:vAlign w:val="center"/>
          </w:tcPr>
          <w:p w14:paraId="035CC544" w14:textId="77777777" w:rsidR="00D257D6" w:rsidRDefault="00D257D6" w:rsidP="00AD0EE9">
            <w:pPr>
              <w:pStyle w:val="Standard"/>
              <w:jc w:val="center"/>
              <w:rPr>
                <w:rFonts w:hint="eastAsia"/>
                <w:sz w:val="18"/>
                <w:szCs w:val="18"/>
              </w:rPr>
            </w:pPr>
          </w:p>
        </w:tc>
      </w:tr>
      <w:tr w:rsidR="00D257D6" w14:paraId="71A16AA4" w14:textId="77777777" w:rsidTr="00AD0EE9">
        <w:tc>
          <w:tcPr>
            <w:tcW w:w="2920" w:type="dxa"/>
            <w:tcMar>
              <w:top w:w="0" w:type="dxa"/>
              <w:left w:w="108" w:type="dxa"/>
              <w:bottom w:w="0" w:type="dxa"/>
              <w:right w:w="108" w:type="dxa"/>
            </w:tcMar>
            <w:vAlign w:val="center"/>
          </w:tcPr>
          <w:p w14:paraId="71FD747A" w14:textId="77777777" w:rsidR="00D257D6" w:rsidRDefault="00D257D6" w:rsidP="00AD0EE9">
            <w:pPr>
              <w:pStyle w:val="Standard"/>
              <w:rPr>
                <w:rFonts w:hint="eastAsia"/>
              </w:rPr>
            </w:pPr>
            <w:r>
              <w:rPr>
                <w:b/>
                <w:bCs/>
                <w:sz w:val="18"/>
                <w:szCs w:val="18"/>
              </w:rPr>
              <w:t xml:space="preserve">   Tempo de Internamento</w:t>
            </w:r>
          </w:p>
        </w:tc>
        <w:tc>
          <w:tcPr>
            <w:tcW w:w="2081" w:type="dxa"/>
            <w:tcMar>
              <w:top w:w="0" w:type="dxa"/>
              <w:left w:w="108" w:type="dxa"/>
              <w:bottom w:w="0" w:type="dxa"/>
              <w:right w:w="108" w:type="dxa"/>
            </w:tcMar>
            <w:vAlign w:val="center"/>
          </w:tcPr>
          <w:p w14:paraId="236A7298" w14:textId="77777777" w:rsidR="00D257D6" w:rsidRDefault="00D257D6" w:rsidP="00AD0EE9">
            <w:pPr>
              <w:pStyle w:val="Standard"/>
              <w:jc w:val="center"/>
              <w:rPr>
                <w:rFonts w:hint="eastAsia"/>
                <w:sz w:val="18"/>
                <w:szCs w:val="18"/>
              </w:rPr>
            </w:pPr>
          </w:p>
        </w:tc>
        <w:tc>
          <w:tcPr>
            <w:tcW w:w="1941" w:type="dxa"/>
            <w:tcMar>
              <w:top w:w="0" w:type="dxa"/>
              <w:left w:w="108" w:type="dxa"/>
              <w:bottom w:w="0" w:type="dxa"/>
              <w:right w:w="108" w:type="dxa"/>
            </w:tcMar>
            <w:vAlign w:val="center"/>
          </w:tcPr>
          <w:p w14:paraId="45BAF7E0" w14:textId="77777777" w:rsidR="00D257D6" w:rsidRDefault="00D257D6" w:rsidP="00AD0EE9">
            <w:pPr>
              <w:pStyle w:val="Standard"/>
              <w:jc w:val="center"/>
              <w:rPr>
                <w:rFonts w:hint="eastAsia"/>
                <w:sz w:val="18"/>
                <w:szCs w:val="18"/>
              </w:rPr>
            </w:pPr>
          </w:p>
        </w:tc>
        <w:tc>
          <w:tcPr>
            <w:tcW w:w="1561" w:type="dxa"/>
            <w:tcMar>
              <w:top w:w="0" w:type="dxa"/>
              <w:left w:w="108" w:type="dxa"/>
              <w:bottom w:w="0" w:type="dxa"/>
              <w:right w:w="108" w:type="dxa"/>
            </w:tcMar>
            <w:vAlign w:val="center"/>
          </w:tcPr>
          <w:p w14:paraId="30C4313B" w14:textId="77777777" w:rsidR="00D257D6" w:rsidRDefault="00D257D6" w:rsidP="00AD0EE9">
            <w:pPr>
              <w:pStyle w:val="Standard"/>
              <w:jc w:val="center"/>
              <w:rPr>
                <w:rFonts w:hint="eastAsia"/>
                <w:sz w:val="18"/>
                <w:szCs w:val="18"/>
              </w:rPr>
            </w:pPr>
          </w:p>
        </w:tc>
      </w:tr>
      <w:tr w:rsidR="00D257D6" w14:paraId="2984D826" w14:textId="77777777" w:rsidTr="00AD0EE9">
        <w:tc>
          <w:tcPr>
            <w:tcW w:w="2920" w:type="dxa"/>
            <w:tcMar>
              <w:top w:w="0" w:type="dxa"/>
              <w:left w:w="108" w:type="dxa"/>
              <w:bottom w:w="0" w:type="dxa"/>
              <w:right w:w="108" w:type="dxa"/>
            </w:tcMar>
            <w:vAlign w:val="center"/>
          </w:tcPr>
          <w:p w14:paraId="5884F6FC" w14:textId="77777777" w:rsidR="00D257D6" w:rsidRDefault="00D257D6" w:rsidP="00AD0EE9">
            <w:pPr>
              <w:pStyle w:val="Standard"/>
              <w:rPr>
                <w:rFonts w:hint="eastAsia"/>
              </w:rPr>
            </w:pPr>
            <w:r>
              <w:rPr>
                <w:sz w:val="18"/>
                <w:szCs w:val="18"/>
              </w:rPr>
              <w:t>Até 7 dias</w:t>
            </w:r>
          </w:p>
        </w:tc>
        <w:tc>
          <w:tcPr>
            <w:tcW w:w="2081" w:type="dxa"/>
            <w:tcMar>
              <w:top w:w="0" w:type="dxa"/>
              <w:left w:w="108" w:type="dxa"/>
              <w:bottom w:w="0" w:type="dxa"/>
              <w:right w:w="108" w:type="dxa"/>
            </w:tcMar>
            <w:vAlign w:val="center"/>
          </w:tcPr>
          <w:p w14:paraId="0004007C" w14:textId="77777777" w:rsidR="00D257D6" w:rsidRDefault="00D257D6" w:rsidP="00AD0EE9">
            <w:pPr>
              <w:pStyle w:val="Standard"/>
              <w:jc w:val="center"/>
              <w:rPr>
                <w:rFonts w:hint="eastAsia"/>
              </w:rPr>
            </w:pPr>
            <w:r>
              <w:rPr>
                <w:sz w:val="18"/>
                <w:szCs w:val="18"/>
              </w:rPr>
              <w:t>28 (43,8)</w:t>
            </w:r>
          </w:p>
        </w:tc>
        <w:tc>
          <w:tcPr>
            <w:tcW w:w="1941" w:type="dxa"/>
            <w:tcMar>
              <w:top w:w="0" w:type="dxa"/>
              <w:left w:w="108" w:type="dxa"/>
              <w:bottom w:w="0" w:type="dxa"/>
              <w:right w:w="108" w:type="dxa"/>
            </w:tcMar>
            <w:vAlign w:val="center"/>
          </w:tcPr>
          <w:p w14:paraId="34934DD8" w14:textId="77777777" w:rsidR="00D257D6" w:rsidRDefault="00D257D6" w:rsidP="00AD0EE9">
            <w:pPr>
              <w:pStyle w:val="Standard"/>
              <w:jc w:val="center"/>
              <w:rPr>
                <w:rFonts w:hint="eastAsia"/>
              </w:rPr>
            </w:pPr>
            <w:r>
              <w:rPr>
                <w:sz w:val="18"/>
                <w:szCs w:val="18"/>
              </w:rPr>
              <w:t>36 (51,4)</w:t>
            </w:r>
          </w:p>
        </w:tc>
        <w:tc>
          <w:tcPr>
            <w:tcW w:w="1561" w:type="dxa"/>
            <w:tcMar>
              <w:top w:w="0" w:type="dxa"/>
              <w:left w:w="108" w:type="dxa"/>
              <w:bottom w:w="0" w:type="dxa"/>
              <w:right w:w="108" w:type="dxa"/>
            </w:tcMar>
            <w:vAlign w:val="center"/>
          </w:tcPr>
          <w:p w14:paraId="121E252D" w14:textId="77777777" w:rsidR="00D257D6" w:rsidRDefault="00D257D6" w:rsidP="00AD0EE9">
            <w:pPr>
              <w:pStyle w:val="Standard"/>
              <w:jc w:val="center"/>
              <w:rPr>
                <w:rFonts w:hint="eastAsia"/>
                <w:b/>
                <w:bCs/>
                <w:sz w:val="18"/>
                <w:szCs w:val="18"/>
              </w:rPr>
            </w:pPr>
          </w:p>
        </w:tc>
      </w:tr>
      <w:tr w:rsidR="00D257D6" w14:paraId="0C95F421" w14:textId="77777777" w:rsidTr="00AD0EE9">
        <w:tc>
          <w:tcPr>
            <w:tcW w:w="2920" w:type="dxa"/>
            <w:tcMar>
              <w:top w:w="0" w:type="dxa"/>
              <w:left w:w="108" w:type="dxa"/>
              <w:bottom w:w="0" w:type="dxa"/>
              <w:right w:w="108" w:type="dxa"/>
            </w:tcMar>
            <w:vAlign w:val="center"/>
          </w:tcPr>
          <w:p w14:paraId="6864ECC0" w14:textId="77777777" w:rsidR="00D257D6" w:rsidRDefault="00D257D6" w:rsidP="00AD0EE9">
            <w:pPr>
              <w:pStyle w:val="Standard"/>
              <w:rPr>
                <w:rFonts w:hint="eastAsia"/>
              </w:rPr>
            </w:pPr>
            <w:r>
              <w:rPr>
                <w:sz w:val="18"/>
                <w:szCs w:val="18"/>
              </w:rPr>
              <w:t>Entre 7 a 15 dias</w:t>
            </w:r>
          </w:p>
        </w:tc>
        <w:tc>
          <w:tcPr>
            <w:tcW w:w="2081" w:type="dxa"/>
            <w:tcMar>
              <w:top w:w="0" w:type="dxa"/>
              <w:left w:w="108" w:type="dxa"/>
              <w:bottom w:w="0" w:type="dxa"/>
              <w:right w:w="108" w:type="dxa"/>
            </w:tcMar>
            <w:vAlign w:val="center"/>
          </w:tcPr>
          <w:p w14:paraId="02DB7A20" w14:textId="77777777" w:rsidR="00D257D6" w:rsidRDefault="00D257D6" w:rsidP="00AD0EE9">
            <w:pPr>
              <w:pStyle w:val="Standard"/>
              <w:jc w:val="center"/>
              <w:rPr>
                <w:rFonts w:hint="eastAsia"/>
              </w:rPr>
            </w:pPr>
            <w:r>
              <w:rPr>
                <w:sz w:val="18"/>
                <w:szCs w:val="18"/>
              </w:rPr>
              <w:t>18 (28,1)</w:t>
            </w:r>
          </w:p>
        </w:tc>
        <w:tc>
          <w:tcPr>
            <w:tcW w:w="1941" w:type="dxa"/>
            <w:tcMar>
              <w:top w:w="0" w:type="dxa"/>
              <w:left w:w="108" w:type="dxa"/>
              <w:bottom w:w="0" w:type="dxa"/>
              <w:right w:w="108" w:type="dxa"/>
            </w:tcMar>
            <w:vAlign w:val="center"/>
          </w:tcPr>
          <w:p w14:paraId="38E8DCDE" w14:textId="77777777" w:rsidR="00D257D6" w:rsidRDefault="00D257D6" w:rsidP="00AD0EE9">
            <w:pPr>
              <w:pStyle w:val="Standard"/>
              <w:jc w:val="center"/>
              <w:rPr>
                <w:rFonts w:hint="eastAsia"/>
              </w:rPr>
            </w:pPr>
            <w:r>
              <w:rPr>
                <w:sz w:val="18"/>
                <w:szCs w:val="18"/>
              </w:rPr>
              <w:t>20 (28,6)</w:t>
            </w:r>
          </w:p>
        </w:tc>
        <w:tc>
          <w:tcPr>
            <w:tcW w:w="1561" w:type="dxa"/>
            <w:tcMar>
              <w:top w:w="0" w:type="dxa"/>
              <w:left w:w="108" w:type="dxa"/>
              <w:bottom w:w="0" w:type="dxa"/>
              <w:right w:w="108" w:type="dxa"/>
            </w:tcMar>
            <w:vAlign w:val="center"/>
          </w:tcPr>
          <w:p w14:paraId="586DEFD0" w14:textId="77777777" w:rsidR="00D257D6" w:rsidRDefault="00D257D6" w:rsidP="00AD0EE9">
            <w:pPr>
              <w:pStyle w:val="Standard"/>
              <w:jc w:val="center"/>
              <w:rPr>
                <w:rFonts w:hint="eastAsia"/>
              </w:rPr>
            </w:pPr>
            <w:r>
              <w:rPr>
                <w:sz w:val="18"/>
                <w:szCs w:val="18"/>
              </w:rPr>
              <w:t>0,512</w:t>
            </w:r>
          </w:p>
        </w:tc>
      </w:tr>
      <w:tr w:rsidR="00D257D6" w14:paraId="5E160DA2" w14:textId="77777777" w:rsidTr="00AD0EE9">
        <w:tc>
          <w:tcPr>
            <w:tcW w:w="2920" w:type="dxa"/>
            <w:tcBorders>
              <w:bottom w:val="single" w:sz="4" w:space="0" w:color="000000"/>
            </w:tcBorders>
            <w:tcMar>
              <w:top w:w="0" w:type="dxa"/>
              <w:left w:w="108" w:type="dxa"/>
              <w:bottom w:w="0" w:type="dxa"/>
              <w:right w:w="108" w:type="dxa"/>
            </w:tcMar>
            <w:vAlign w:val="center"/>
          </w:tcPr>
          <w:p w14:paraId="6FC3493D" w14:textId="77777777" w:rsidR="00D257D6" w:rsidRDefault="00D257D6" w:rsidP="00AD0EE9">
            <w:pPr>
              <w:pStyle w:val="Standard"/>
              <w:rPr>
                <w:rFonts w:hint="eastAsia"/>
              </w:rPr>
            </w:pPr>
            <w:r>
              <w:rPr>
                <w:sz w:val="18"/>
                <w:szCs w:val="18"/>
              </w:rPr>
              <w:t>Superior a 15 dias</w:t>
            </w:r>
          </w:p>
        </w:tc>
        <w:tc>
          <w:tcPr>
            <w:tcW w:w="2081" w:type="dxa"/>
            <w:tcBorders>
              <w:bottom w:val="single" w:sz="4" w:space="0" w:color="000000"/>
            </w:tcBorders>
            <w:tcMar>
              <w:top w:w="0" w:type="dxa"/>
              <w:left w:w="108" w:type="dxa"/>
              <w:bottom w:w="0" w:type="dxa"/>
              <w:right w:w="108" w:type="dxa"/>
            </w:tcMar>
            <w:vAlign w:val="center"/>
          </w:tcPr>
          <w:p w14:paraId="31DD8C4B" w14:textId="77777777" w:rsidR="00D257D6" w:rsidRDefault="00D257D6" w:rsidP="00AD0EE9">
            <w:pPr>
              <w:pStyle w:val="Standard"/>
              <w:jc w:val="center"/>
              <w:rPr>
                <w:rFonts w:hint="eastAsia"/>
              </w:rPr>
            </w:pPr>
            <w:r>
              <w:rPr>
                <w:sz w:val="18"/>
                <w:szCs w:val="18"/>
              </w:rPr>
              <w:t>18 (28,1)</w:t>
            </w:r>
          </w:p>
        </w:tc>
        <w:tc>
          <w:tcPr>
            <w:tcW w:w="1941" w:type="dxa"/>
            <w:tcBorders>
              <w:bottom w:val="single" w:sz="4" w:space="0" w:color="000000"/>
            </w:tcBorders>
            <w:tcMar>
              <w:top w:w="0" w:type="dxa"/>
              <w:left w:w="108" w:type="dxa"/>
              <w:bottom w:w="0" w:type="dxa"/>
              <w:right w:w="108" w:type="dxa"/>
            </w:tcMar>
            <w:vAlign w:val="center"/>
          </w:tcPr>
          <w:p w14:paraId="1B5BD8B7" w14:textId="77777777" w:rsidR="00D257D6" w:rsidRDefault="00D257D6" w:rsidP="00AD0EE9">
            <w:pPr>
              <w:pStyle w:val="Standard"/>
              <w:jc w:val="center"/>
              <w:rPr>
                <w:rFonts w:hint="eastAsia"/>
              </w:rPr>
            </w:pPr>
            <w:r>
              <w:rPr>
                <w:sz w:val="18"/>
                <w:szCs w:val="18"/>
              </w:rPr>
              <w:t>14 (20,0)</w:t>
            </w:r>
          </w:p>
        </w:tc>
        <w:tc>
          <w:tcPr>
            <w:tcW w:w="1561" w:type="dxa"/>
            <w:tcBorders>
              <w:bottom w:val="single" w:sz="4" w:space="0" w:color="000000"/>
            </w:tcBorders>
            <w:tcMar>
              <w:top w:w="0" w:type="dxa"/>
              <w:left w:w="108" w:type="dxa"/>
              <w:bottom w:w="0" w:type="dxa"/>
              <w:right w:w="108" w:type="dxa"/>
            </w:tcMar>
            <w:vAlign w:val="center"/>
          </w:tcPr>
          <w:p w14:paraId="2D959230" w14:textId="77777777" w:rsidR="00D257D6" w:rsidRDefault="00D257D6" w:rsidP="00AD0EE9">
            <w:pPr>
              <w:pStyle w:val="Standard"/>
              <w:jc w:val="center"/>
              <w:rPr>
                <w:rFonts w:hint="eastAsia"/>
                <w:sz w:val="18"/>
                <w:szCs w:val="18"/>
              </w:rPr>
            </w:pPr>
          </w:p>
        </w:tc>
      </w:tr>
    </w:tbl>
    <w:p w14:paraId="63072988" w14:textId="77777777" w:rsidR="00D257D6" w:rsidRDefault="00D257D6" w:rsidP="00D257D6">
      <w:pPr>
        <w:autoSpaceDE w:val="0"/>
        <w:autoSpaceDN w:val="0"/>
        <w:adjustRightInd w:val="0"/>
        <w:spacing w:after="120" w:line="360" w:lineRule="auto"/>
        <w:jc w:val="both"/>
        <w:rPr>
          <w:rFonts w:ascii="Times New Roman" w:hAnsi="Times New Roman" w:cs="Times New Roman"/>
          <w:bCs/>
          <w:sz w:val="20"/>
          <w:szCs w:val="20"/>
        </w:rPr>
      </w:pPr>
      <w:r>
        <w:rPr>
          <w:rFonts w:ascii="Times New Roman" w:hAnsi="Times New Roman" w:cs="Times New Roman"/>
          <w:b/>
          <w:sz w:val="20"/>
          <w:szCs w:val="20"/>
        </w:rPr>
        <w:t xml:space="preserve">Fonte: </w:t>
      </w:r>
      <w:r w:rsidRPr="00F217B5">
        <w:rPr>
          <w:rFonts w:ascii="Times New Roman" w:hAnsi="Times New Roman" w:cs="Times New Roman"/>
          <w:bCs/>
          <w:sz w:val="20"/>
          <w:szCs w:val="20"/>
        </w:rPr>
        <w:t>Autoria própria, 2020</w:t>
      </w:r>
      <w:r>
        <w:rPr>
          <w:rFonts w:ascii="Times New Roman" w:hAnsi="Times New Roman" w:cs="Times New Roman"/>
          <w:bCs/>
          <w:sz w:val="20"/>
          <w:szCs w:val="20"/>
        </w:rPr>
        <w:t>.</w:t>
      </w:r>
    </w:p>
    <w:p w14:paraId="2B36F590" w14:textId="47A36930" w:rsidR="00D257D6" w:rsidRPr="00D257D6" w:rsidRDefault="00D257D6" w:rsidP="00D257D6">
      <w:pPr>
        <w:autoSpaceDE w:val="0"/>
        <w:autoSpaceDN w:val="0"/>
        <w:adjustRightInd w:val="0"/>
        <w:spacing w:after="120" w:line="360" w:lineRule="auto"/>
        <w:ind w:firstLine="708"/>
        <w:jc w:val="both"/>
        <w:rPr>
          <w:rFonts w:ascii="Times New Roman" w:hAnsi="Times New Roman" w:cs="Times New Roman"/>
          <w:b/>
          <w:sz w:val="20"/>
          <w:szCs w:val="20"/>
        </w:rPr>
      </w:pPr>
      <w:r w:rsidRPr="00D257D6">
        <w:rPr>
          <w:rFonts w:ascii="Times New Roman" w:eastAsiaTheme="minorHAnsi" w:hAnsi="Times New Roman" w:cs="Times New Roman"/>
          <w:sz w:val="24"/>
          <w:szCs w:val="24"/>
        </w:rPr>
        <w:t xml:space="preserve">No presente estudo, a oferta nutricional precoce apresentou taxas expressamente maiores (80,0% adultos e 84,5% idosos) em relação à nutrição tardia (após 48 horas da admissão). Isso pode ser uma consequência do trabalho baseado em evidências desenvolvido pelo corpo clínico do referido hospital, que por sua vez, repercute positivamente para o paciente hospitalizado, visto que essa oferta se associa a melhores </w:t>
      </w:r>
      <w:r w:rsidRPr="00D257D6">
        <w:rPr>
          <w:rFonts w:ascii="Times New Roman" w:eastAsiaTheme="minorHAnsi" w:hAnsi="Times New Roman" w:cs="Times New Roman"/>
          <w:sz w:val="24"/>
          <w:szCs w:val="24"/>
        </w:rPr>
        <w:lastRenderedPageBreak/>
        <w:t>desfechos clínicos em outras SARS sendo preconizada na assistência a portadores de COVID-19 (BARAZZONI, et al. 2020).</w:t>
      </w:r>
    </w:p>
    <w:p w14:paraId="363A10D4" w14:textId="747E18C7" w:rsidR="00D257D6" w:rsidRDefault="00D257D6" w:rsidP="00D257D6">
      <w:pPr>
        <w:pStyle w:val="Els-table-caption"/>
        <w:spacing w:before="0" w:after="120" w:line="360" w:lineRule="auto"/>
        <w:ind w:firstLine="709"/>
        <w:jc w:val="both"/>
        <w:rPr>
          <w:rFonts w:eastAsiaTheme="minorHAnsi"/>
          <w:b w:val="0"/>
          <w:sz w:val="24"/>
          <w:szCs w:val="24"/>
          <w:lang w:val="pt-BR"/>
        </w:rPr>
      </w:pPr>
      <w:r w:rsidRPr="00D257D6">
        <w:rPr>
          <w:rFonts w:eastAsiaTheme="minorHAnsi"/>
          <w:b w:val="0"/>
          <w:sz w:val="24"/>
          <w:szCs w:val="24"/>
          <w:lang w:val="pt-BR"/>
        </w:rPr>
        <w:t>Observou-se diferença estatisticamente significativa entre óbito, comparando com alta hospitalar e transferência para outro hospital (p=0,015), o qual, foi maior entre o idosos (adultos 69,2% versus idosos 85,9%). Adultos e idosos representam a faixa etária com maior número de comorbidades que podem agravar a resposta inflamatória de indivíduos com COVID-19 (WANG et al., 2020). Assim como foi encontrado na nossa pesquisa, outros estudos também mostram o maior número de óbitos em pacientes mais velhos (SEPANDI, et al., 2020; ZHOU, et al. 2020).</w:t>
      </w:r>
    </w:p>
    <w:p w14:paraId="2C7BDC6C" w14:textId="61F1C25E" w:rsidR="00D257D6" w:rsidRDefault="00D257D6" w:rsidP="00D257D6">
      <w:pPr>
        <w:pStyle w:val="Els-table-caption"/>
        <w:spacing w:before="0" w:after="120" w:line="360" w:lineRule="auto"/>
        <w:ind w:firstLine="709"/>
        <w:jc w:val="both"/>
        <w:rPr>
          <w:rFonts w:eastAsiaTheme="minorHAnsi"/>
          <w:b w:val="0"/>
          <w:sz w:val="24"/>
          <w:szCs w:val="24"/>
          <w:lang w:val="pt-BR"/>
        </w:rPr>
      </w:pPr>
      <w:r w:rsidRPr="00D257D6">
        <w:rPr>
          <w:rFonts w:eastAsiaTheme="minorHAnsi"/>
          <w:b w:val="0"/>
          <w:sz w:val="24"/>
          <w:szCs w:val="24"/>
          <w:lang w:val="pt-BR"/>
        </w:rPr>
        <w:t>Quando analisado o diagnóstico antropométrico foi observada diferença estatisticamente significativa entre os adultos e idosos (p = 0,032). O excesso de peso (sobrepeso + obesidade) foi o mais prevalente entre os adultos (n= 57; 87,7%) e importante prevalência de desnutrição foi observada entre os idosos (n=13; 18,3%). Existem relatos de prevalência alta de desnutrição em idosos com COVID-19 (LI et al., 2020), o que contribui para o aumento da vulnerabilidade desta população, que tende a apresentar piores desfechos clínicos. Em relação à obesidade, nosso resultado evidencia o que transparece em algumas pesquisas concluídas: a alta prevalência de obesidade entre os indivíduos mais novos hospitalizados com COVID-19 (KALLIGEROS, et al., 2020; LIGHTER, 2020). As características da população de estudo estão descritas na tabela 1.</w:t>
      </w:r>
    </w:p>
    <w:p w14:paraId="57940EEB" w14:textId="77777777" w:rsidR="00564C2F" w:rsidRDefault="00564C2F" w:rsidP="00DC59F2">
      <w:pPr>
        <w:spacing w:after="120" w:line="360" w:lineRule="auto"/>
        <w:jc w:val="both"/>
        <w:rPr>
          <w:rFonts w:ascii="Times New Roman" w:hAnsi="Times New Roman" w:cs="Times New Roman"/>
          <w:b/>
          <w:sz w:val="24"/>
          <w:szCs w:val="24"/>
        </w:rPr>
      </w:pPr>
    </w:p>
    <w:p w14:paraId="0FC7DF01" w14:textId="1330F0D6" w:rsidR="00E7394C" w:rsidRPr="004A70F4" w:rsidRDefault="00E7394C" w:rsidP="00DC59F2">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Pr="004A70F4">
        <w:rPr>
          <w:rFonts w:ascii="Times New Roman" w:hAnsi="Times New Roman" w:cs="Times New Roman"/>
          <w:b/>
          <w:sz w:val="24"/>
          <w:szCs w:val="24"/>
        </w:rPr>
        <w:t>CONCLUSÕES</w:t>
      </w:r>
    </w:p>
    <w:p w14:paraId="0929A7A8" w14:textId="21149B71" w:rsidR="001D65D8" w:rsidRDefault="00D257D6" w:rsidP="001D65D8">
      <w:pPr>
        <w:pStyle w:val="Textodecomentrio"/>
        <w:spacing w:after="0" w:line="360" w:lineRule="auto"/>
        <w:ind w:firstLine="709"/>
        <w:jc w:val="both"/>
        <w:rPr>
          <w:rFonts w:ascii="Times New Roman" w:hAnsi="Times New Roman" w:cs="Times New Roman"/>
          <w:sz w:val="24"/>
          <w:szCs w:val="24"/>
        </w:rPr>
      </w:pPr>
      <w:r w:rsidRPr="00D257D6">
        <w:rPr>
          <w:rFonts w:ascii="Times New Roman" w:hAnsi="Times New Roman" w:cs="Times New Roman"/>
          <w:sz w:val="24"/>
          <w:szCs w:val="24"/>
        </w:rPr>
        <w:t>Neste estudo, foi observada elevada frequência do desfecho óbito por COVID 19, sendo mais prevalente entre os idosos. Estes também apresentaram maior percentual de desnutrição, enquanto nos adultos houve predominância de excesso de peso. A oferta de terapia nutricional enteral precoce foi elevada e não houve diferença no tempo de introdução entre adultos e idosos. Considerando a elevada prevalência de desvios nutricionais entre os portadores de COVID 19, a equipe assistencial de saúde precisa estar atenta ao cuidado nutricional durante o tratamento clínico, compreendendo a relevância deste como fator prognóstico da doença.</w:t>
      </w:r>
    </w:p>
    <w:p w14:paraId="2E9BF5CC" w14:textId="77777777" w:rsidR="00D257D6" w:rsidRDefault="00D257D6" w:rsidP="001D65D8">
      <w:pPr>
        <w:pStyle w:val="Textodecomentrio"/>
        <w:spacing w:after="0" w:line="360" w:lineRule="auto"/>
        <w:ind w:firstLine="709"/>
        <w:jc w:val="both"/>
      </w:pPr>
    </w:p>
    <w:p w14:paraId="192757CC" w14:textId="383E184A" w:rsidR="0026759A" w:rsidRPr="00D12528" w:rsidRDefault="0026759A" w:rsidP="00E7394C">
      <w:pPr>
        <w:rPr>
          <w:rFonts w:ascii="Times New Roman" w:hAnsi="Times New Roman" w:cs="Times New Roman"/>
          <w:b/>
          <w:bCs/>
          <w:sz w:val="24"/>
          <w:szCs w:val="24"/>
          <w:lang w:val="en-CA"/>
        </w:rPr>
      </w:pPr>
      <w:r w:rsidRPr="00D12528">
        <w:rPr>
          <w:rFonts w:ascii="Times New Roman" w:hAnsi="Times New Roman" w:cs="Times New Roman"/>
          <w:b/>
          <w:bCs/>
          <w:sz w:val="24"/>
          <w:szCs w:val="24"/>
          <w:lang w:val="en-CA"/>
        </w:rPr>
        <w:t>5. REFERÊNCIA</w:t>
      </w:r>
      <w:r w:rsidR="001D65D8">
        <w:rPr>
          <w:rFonts w:ascii="Times New Roman" w:hAnsi="Times New Roman" w:cs="Times New Roman"/>
          <w:b/>
          <w:bCs/>
          <w:sz w:val="24"/>
          <w:szCs w:val="24"/>
          <w:lang w:val="en-CA"/>
        </w:rPr>
        <w:t>S</w:t>
      </w:r>
    </w:p>
    <w:p w14:paraId="233CC1F6" w14:textId="152A3F38" w:rsidR="00D12528" w:rsidRPr="00955F70" w:rsidRDefault="00D12528" w:rsidP="00955F70">
      <w:pPr>
        <w:spacing w:line="240" w:lineRule="auto"/>
        <w:jc w:val="both"/>
        <w:rPr>
          <w:rFonts w:ascii="Times New Roman" w:hAnsi="Times New Roman" w:cs="Times New Roman"/>
          <w:lang w:val="en-CA"/>
        </w:rPr>
      </w:pPr>
      <w:r w:rsidRPr="00955F70">
        <w:rPr>
          <w:rFonts w:ascii="Times New Roman" w:hAnsi="Times New Roman" w:cs="Times New Roman"/>
          <w:lang w:val="en-CA"/>
        </w:rPr>
        <w:lastRenderedPageBreak/>
        <w:t>BARAZZONI</w:t>
      </w:r>
      <w:r w:rsidR="009E70CE">
        <w:rPr>
          <w:rFonts w:ascii="Times New Roman" w:hAnsi="Times New Roman" w:cs="Times New Roman"/>
          <w:lang w:val="en-CA"/>
        </w:rPr>
        <w:t>,</w:t>
      </w:r>
      <w:r w:rsidRPr="00955F70">
        <w:rPr>
          <w:rFonts w:ascii="Times New Roman" w:hAnsi="Times New Roman" w:cs="Times New Roman"/>
          <w:lang w:val="en-CA"/>
        </w:rPr>
        <w:t xml:space="preserve"> R</w:t>
      </w:r>
      <w:r w:rsidR="009E70CE">
        <w:rPr>
          <w:rFonts w:ascii="Times New Roman" w:hAnsi="Times New Roman" w:cs="Times New Roman"/>
          <w:lang w:val="en-CA"/>
        </w:rPr>
        <w:t>.;</w:t>
      </w:r>
      <w:r w:rsidRPr="00955F70">
        <w:rPr>
          <w:rFonts w:ascii="Times New Roman" w:hAnsi="Times New Roman" w:cs="Times New Roman"/>
          <w:lang w:val="en-CA"/>
        </w:rPr>
        <w:t xml:space="preserve"> BISCHOFF</w:t>
      </w:r>
      <w:r w:rsidR="009E70CE">
        <w:rPr>
          <w:rFonts w:ascii="Times New Roman" w:hAnsi="Times New Roman" w:cs="Times New Roman"/>
          <w:lang w:val="en-CA"/>
        </w:rPr>
        <w:t>,</w:t>
      </w:r>
      <w:r w:rsidRPr="00955F70">
        <w:rPr>
          <w:rFonts w:ascii="Times New Roman" w:hAnsi="Times New Roman" w:cs="Times New Roman"/>
          <w:lang w:val="en-CA"/>
        </w:rPr>
        <w:t xml:space="preserve"> S</w:t>
      </w:r>
      <w:r w:rsidR="009E70CE">
        <w:rPr>
          <w:rFonts w:ascii="Times New Roman" w:hAnsi="Times New Roman" w:cs="Times New Roman"/>
          <w:lang w:val="en-CA"/>
        </w:rPr>
        <w:t xml:space="preserve">. </w:t>
      </w:r>
      <w:r w:rsidRPr="00955F70">
        <w:rPr>
          <w:rFonts w:ascii="Times New Roman" w:hAnsi="Times New Roman" w:cs="Times New Roman"/>
          <w:lang w:val="en-CA"/>
        </w:rPr>
        <w:t>C</w:t>
      </w:r>
      <w:r w:rsidR="009E70CE">
        <w:rPr>
          <w:rFonts w:ascii="Times New Roman" w:hAnsi="Times New Roman" w:cs="Times New Roman"/>
          <w:lang w:val="en-CA"/>
        </w:rPr>
        <w:t>.;</w:t>
      </w:r>
      <w:r w:rsidRPr="00955F70">
        <w:rPr>
          <w:rFonts w:ascii="Times New Roman" w:hAnsi="Times New Roman" w:cs="Times New Roman"/>
          <w:lang w:val="en-CA"/>
        </w:rPr>
        <w:t xml:space="preserve"> KRZNARIC</w:t>
      </w:r>
      <w:r w:rsidR="009E70CE">
        <w:rPr>
          <w:rFonts w:ascii="Times New Roman" w:hAnsi="Times New Roman" w:cs="Times New Roman"/>
          <w:lang w:val="en-CA"/>
        </w:rPr>
        <w:t>,</w:t>
      </w:r>
      <w:r w:rsidRPr="00955F70">
        <w:rPr>
          <w:rFonts w:ascii="Times New Roman" w:hAnsi="Times New Roman" w:cs="Times New Roman"/>
          <w:lang w:val="en-CA"/>
        </w:rPr>
        <w:t xml:space="preserve"> Z</w:t>
      </w:r>
      <w:r w:rsidR="009E70CE">
        <w:rPr>
          <w:rFonts w:ascii="Times New Roman" w:hAnsi="Times New Roman" w:cs="Times New Roman"/>
          <w:lang w:val="en-CA"/>
        </w:rPr>
        <w:t>.;</w:t>
      </w:r>
      <w:r w:rsidRPr="00955F70">
        <w:rPr>
          <w:rFonts w:ascii="Times New Roman" w:hAnsi="Times New Roman" w:cs="Times New Roman"/>
          <w:lang w:val="en-CA"/>
        </w:rPr>
        <w:t xml:space="preserve"> </w:t>
      </w:r>
      <w:r w:rsidR="009E70CE">
        <w:rPr>
          <w:rFonts w:ascii="Times New Roman" w:hAnsi="Times New Roman" w:cs="Times New Roman"/>
          <w:lang w:val="en-CA"/>
        </w:rPr>
        <w:t xml:space="preserve">et al. </w:t>
      </w:r>
      <w:r w:rsidRPr="00955F70">
        <w:rPr>
          <w:rFonts w:ascii="Times New Roman" w:hAnsi="Times New Roman" w:cs="Times New Roman"/>
          <w:lang w:val="en-CA"/>
        </w:rPr>
        <w:t xml:space="preserve">ESPEN expert statements and practical guidance for nutritional management of individuals with SARS-CoV-2 infection. </w:t>
      </w:r>
      <w:r w:rsidRPr="00955F70">
        <w:rPr>
          <w:rFonts w:ascii="Times New Roman" w:hAnsi="Times New Roman" w:cs="Times New Roman"/>
          <w:b/>
          <w:bCs/>
          <w:lang w:val="en-CA"/>
        </w:rPr>
        <w:t>Clinical Nutrition</w:t>
      </w:r>
      <w:r w:rsidRPr="00955F70">
        <w:rPr>
          <w:rFonts w:ascii="Times New Roman" w:hAnsi="Times New Roman" w:cs="Times New Roman"/>
          <w:lang w:val="en-CA"/>
        </w:rPr>
        <w:t>, n. April, p. 1–8, 2020.</w:t>
      </w:r>
    </w:p>
    <w:p w14:paraId="5620DB41" w14:textId="45D824D7" w:rsidR="009E70CE" w:rsidRDefault="009E70CE" w:rsidP="00955F70">
      <w:pPr>
        <w:spacing w:line="240" w:lineRule="auto"/>
        <w:jc w:val="both"/>
        <w:rPr>
          <w:rFonts w:ascii="Times New Roman" w:hAnsi="Times New Roman" w:cs="Times New Roman"/>
          <w:lang w:val="en-CA"/>
        </w:rPr>
      </w:pPr>
      <w:r w:rsidRPr="009E70CE">
        <w:rPr>
          <w:rFonts w:ascii="Times New Roman" w:hAnsi="Times New Roman" w:cs="Times New Roman"/>
          <w:lang w:val="en-CA"/>
        </w:rPr>
        <w:t>BEST</w:t>
      </w:r>
      <w:r w:rsidR="00AE3669">
        <w:rPr>
          <w:rFonts w:ascii="Times New Roman" w:hAnsi="Times New Roman" w:cs="Times New Roman"/>
          <w:lang w:val="en-CA"/>
        </w:rPr>
        <w:t>,</w:t>
      </w:r>
      <w:r w:rsidRPr="009E70CE">
        <w:rPr>
          <w:rFonts w:ascii="Times New Roman" w:hAnsi="Times New Roman" w:cs="Times New Roman"/>
          <w:lang w:val="en-CA"/>
        </w:rPr>
        <w:t xml:space="preserve"> J</w:t>
      </w:r>
      <w:r w:rsidR="00AE3669">
        <w:rPr>
          <w:rFonts w:ascii="Times New Roman" w:hAnsi="Times New Roman" w:cs="Times New Roman"/>
          <w:lang w:val="en-CA"/>
        </w:rPr>
        <w:t xml:space="preserve">. </w:t>
      </w:r>
      <w:r w:rsidRPr="009E70CE">
        <w:rPr>
          <w:rFonts w:ascii="Times New Roman" w:hAnsi="Times New Roman" w:cs="Times New Roman"/>
          <w:lang w:val="en-CA"/>
        </w:rPr>
        <w:t>H</w:t>
      </w:r>
      <w:r w:rsidR="00AE3669">
        <w:rPr>
          <w:rFonts w:ascii="Times New Roman" w:hAnsi="Times New Roman" w:cs="Times New Roman"/>
          <w:lang w:val="en-CA"/>
        </w:rPr>
        <w:t>.;</w:t>
      </w:r>
      <w:r w:rsidRPr="009E70CE">
        <w:rPr>
          <w:rFonts w:ascii="Times New Roman" w:hAnsi="Times New Roman" w:cs="Times New Roman"/>
          <w:lang w:val="en-CA"/>
        </w:rPr>
        <w:t xml:space="preserve"> MOHAN</w:t>
      </w:r>
      <w:r w:rsidR="00AE3669">
        <w:rPr>
          <w:rFonts w:ascii="Times New Roman" w:hAnsi="Times New Roman" w:cs="Times New Roman"/>
          <w:lang w:val="en-CA"/>
        </w:rPr>
        <w:t>,</w:t>
      </w:r>
      <w:r w:rsidRPr="009E70CE">
        <w:rPr>
          <w:rFonts w:ascii="Times New Roman" w:hAnsi="Times New Roman" w:cs="Times New Roman"/>
          <w:lang w:val="en-CA"/>
        </w:rPr>
        <w:t xml:space="preserve"> S</w:t>
      </w:r>
      <w:r w:rsidR="00AE3669">
        <w:rPr>
          <w:rFonts w:ascii="Times New Roman" w:hAnsi="Times New Roman" w:cs="Times New Roman"/>
          <w:lang w:val="en-CA"/>
        </w:rPr>
        <w:t xml:space="preserve">. </w:t>
      </w:r>
      <w:r w:rsidRPr="009E70CE">
        <w:rPr>
          <w:rFonts w:ascii="Times New Roman" w:hAnsi="Times New Roman" w:cs="Times New Roman"/>
          <w:lang w:val="en-CA"/>
        </w:rPr>
        <w:t>V</w:t>
      </w:r>
      <w:r w:rsidR="00AE3669">
        <w:rPr>
          <w:rFonts w:ascii="Times New Roman" w:hAnsi="Times New Roman" w:cs="Times New Roman"/>
          <w:lang w:val="en-CA"/>
        </w:rPr>
        <w:t>.;</w:t>
      </w:r>
      <w:r w:rsidRPr="009E70CE">
        <w:rPr>
          <w:rFonts w:ascii="Times New Roman" w:hAnsi="Times New Roman" w:cs="Times New Roman"/>
          <w:lang w:val="en-CA"/>
        </w:rPr>
        <w:t xml:space="preserve"> KONG</w:t>
      </w:r>
      <w:r w:rsidR="00AE3669">
        <w:rPr>
          <w:rFonts w:ascii="Times New Roman" w:hAnsi="Times New Roman" w:cs="Times New Roman"/>
          <w:lang w:val="en-CA"/>
        </w:rPr>
        <w:t>,</w:t>
      </w:r>
      <w:r w:rsidRPr="009E70CE">
        <w:rPr>
          <w:rFonts w:ascii="Times New Roman" w:hAnsi="Times New Roman" w:cs="Times New Roman"/>
          <w:lang w:val="en-CA"/>
        </w:rPr>
        <w:t xml:space="preserve"> A</w:t>
      </w:r>
      <w:r w:rsidR="00AE3669">
        <w:rPr>
          <w:rFonts w:ascii="Times New Roman" w:hAnsi="Times New Roman" w:cs="Times New Roman"/>
          <w:lang w:val="en-CA"/>
        </w:rPr>
        <w:t xml:space="preserve">. </w:t>
      </w:r>
      <w:r w:rsidRPr="009E70CE">
        <w:rPr>
          <w:rFonts w:ascii="Times New Roman" w:hAnsi="Times New Roman" w:cs="Times New Roman"/>
          <w:lang w:val="en-CA"/>
        </w:rPr>
        <w:t>M</w:t>
      </w:r>
      <w:r w:rsidR="00AE3669">
        <w:rPr>
          <w:rFonts w:ascii="Times New Roman" w:hAnsi="Times New Roman" w:cs="Times New Roman"/>
          <w:lang w:val="en-CA"/>
        </w:rPr>
        <w:t>.;</w:t>
      </w:r>
      <w:r w:rsidRPr="009E70CE">
        <w:rPr>
          <w:rFonts w:ascii="Times New Roman" w:hAnsi="Times New Roman" w:cs="Times New Roman"/>
          <w:lang w:val="en-CA"/>
        </w:rPr>
        <w:t xml:space="preserve"> </w:t>
      </w:r>
      <w:r>
        <w:rPr>
          <w:rFonts w:ascii="Times New Roman" w:hAnsi="Times New Roman" w:cs="Times New Roman"/>
          <w:lang w:val="en-CA"/>
        </w:rPr>
        <w:t>et al</w:t>
      </w:r>
      <w:r w:rsidRPr="009E70CE">
        <w:rPr>
          <w:rFonts w:ascii="Times New Roman" w:hAnsi="Times New Roman" w:cs="Times New Roman"/>
          <w:lang w:val="en-CA"/>
        </w:rPr>
        <w:t xml:space="preserve">. Baseline Demographics and Clinical Characteristics Among 3471 US Patients Hospitalized with COVID-19 and Pulmonary Involvement: A Retrospective Study. </w:t>
      </w:r>
      <w:r w:rsidRPr="009E70CE">
        <w:rPr>
          <w:rFonts w:ascii="Times New Roman" w:hAnsi="Times New Roman" w:cs="Times New Roman"/>
          <w:b/>
          <w:bCs/>
          <w:lang w:val="en-CA"/>
        </w:rPr>
        <w:t>Adv</w:t>
      </w:r>
      <w:r w:rsidRPr="009E70CE">
        <w:rPr>
          <w:rFonts w:ascii="Times New Roman" w:hAnsi="Times New Roman" w:cs="Times New Roman"/>
          <w:b/>
          <w:bCs/>
          <w:lang w:val="en-CA"/>
        </w:rPr>
        <w:t>anced</w:t>
      </w:r>
      <w:r w:rsidRPr="009E70CE">
        <w:rPr>
          <w:rFonts w:ascii="Times New Roman" w:hAnsi="Times New Roman" w:cs="Times New Roman"/>
          <w:b/>
          <w:bCs/>
          <w:lang w:val="en-CA"/>
        </w:rPr>
        <w:t xml:space="preserve"> </w:t>
      </w:r>
      <w:proofErr w:type="spellStart"/>
      <w:r w:rsidRPr="009E70CE">
        <w:rPr>
          <w:rFonts w:ascii="Times New Roman" w:hAnsi="Times New Roman" w:cs="Times New Roman"/>
          <w:b/>
          <w:bCs/>
          <w:lang w:val="en-CA"/>
        </w:rPr>
        <w:t>Ther</w:t>
      </w:r>
      <w:r w:rsidRPr="009E70CE">
        <w:rPr>
          <w:rFonts w:ascii="Times New Roman" w:hAnsi="Times New Roman" w:cs="Times New Roman"/>
          <w:b/>
          <w:bCs/>
          <w:lang w:val="en-CA"/>
        </w:rPr>
        <w:t>aphy</w:t>
      </w:r>
      <w:proofErr w:type="spellEnd"/>
      <w:r>
        <w:rPr>
          <w:rFonts w:ascii="Times New Roman" w:hAnsi="Times New Roman" w:cs="Times New Roman"/>
          <w:lang w:val="en-CA"/>
        </w:rPr>
        <w:t>, v.</w:t>
      </w:r>
      <w:r w:rsidRPr="009E70CE">
        <w:rPr>
          <w:rFonts w:ascii="Times New Roman" w:hAnsi="Times New Roman" w:cs="Times New Roman"/>
          <w:lang w:val="en-CA"/>
        </w:rPr>
        <w:t>12</w:t>
      </w:r>
      <w:r>
        <w:rPr>
          <w:rFonts w:ascii="Times New Roman" w:hAnsi="Times New Roman" w:cs="Times New Roman"/>
          <w:lang w:val="en-CA"/>
        </w:rPr>
        <w:t xml:space="preserve">, p. </w:t>
      </w:r>
      <w:r w:rsidRPr="009E70CE">
        <w:rPr>
          <w:rFonts w:ascii="Times New Roman" w:hAnsi="Times New Roman" w:cs="Times New Roman"/>
          <w:lang w:val="en-CA"/>
        </w:rPr>
        <w:t>1–15</w:t>
      </w:r>
      <w:r>
        <w:rPr>
          <w:rFonts w:ascii="Times New Roman" w:hAnsi="Times New Roman" w:cs="Times New Roman"/>
          <w:lang w:val="en-CA"/>
        </w:rPr>
        <w:t xml:space="preserve">, </w:t>
      </w:r>
      <w:r w:rsidRPr="009E70CE">
        <w:rPr>
          <w:rFonts w:ascii="Times New Roman" w:hAnsi="Times New Roman" w:cs="Times New Roman"/>
          <w:lang w:val="en-CA"/>
        </w:rPr>
        <w:t xml:space="preserve">2020. </w:t>
      </w:r>
    </w:p>
    <w:p w14:paraId="5AC48792" w14:textId="1550ABD1" w:rsidR="009E70CE" w:rsidRDefault="009E70CE" w:rsidP="00955F70">
      <w:pPr>
        <w:spacing w:line="240" w:lineRule="auto"/>
        <w:jc w:val="both"/>
        <w:rPr>
          <w:rFonts w:ascii="Times New Roman" w:hAnsi="Times New Roman" w:cs="Times New Roman"/>
          <w:lang w:val="en-CA"/>
        </w:rPr>
      </w:pPr>
      <w:r w:rsidRPr="009E70CE">
        <w:rPr>
          <w:rFonts w:ascii="Times New Roman" w:hAnsi="Times New Roman" w:cs="Times New Roman"/>
          <w:lang w:val="en-CA"/>
        </w:rPr>
        <w:t>BOGOCH</w:t>
      </w:r>
      <w:r>
        <w:rPr>
          <w:rFonts w:ascii="Times New Roman" w:hAnsi="Times New Roman" w:cs="Times New Roman"/>
          <w:lang w:val="en-CA"/>
        </w:rPr>
        <w:t>,</w:t>
      </w:r>
      <w:r w:rsidRPr="009E70CE">
        <w:rPr>
          <w:rFonts w:ascii="Times New Roman" w:hAnsi="Times New Roman" w:cs="Times New Roman"/>
          <w:lang w:val="en-CA"/>
        </w:rPr>
        <w:t xml:space="preserve"> II</w:t>
      </w:r>
      <w:r>
        <w:rPr>
          <w:rFonts w:ascii="Times New Roman" w:hAnsi="Times New Roman" w:cs="Times New Roman"/>
          <w:lang w:val="en-CA"/>
        </w:rPr>
        <w:t>.;</w:t>
      </w:r>
      <w:r w:rsidRPr="009E70CE">
        <w:rPr>
          <w:rFonts w:ascii="Times New Roman" w:hAnsi="Times New Roman" w:cs="Times New Roman"/>
          <w:lang w:val="en-CA"/>
        </w:rPr>
        <w:t xml:space="preserve"> WATTS</w:t>
      </w:r>
      <w:r>
        <w:rPr>
          <w:rFonts w:ascii="Times New Roman" w:hAnsi="Times New Roman" w:cs="Times New Roman"/>
          <w:lang w:val="en-CA"/>
        </w:rPr>
        <w:t>,</w:t>
      </w:r>
      <w:r w:rsidRPr="009E70CE">
        <w:rPr>
          <w:rFonts w:ascii="Times New Roman" w:hAnsi="Times New Roman" w:cs="Times New Roman"/>
          <w:lang w:val="en-CA"/>
        </w:rPr>
        <w:t xml:space="preserve"> A</w:t>
      </w:r>
      <w:r>
        <w:rPr>
          <w:rFonts w:ascii="Times New Roman" w:hAnsi="Times New Roman" w:cs="Times New Roman"/>
          <w:lang w:val="en-CA"/>
        </w:rPr>
        <w:t>.;</w:t>
      </w:r>
      <w:r w:rsidRPr="009E70CE">
        <w:rPr>
          <w:rFonts w:ascii="Times New Roman" w:hAnsi="Times New Roman" w:cs="Times New Roman"/>
          <w:lang w:val="en-CA"/>
        </w:rPr>
        <w:t xml:space="preserve"> THOMAS-BACHLI</w:t>
      </w:r>
      <w:r>
        <w:rPr>
          <w:rFonts w:ascii="Times New Roman" w:hAnsi="Times New Roman" w:cs="Times New Roman"/>
          <w:lang w:val="en-CA"/>
        </w:rPr>
        <w:t>,</w:t>
      </w:r>
      <w:r w:rsidRPr="009E70CE">
        <w:rPr>
          <w:rFonts w:ascii="Times New Roman" w:hAnsi="Times New Roman" w:cs="Times New Roman"/>
          <w:lang w:val="en-CA"/>
        </w:rPr>
        <w:t xml:space="preserve"> A</w:t>
      </w:r>
      <w:r>
        <w:rPr>
          <w:rFonts w:ascii="Times New Roman" w:hAnsi="Times New Roman" w:cs="Times New Roman"/>
          <w:lang w:val="en-CA"/>
        </w:rPr>
        <w:t xml:space="preserve">.; et al. </w:t>
      </w:r>
      <w:r w:rsidRPr="009E70CE">
        <w:rPr>
          <w:rFonts w:ascii="Times New Roman" w:hAnsi="Times New Roman" w:cs="Times New Roman"/>
          <w:lang w:val="en-CA"/>
        </w:rPr>
        <w:t xml:space="preserve">Pneumonia of unknown etiology in Wuhan, China: potential for international spread via commercial air travel. </w:t>
      </w:r>
      <w:r w:rsidRPr="009E70CE">
        <w:rPr>
          <w:rFonts w:ascii="Times New Roman" w:hAnsi="Times New Roman" w:cs="Times New Roman"/>
          <w:b/>
          <w:bCs/>
          <w:lang w:val="en-CA"/>
        </w:rPr>
        <w:t>J</w:t>
      </w:r>
      <w:r w:rsidRPr="009E70CE">
        <w:rPr>
          <w:rFonts w:ascii="Times New Roman" w:hAnsi="Times New Roman" w:cs="Times New Roman"/>
          <w:b/>
          <w:bCs/>
          <w:lang w:val="en-CA"/>
        </w:rPr>
        <w:t>ournal of</w:t>
      </w:r>
      <w:r w:rsidRPr="009E70CE">
        <w:rPr>
          <w:rFonts w:ascii="Times New Roman" w:hAnsi="Times New Roman" w:cs="Times New Roman"/>
          <w:b/>
          <w:bCs/>
          <w:lang w:val="en-CA"/>
        </w:rPr>
        <w:t xml:space="preserve"> Travel Med</w:t>
      </w:r>
      <w:r w:rsidRPr="009E70CE">
        <w:rPr>
          <w:rFonts w:ascii="Times New Roman" w:hAnsi="Times New Roman" w:cs="Times New Roman"/>
          <w:b/>
          <w:bCs/>
          <w:lang w:val="en-CA"/>
        </w:rPr>
        <w:t>icine</w:t>
      </w:r>
      <w:r w:rsidRPr="009E70CE">
        <w:rPr>
          <w:rFonts w:ascii="Times New Roman" w:hAnsi="Times New Roman" w:cs="Times New Roman"/>
          <w:lang w:val="en-CA"/>
        </w:rPr>
        <w:t>.</w:t>
      </w:r>
      <w:r>
        <w:rPr>
          <w:rFonts w:ascii="Times New Roman" w:hAnsi="Times New Roman" w:cs="Times New Roman"/>
          <w:lang w:val="en-CA"/>
        </w:rPr>
        <w:t xml:space="preserve"> v. </w:t>
      </w:r>
      <w:r w:rsidRPr="009E70CE">
        <w:rPr>
          <w:rFonts w:ascii="Times New Roman" w:hAnsi="Times New Roman" w:cs="Times New Roman"/>
          <w:lang w:val="en-CA"/>
        </w:rPr>
        <w:t>272</w:t>
      </w:r>
      <w:r>
        <w:rPr>
          <w:rFonts w:ascii="Times New Roman" w:hAnsi="Times New Roman" w:cs="Times New Roman"/>
          <w:lang w:val="en-CA"/>
        </w:rPr>
        <w:t>, p.</w:t>
      </w:r>
      <w:r w:rsidRPr="009E70CE">
        <w:rPr>
          <w:rFonts w:ascii="Times New Roman" w:hAnsi="Times New Roman" w:cs="Times New Roman"/>
          <w:lang w:val="en-CA"/>
        </w:rPr>
        <w:t>1–3</w:t>
      </w:r>
      <w:r>
        <w:rPr>
          <w:rFonts w:ascii="Times New Roman" w:hAnsi="Times New Roman" w:cs="Times New Roman"/>
          <w:lang w:val="en-CA"/>
        </w:rPr>
        <w:t xml:space="preserve">, </w:t>
      </w:r>
      <w:r w:rsidRPr="009E70CE">
        <w:rPr>
          <w:rFonts w:ascii="Times New Roman" w:hAnsi="Times New Roman" w:cs="Times New Roman"/>
          <w:lang w:val="en-CA"/>
        </w:rPr>
        <w:t>2020.</w:t>
      </w:r>
    </w:p>
    <w:p w14:paraId="13E29034" w14:textId="61121107" w:rsidR="009E70CE" w:rsidRDefault="009E70CE" w:rsidP="00955F70">
      <w:pPr>
        <w:spacing w:line="240" w:lineRule="auto"/>
        <w:jc w:val="both"/>
        <w:rPr>
          <w:rFonts w:ascii="Times New Roman" w:hAnsi="Times New Roman" w:cs="Times New Roman"/>
          <w:lang w:val="en-CA"/>
        </w:rPr>
      </w:pPr>
      <w:r w:rsidRPr="00AE3669">
        <w:rPr>
          <w:rFonts w:ascii="Times New Roman" w:hAnsi="Times New Roman" w:cs="Times New Roman"/>
        </w:rPr>
        <w:t>CALDER</w:t>
      </w:r>
      <w:r w:rsidR="00AE3669" w:rsidRPr="00AE3669">
        <w:rPr>
          <w:rFonts w:ascii="Times New Roman" w:hAnsi="Times New Roman" w:cs="Times New Roman"/>
        </w:rPr>
        <w:t>,</w:t>
      </w:r>
      <w:r w:rsidRPr="00AE3669">
        <w:rPr>
          <w:rFonts w:ascii="Times New Roman" w:hAnsi="Times New Roman" w:cs="Times New Roman"/>
        </w:rPr>
        <w:t xml:space="preserve"> P</w:t>
      </w:r>
      <w:r w:rsidR="00AE3669" w:rsidRPr="00AE3669">
        <w:rPr>
          <w:rFonts w:ascii="Times New Roman" w:hAnsi="Times New Roman" w:cs="Times New Roman"/>
        </w:rPr>
        <w:t xml:space="preserve">. </w:t>
      </w:r>
      <w:r w:rsidRPr="00AE3669">
        <w:rPr>
          <w:rFonts w:ascii="Times New Roman" w:hAnsi="Times New Roman" w:cs="Times New Roman"/>
        </w:rPr>
        <w:t>C</w:t>
      </w:r>
      <w:r w:rsidR="00AE3669" w:rsidRPr="00AE3669">
        <w:rPr>
          <w:rFonts w:ascii="Times New Roman" w:hAnsi="Times New Roman" w:cs="Times New Roman"/>
        </w:rPr>
        <w:t>.;</w:t>
      </w:r>
      <w:r w:rsidRPr="00AE3669">
        <w:rPr>
          <w:rFonts w:ascii="Times New Roman" w:hAnsi="Times New Roman" w:cs="Times New Roman"/>
        </w:rPr>
        <w:t xml:space="preserve"> CARR</w:t>
      </w:r>
      <w:r w:rsidR="00AE3669" w:rsidRPr="00AE3669">
        <w:rPr>
          <w:rFonts w:ascii="Times New Roman" w:hAnsi="Times New Roman" w:cs="Times New Roman"/>
        </w:rPr>
        <w:t>;</w:t>
      </w:r>
      <w:r w:rsidRPr="00AE3669">
        <w:rPr>
          <w:rFonts w:ascii="Times New Roman" w:hAnsi="Times New Roman" w:cs="Times New Roman"/>
        </w:rPr>
        <w:t xml:space="preserve"> A</w:t>
      </w:r>
      <w:r w:rsidR="00AE3669" w:rsidRPr="00AE3669">
        <w:rPr>
          <w:rFonts w:ascii="Times New Roman" w:hAnsi="Times New Roman" w:cs="Times New Roman"/>
        </w:rPr>
        <w:t xml:space="preserve">. </w:t>
      </w:r>
      <w:r w:rsidRPr="00AE3669">
        <w:rPr>
          <w:rFonts w:ascii="Times New Roman" w:hAnsi="Times New Roman" w:cs="Times New Roman"/>
        </w:rPr>
        <w:t>C</w:t>
      </w:r>
      <w:r w:rsidR="00AE3669" w:rsidRPr="00AE3669">
        <w:rPr>
          <w:rFonts w:ascii="Times New Roman" w:hAnsi="Times New Roman" w:cs="Times New Roman"/>
        </w:rPr>
        <w:t>.;</w:t>
      </w:r>
      <w:r w:rsidRPr="00AE3669">
        <w:rPr>
          <w:rFonts w:ascii="Times New Roman" w:hAnsi="Times New Roman" w:cs="Times New Roman"/>
        </w:rPr>
        <w:t xml:space="preserve"> GOMBART</w:t>
      </w:r>
      <w:r w:rsidR="00AE3669">
        <w:rPr>
          <w:rFonts w:ascii="Times New Roman" w:hAnsi="Times New Roman" w:cs="Times New Roman"/>
        </w:rPr>
        <w:t>,</w:t>
      </w:r>
      <w:r w:rsidRPr="00AE3669">
        <w:rPr>
          <w:rFonts w:ascii="Times New Roman" w:hAnsi="Times New Roman" w:cs="Times New Roman"/>
        </w:rPr>
        <w:t xml:space="preserve"> </w:t>
      </w:r>
      <w:r w:rsidRPr="009E70CE">
        <w:rPr>
          <w:rFonts w:ascii="Times New Roman" w:hAnsi="Times New Roman" w:cs="Times New Roman"/>
          <w:lang w:val="en-CA"/>
        </w:rPr>
        <w:t>A</w:t>
      </w:r>
      <w:r w:rsidR="00AE3669">
        <w:rPr>
          <w:rFonts w:ascii="Times New Roman" w:hAnsi="Times New Roman" w:cs="Times New Roman"/>
          <w:lang w:val="en-CA"/>
        </w:rPr>
        <w:t xml:space="preserve">. </w:t>
      </w:r>
      <w:r w:rsidRPr="009E70CE">
        <w:rPr>
          <w:rFonts w:ascii="Times New Roman" w:hAnsi="Times New Roman" w:cs="Times New Roman"/>
          <w:lang w:val="en-CA"/>
        </w:rPr>
        <w:t>F</w:t>
      </w:r>
      <w:r w:rsidR="00AE3669">
        <w:rPr>
          <w:rFonts w:ascii="Times New Roman" w:hAnsi="Times New Roman" w:cs="Times New Roman"/>
          <w:lang w:val="en-CA"/>
        </w:rPr>
        <w:t>.;</w:t>
      </w:r>
      <w:r w:rsidRPr="009E70CE">
        <w:rPr>
          <w:rFonts w:ascii="Times New Roman" w:hAnsi="Times New Roman" w:cs="Times New Roman"/>
          <w:lang w:val="en-CA"/>
        </w:rPr>
        <w:t xml:space="preserve"> </w:t>
      </w:r>
      <w:r>
        <w:rPr>
          <w:rFonts w:ascii="Times New Roman" w:hAnsi="Times New Roman" w:cs="Times New Roman"/>
          <w:lang w:val="en-CA"/>
        </w:rPr>
        <w:t xml:space="preserve">et al. </w:t>
      </w:r>
      <w:r w:rsidRPr="009E70CE">
        <w:rPr>
          <w:rFonts w:ascii="Times New Roman" w:hAnsi="Times New Roman" w:cs="Times New Roman"/>
          <w:lang w:val="en-CA"/>
        </w:rPr>
        <w:t xml:space="preserve">Optimal Nutritional Status for a Well-Functioning Immune System Is an Important Factor to Protect against Viral Infections. </w:t>
      </w:r>
      <w:r w:rsidRPr="009E70CE">
        <w:rPr>
          <w:rFonts w:ascii="Times New Roman" w:hAnsi="Times New Roman" w:cs="Times New Roman"/>
          <w:b/>
          <w:bCs/>
          <w:lang w:val="en-CA"/>
        </w:rPr>
        <w:t>Nutrients</w:t>
      </w:r>
      <w:r w:rsidRPr="009E70CE">
        <w:rPr>
          <w:rFonts w:ascii="Times New Roman" w:hAnsi="Times New Roman" w:cs="Times New Roman"/>
          <w:lang w:val="en-CA"/>
        </w:rPr>
        <w:t xml:space="preserve">. </w:t>
      </w:r>
      <w:r>
        <w:rPr>
          <w:rFonts w:ascii="Times New Roman" w:hAnsi="Times New Roman" w:cs="Times New Roman"/>
          <w:lang w:val="en-CA"/>
        </w:rPr>
        <w:t xml:space="preserve">v. </w:t>
      </w:r>
      <w:r w:rsidRPr="009E70CE">
        <w:rPr>
          <w:rFonts w:ascii="Times New Roman" w:hAnsi="Times New Roman" w:cs="Times New Roman"/>
          <w:lang w:val="en-CA"/>
        </w:rPr>
        <w:t>2</w:t>
      </w:r>
      <w:r>
        <w:rPr>
          <w:rFonts w:ascii="Times New Roman" w:hAnsi="Times New Roman" w:cs="Times New Roman"/>
          <w:lang w:val="en-CA"/>
        </w:rPr>
        <w:t xml:space="preserve">, n. </w:t>
      </w:r>
      <w:r w:rsidRPr="009E70CE">
        <w:rPr>
          <w:rFonts w:ascii="Times New Roman" w:hAnsi="Times New Roman" w:cs="Times New Roman"/>
          <w:lang w:val="en-CA"/>
        </w:rPr>
        <w:t>4</w:t>
      </w:r>
      <w:r>
        <w:rPr>
          <w:rFonts w:ascii="Times New Roman" w:hAnsi="Times New Roman" w:cs="Times New Roman"/>
          <w:lang w:val="en-CA"/>
        </w:rPr>
        <w:t xml:space="preserve">, </w:t>
      </w:r>
      <w:r w:rsidRPr="009E70CE">
        <w:rPr>
          <w:rFonts w:ascii="Times New Roman" w:hAnsi="Times New Roman" w:cs="Times New Roman"/>
          <w:lang w:val="en-CA"/>
        </w:rPr>
        <w:t>2020.</w:t>
      </w:r>
    </w:p>
    <w:p w14:paraId="113867A1" w14:textId="3F9A7F26" w:rsidR="00D12528" w:rsidRPr="001D65D8" w:rsidRDefault="00BD66F4" w:rsidP="00955F70">
      <w:pPr>
        <w:spacing w:line="240" w:lineRule="auto"/>
        <w:jc w:val="both"/>
        <w:rPr>
          <w:rFonts w:ascii="Times New Roman" w:hAnsi="Times New Roman" w:cs="Times New Roman"/>
          <w:lang w:val="en-US"/>
        </w:rPr>
      </w:pPr>
      <w:proofErr w:type="gramStart"/>
      <w:r>
        <w:rPr>
          <w:rFonts w:ascii="Times New Roman" w:hAnsi="Times New Roman" w:cs="Times New Roman"/>
          <w:lang w:val="en-CA"/>
        </w:rPr>
        <w:t>WHO</w:t>
      </w:r>
      <w:r w:rsidR="00AE3669">
        <w:rPr>
          <w:rFonts w:ascii="Times New Roman" w:hAnsi="Times New Roman" w:cs="Times New Roman"/>
          <w:lang w:val="en-CA"/>
        </w:rPr>
        <w:t>.</w:t>
      </w:r>
      <w:proofErr w:type="gramEnd"/>
      <w:r>
        <w:rPr>
          <w:rFonts w:ascii="Times New Roman" w:hAnsi="Times New Roman" w:cs="Times New Roman"/>
          <w:lang w:val="en-CA"/>
        </w:rPr>
        <w:t xml:space="preserve"> </w:t>
      </w:r>
      <w:r w:rsidRPr="00BD66F4">
        <w:rPr>
          <w:rFonts w:ascii="Times New Roman" w:hAnsi="Times New Roman" w:cs="Times New Roman"/>
          <w:lang w:val="en-CA"/>
        </w:rPr>
        <w:t>World Health Organization</w:t>
      </w:r>
      <w:r>
        <w:rPr>
          <w:rFonts w:ascii="Times New Roman" w:hAnsi="Times New Roman" w:cs="Times New Roman"/>
          <w:lang w:val="en-CA"/>
        </w:rPr>
        <w:t xml:space="preserve">. </w:t>
      </w:r>
      <w:r w:rsidRPr="00BD66F4">
        <w:rPr>
          <w:rFonts w:ascii="Times New Roman" w:hAnsi="Times New Roman" w:cs="Times New Roman"/>
          <w:b/>
          <w:bCs/>
          <w:lang w:val="en-CA"/>
        </w:rPr>
        <w:t>Coronavirus Disease (COVID-2019) Situation Reports</w:t>
      </w:r>
      <w:r w:rsidRPr="00BD66F4">
        <w:rPr>
          <w:rFonts w:ascii="Times New Roman" w:hAnsi="Times New Roman" w:cs="Times New Roman"/>
          <w:lang w:val="en-CA"/>
        </w:rPr>
        <w:t xml:space="preserve"> (2020); https://www.who.int/emergencies/diseases/ novel-coronavirus-2019/situation-reports</w:t>
      </w:r>
      <w:r w:rsidR="001D65D8" w:rsidRPr="001D65D8">
        <w:rPr>
          <w:rFonts w:ascii="Times New Roman" w:hAnsi="Times New Roman" w:cs="Times New Roman"/>
          <w:lang w:val="en-US"/>
        </w:rPr>
        <w:t>.</w:t>
      </w:r>
    </w:p>
    <w:p w14:paraId="3BEC5478" w14:textId="5E7BB398" w:rsidR="00D12528" w:rsidRPr="00D12528" w:rsidRDefault="00BD66F4" w:rsidP="00955F70">
      <w:pPr>
        <w:spacing w:line="240" w:lineRule="auto"/>
        <w:jc w:val="both"/>
        <w:rPr>
          <w:rFonts w:ascii="Times New Roman" w:hAnsi="Times New Roman" w:cs="Times New Roman"/>
          <w:lang w:val="en-CA"/>
        </w:rPr>
      </w:pPr>
      <w:r w:rsidRPr="00BD66F4">
        <w:rPr>
          <w:rFonts w:ascii="Times New Roman" w:hAnsi="Times New Roman" w:cs="Times New Roman"/>
          <w:lang w:val="en-CA"/>
        </w:rPr>
        <w:t>DUSHIANTHAN</w:t>
      </w:r>
      <w:r w:rsidR="00AE3669">
        <w:rPr>
          <w:rFonts w:ascii="Times New Roman" w:hAnsi="Times New Roman" w:cs="Times New Roman"/>
          <w:lang w:val="en-CA"/>
        </w:rPr>
        <w:t>,</w:t>
      </w:r>
      <w:r w:rsidRPr="00BD66F4">
        <w:rPr>
          <w:rFonts w:ascii="Times New Roman" w:hAnsi="Times New Roman" w:cs="Times New Roman"/>
          <w:lang w:val="en-CA"/>
        </w:rPr>
        <w:t xml:space="preserve"> A</w:t>
      </w:r>
      <w:r w:rsidR="00AE3669">
        <w:rPr>
          <w:rFonts w:ascii="Times New Roman" w:hAnsi="Times New Roman" w:cs="Times New Roman"/>
          <w:lang w:val="en-CA"/>
        </w:rPr>
        <w:t>.;</w:t>
      </w:r>
      <w:r w:rsidRPr="00BD66F4">
        <w:rPr>
          <w:rFonts w:ascii="Times New Roman" w:hAnsi="Times New Roman" w:cs="Times New Roman"/>
          <w:lang w:val="en-CA"/>
        </w:rPr>
        <w:t xml:space="preserve"> CUSACK</w:t>
      </w:r>
      <w:r w:rsidR="00AE3669">
        <w:rPr>
          <w:rFonts w:ascii="Times New Roman" w:hAnsi="Times New Roman" w:cs="Times New Roman"/>
          <w:lang w:val="en-CA"/>
        </w:rPr>
        <w:t>,</w:t>
      </w:r>
      <w:r w:rsidRPr="00BD66F4">
        <w:rPr>
          <w:rFonts w:ascii="Times New Roman" w:hAnsi="Times New Roman" w:cs="Times New Roman"/>
          <w:lang w:val="en-CA"/>
        </w:rPr>
        <w:t xml:space="preserve"> R</w:t>
      </w:r>
      <w:r w:rsidR="00AE3669">
        <w:rPr>
          <w:rFonts w:ascii="Times New Roman" w:hAnsi="Times New Roman" w:cs="Times New Roman"/>
          <w:lang w:val="en-CA"/>
        </w:rPr>
        <w:t>.;</w:t>
      </w:r>
      <w:r w:rsidRPr="00BD66F4">
        <w:rPr>
          <w:rFonts w:ascii="Times New Roman" w:hAnsi="Times New Roman" w:cs="Times New Roman"/>
          <w:lang w:val="en-CA"/>
        </w:rPr>
        <w:t xml:space="preserve"> BURGESS</w:t>
      </w:r>
      <w:r w:rsidR="00AE3669">
        <w:rPr>
          <w:rFonts w:ascii="Times New Roman" w:hAnsi="Times New Roman" w:cs="Times New Roman"/>
          <w:lang w:val="en-CA"/>
        </w:rPr>
        <w:t>,</w:t>
      </w:r>
      <w:r w:rsidRPr="00BD66F4">
        <w:rPr>
          <w:rFonts w:ascii="Times New Roman" w:hAnsi="Times New Roman" w:cs="Times New Roman"/>
          <w:lang w:val="en-CA"/>
        </w:rPr>
        <w:t xml:space="preserve"> V</w:t>
      </w:r>
      <w:r w:rsidR="00AE3669">
        <w:rPr>
          <w:rFonts w:ascii="Times New Roman" w:hAnsi="Times New Roman" w:cs="Times New Roman"/>
          <w:lang w:val="en-CA"/>
        </w:rPr>
        <w:t>.</w:t>
      </w:r>
      <w:r w:rsidRPr="00BD66F4">
        <w:rPr>
          <w:rFonts w:ascii="Times New Roman" w:hAnsi="Times New Roman" w:cs="Times New Roman"/>
          <w:lang w:val="en-CA"/>
        </w:rPr>
        <w:t>A</w:t>
      </w:r>
      <w:r w:rsidR="00AE3669">
        <w:rPr>
          <w:rFonts w:ascii="Times New Roman" w:hAnsi="Times New Roman" w:cs="Times New Roman"/>
          <w:lang w:val="en-CA"/>
        </w:rPr>
        <w:t>.;</w:t>
      </w:r>
      <w:r w:rsidRPr="00BD66F4">
        <w:rPr>
          <w:rFonts w:ascii="Times New Roman" w:hAnsi="Times New Roman" w:cs="Times New Roman"/>
          <w:lang w:val="en-CA"/>
        </w:rPr>
        <w:t xml:space="preserve"> </w:t>
      </w:r>
      <w:r>
        <w:rPr>
          <w:rFonts w:ascii="Times New Roman" w:hAnsi="Times New Roman" w:cs="Times New Roman"/>
          <w:lang w:val="en-CA"/>
        </w:rPr>
        <w:t xml:space="preserve">et al. </w:t>
      </w:r>
      <w:proofErr w:type="spellStart"/>
      <w:r w:rsidRPr="00BD66F4">
        <w:rPr>
          <w:rFonts w:ascii="Times New Roman" w:hAnsi="Times New Roman" w:cs="Times New Roman"/>
          <w:lang w:val="en-CA"/>
        </w:rPr>
        <w:t>Immunonutrition</w:t>
      </w:r>
      <w:proofErr w:type="spellEnd"/>
      <w:r w:rsidRPr="00BD66F4">
        <w:rPr>
          <w:rFonts w:ascii="Times New Roman" w:hAnsi="Times New Roman" w:cs="Times New Roman"/>
          <w:lang w:val="en-CA"/>
        </w:rPr>
        <w:t xml:space="preserve"> for acute respiratory distress syndrome (ARDS) in adults. </w:t>
      </w:r>
      <w:r w:rsidRPr="00BD66F4">
        <w:rPr>
          <w:rFonts w:ascii="Times New Roman" w:hAnsi="Times New Roman" w:cs="Times New Roman"/>
          <w:b/>
          <w:bCs/>
          <w:lang w:val="en-CA"/>
        </w:rPr>
        <w:t>Cochrane Database Syst</w:t>
      </w:r>
      <w:r>
        <w:rPr>
          <w:rFonts w:ascii="Times New Roman" w:hAnsi="Times New Roman" w:cs="Times New Roman"/>
          <w:b/>
          <w:bCs/>
          <w:lang w:val="en-CA"/>
        </w:rPr>
        <w:t>ematic</w:t>
      </w:r>
      <w:r w:rsidRPr="00BD66F4">
        <w:rPr>
          <w:rFonts w:ascii="Times New Roman" w:hAnsi="Times New Roman" w:cs="Times New Roman"/>
          <w:b/>
          <w:bCs/>
          <w:lang w:val="en-CA"/>
        </w:rPr>
        <w:t xml:space="preserve"> Rev</w:t>
      </w:r>
      <w:r>
        <w:rPr>
          <w:rFonts w:ascii="Times New Roman" w:hAnsi="Times New Roman" w:cs="Times New Roman"/>
          <w:b/>
          <w:bCs/>
          <w:lang w:val="en-CA"/>
        </w:rPr>
        <w:t>iew</w:t>
      </w:r>
      <w:r w:rsidRPr="00BD66F4">
        <w:rPr>
          <w:rFonts w:ascii="Times New Roman" w:hAnsi="Times New Roman" w:cs="Times New Roman"/>
          <w:lang w:val="en-CA"/>
        </w:rPr>
        <w:t xml:space="preserve">. </w:t>
      </w:r>
      <w:r>
        <w:rPr>
          <w:rFonts w:ascii="Times New Roman" w:hAnsi="Times New Roman" w:cs="Times New Roman"/>
          <w:lang w:val="en-CA"/>
        </w:rPr>
        <w:t xml:space="preserve"> v. </w:t>
      </w:r>
      <w:r w:rsidRPr="00BD66F4">
        <w:rPr>
          <w:rFonts w:ascii="Times New Roman" w:hAnsi="Times New Roman" w:cs="Times New Roman"/>
          <w:lang w:val="en-CA"/>
        </w:rPr>
        <w:t>24</w:t>
      </w:r>
      <w:r>
        <w:rPr>
          <w:rFonts w:ascii="Times New Roman" w:hAnsi="Times New Roman" w:cs="Times New Roman"/>
          <w:lang w:val="en-CA"/>
        </w:rPr>
        <w:t xml:space="preserve">, n. </w:t>
      </w:r>
      <w:r w:rsidRPr="00BD66F4">
        <w:rPr>
          <w:rFonts w:ascii="Times New Roman" w:hAnsi="Times New Roman" w:cs="Times New Roman"/>
          <w:lang w:val="en-CA"/>
        </w:rPr>
        <w:t>1</w:t>
      </w:r>
      <w:r>
        <w:rPr>
          <w:rFonts w:ascii="Times New Roman" w:hAnsi="Times New Roman" w:cs="Times New Roman"/>
          <w:lang w:val="en-CA"/>
        </w:rPr>
        <w:t xml:space="preserve">, </w:t>
      </w:r>
      <w:r w:rsidRPr="00BD66F4">
        <w:rPr>
          <w:rFonts w:ascii="Times New Roman" w:hAnsi="Times New Roman" w:cs="Times New Roman"/>
          <w:lang w:val="en-CA"/>
        </w:rPr>
        <w:t>2019</w:t>
      </w:r>
      <w:r>
        <w:rPr>
          <w:rFonts w:ascii="Times New Roman" w:hAnsi="Times New Roman" w:cs="Times New Roman"/>
          <w:lang w:val="en-CA"/>
        </w:rPr>
        <w:t>.</w:t>
      </w:r>
      <w:r w:rsidR="00D12528" w:rsidRPr="00D12528">
        <w:rPr>
          <w:rFonts w:ascii="Times New Roman" w:hAnsi="Times New Roman" w:cs="Times New Roman"/>
          <w:lang w:val="en-CA"/>
        </w:rPr>
        <w:t xml:space="preserve"> </w:t>
      </w:r>
    </w:p>
    <w:p w14:paraId="74715648" w14:textId="286137CF" w:rsidR="00D12528" w:rsidRPr="00955F70" w:rsidRDefault="00D12528" w:rsidP="00955F70">
      <w:pPr>
        <w:spacing w:line="240" w:lineRule="auto"/>
        <w:jc w:val="both"/>
        <w:rPr>
          <w:rFonts w:ascii="Times New Roman" w:hAnsi="Times New Roman" w:cs="Times New Roman"/>
          <w:lang w:val="en-CA"/>
        </w:rPr>
      </w:pPr>
      <w:r w:rsidRPr="00955F70">
        <w:rPr>
          <w:rFonts w:ascii="Times New Roman" w:hAnsi="Times New Roman" w:cs="Times New Roman"/>
          <w:lang w:val="en-CA"/>
        </w:rPr>
        <w:t>KUMBARGERE NAGRAJ</w:t>
      </w:r>
      <w:r w:rsidR="00AE3669">
        <w:rPr>
          <w:rFonts w:ascii="Times New Roman" w:hAnsi="Times New Roman" w:cs="Times New Roman"/>
          <w:lang w:val="en-CA"/>
        </w:rPr>
        <w:t xml:space="preserve">, </w:t>
      </w:r>
      <w:r w:rsidRPr="00955F70">
        <w:rPr>
          <w:rFonts w:ascii="Times New Roman" w:hAnsi="Times New Roman" w:cs="Times New Roman"/>
          <w:lang w:val="en-CA"/>
        </w:rPr>
        <w:t>S.</w:t>
      </w:r>
      <w:r w:rsidR="00AE3669">
        <w:rPr>
          <w:rFonts w:ascii="Times New Roman" w:hAnsi="Times New Roman" w:cs="Times New Roman"/>
          <w:lang w:val="en-CA"/>
        </w:rPr>
        <w:t>;</w:t>
      </w:r>
      <w:r w:rsidRPr="00955F70">
        <w:rPr>
          <w:rFonts w:ascii="Times New Roman" w:hAnsi="Times New Roman" w:cs="Times New Roman"/>
          <w:lang w:val="en-CA"/>
        </w:rPr>
        <w:t xml:space="preserve"> GEORGE, R. P.</w:t>
      </w:r>
      <w:r w:rsidR="00AE3669">
        <w:rPr>
          <w:rFonts w:ascii="Times New Roman" w:hAnsi="Times New Roman" w:cs="Times New Roman"/>
          <w:lang w:val="en-CA"/>
        </w:rPr>
        <w:t xml:space="preserve">; </w:t>
      </w:r>
      <w:r w:rsidRPr="00955F70">
        <w:rPr>
          <w:rFonts w:ascii="Times New Roman" w:hAnsi="Times New Roman" w:cs="Times New Roman"/>
          <w:lang w:val="en-CA"/>
        </w:rPr>
        <w:t>SHETTY, N.</w:t>
      </w:r>
      <w:r w:rsidR="00AE3669">
        <w:rPr>
          <w:rFonts w:ascii="Times New Roman" w:hAnsi="Times New Roman" w:cs="Times New Roman"/>
          <w:lang w:val="en-CA"/>
        </w:rPr>
        <w:t>;</w:t>
      </w:r>
      <w:r w:rsidRPr="00955F70">
        <w:rPr>
          <w:rFonts w:ascii="Times New Roman" w:hAnsi="Times New Roman" w:cs="Times New Roman"/>
          <w:lang w:val="en-CA"/>
        </w:rPr>
        <w:t xml:space="preserve"> </w:t>
      </w:r>
      <w:r w:rsidR="00AE3669">
        <w:rPr>
          <w:rFonts w:ascii="Times New Roman" w:hAnsi="Times New Roman" w:cs="Times New Roman"/>
          <w:lang w:val="en-CA"/>
        </w:rPr>
        <w:t xml:space="preserve">et al. </w:t>
      </w:r>
      <w:r w:rsidRPr="00955F70">
        <w:rPr>
          <w:rFonts w:ascii="Times New Roman" w:hAnsi="Times New Roman" w:cs="Times New Roman"/>
          <w:lang w:val="en-CA"/>
        </w:rPr>
        <w:t xml:space="preserve">Interventions for managing taste disturbances. </w:t>
      </w:r>
      <w:r w:rsidRPr="00955F70">
        <w:rPr>
          <w:rFonts w:ascii="Times New Roman" w:hAnsi="Times New Roman" w:cs="Times New Roman"/>
          <w:b/>
          <w:bCs/>
          <w:lang w:val="en-CA"/>
        </w:rPr>
        <w:t>The Cochrane Database of Systematic Reviews</w:t>
      </w:r>
      <w:r w:rsidRPr="00955F70">
        <w:rPr>
          <w:rFonts w:ascii="Times New Roman" w:hAnsi="Times New Roman" w:cs="Times New Roman"/>
          <w:lang w:val="en-CA"/>
        </w:rPr>
        <w:t>, v. 12, n. 12, 2017</w:t>
      </w:r>
      <w:r w:rsidR="001D65D8">
        <w:rPr>
          <w:rFonts w:ascii="Times New Roman" w:hAnsi="Times New Roman" w:cs="Times New Roman"/>
          <w:lang w:val="en-CA"/>
        </w:rPr>
        <w:t>.</w:t>
      </w:r>
    </w:p>
    <w:p w14:paraId="1F3BFCD7" w14:textId="1D88413E" w:rsidR="00BD66F4" w:rsidRDefault="00BD66F4" w:rsidP="00955F70">
      <w:pPr>
        <w:spacing w:line="240" w:lineRule="auto"/>
        <w:jc w:val="both"/>
        <w:rPr>
          <w:rFonts w:ascii="Times New Roman" w:hAnsi="Times New Roman" w:cs="Times New Roman"/>
          <w:lang w:val="en-CA"/>
        </w:rPr>
      </w:pPr>
      <w:r w:rsidRPr="00BD66F4">
        <w:rPr>
          <w:rFonts w:ascii="Times New Roman" w:hAnsi="Times New Roman" w:cs="Times New Roman"/>
          <w:lang w:val="en-CA"/>
        </w:rPr>
        <w:t>KALLIGEROS, M.</w:t>
      </w:r>
      <w:r w:rsidR="00AE3669">
        <w:rPr>
          <w:rFonts w:ascii="Times New Roman" w:hAnsi="Times New Roman" w:cs="Times New Roman"/>
          <w:lang w:val="en-CA"/>
        </w:rPr>
        <w:t>;</w:t>
      </w:r>
      <w:r w:rsidRPr="00BD66F4">
        <w:rPr>
          <w:rFonts w:ascii="Times New Roman" w:hAnsi="Times New Roman" w:cs="Times New Roman"/>
          <w:lang w:val="en-CA"/>
        </w:rPr>
        <w:t xml:space="preserve"> SHEHADEH, F.</w:t>
      </w:r>
      <w:r w:rsidR="00AE3669">
        <w:rPr>
          <w:rFonts w:ascii="Times New Roman" w:hAnsi="Times New Roman" w:cs="Times New Roman"/>
          <w:lang w:val="en-CA"/>
        </w:rPr>
        <w:t>;</w:t>
      </w:r>
      <w:r w:rsidRPr="00BD66F4">
        <w:rPr>
          <w:rFonts w:ascii="Times New Roman" w:hAnsi="Times New Roman" w:cs="Times New Roman"/>
          <w:lang w:val="en-CA"/>
        </w:rPr>
        <w:t xml:space="preserve"> MYLONA, E.K.</w:t>
      </w:r>
      <w:r w:rsidR="00AE3669">
        <w:rPr>
          <w:rFonts w:ascii="Times New Roman" w:hAnsi="Times New Roman" w:cs="Times New Roman"/>
          <w:lang w:val="en-CA"/>
        </w:rPr>
        <w:t>;</w:t>
      </w:r>
      <w:r w:rsidRPr="00BD66F4">
        <w:rPr>
          <w:rFonts w:ascii="Times New Roman" w:hAnsi="Times New Roman" w:cs="Times New Roman"/>
          <w:lang w:val="en-CA"/>
        </w:rPr>
        <w:t xml:space="preserve"> </w:t>
      </w:r>
      <w:r>
        <w:rPr>
          <w:rFonts w:ascii="Times New Roman" w:hAnsi="Times New Roman" w:cs="Times New Roman"/>
          <w:lang w:val="en-CA"/>
        </w:rPr>
        <w:t xml:space="preserve">et al. </w:t>
      </w:r>
      <w:r w:rsidRPr="00BD66F4">
        <w:rPr>
          <w:rFonts w:ascii="Times New Roman" w:hAnsi="Times New Roman" w:cs="Times New Roman"/>
          <w:lang w:val="en-CA"/>
        </w:rPr>
        <w:t xml:space="preserve">Association of Obesity with Disease Severity among Patients with COVID-19. </w:t>
      </w:r>
      <w:r w:rsidRPr="00BD66F4">
        <w:rPr>
          <w:rFonts w:ascii="Times New Roman" w:hAnsi="Times New Roman" w:cs="Times New Roman"/>
          <w:b/>
          <w:bCs/>
          <w:lang w:val="en-CA"/>
        </w:rPr>
        <w:t>Obesity</w:t>
      </w:r>
      <w:r w:rsidRPr="00BD66F4">
        <w:rPr>
          <w:rFonts w:ascii="Times New Roman" w:hAnsi="Times New Roman" w:cs="Times New Roman"/>
          <w:lang w:val="en-CA"/>
        </w:rPr>
        <w:t>. Accepted Author Manuscript, 2020.</w:t>
      </w:r>
    </w:p>
    <w:p w14:paraId="3F1E589E" w14:textId="116C93C8" w:rsidR="00D12528" w:rsidRPr="00955F70" w:rsidRDefault="00BD66F4" w:rsidP="00955F70">
      <w:pPr>
        <w:spacing w:line="240" w:lineRule="auto"/>
        <w:jc w:val="both"/>
        <w:rPr>
          <w:rFonts w:ascii="Times New Roman" w:hAnsi="Times New Roman" w:cs="Times New Roman"/>
          <w:lang w:val="en-CA"/>
        </w:rPr>
      </w:pPr>
      <w:r w:rsidRPr="00BD66F4">
        <w:rPr>
          <w:rFonts w:ascii="Times New Roman" w:hAnsi="Times New Roman" w:cs="Times New Roman"/>
          <w:lang w:val="en-CA"/>
        </w:rPr>
        <w:t>LI</w:t>
      </w:r>
      <w:r w:rsidR="00AE3669">
        <w:rPr>
          <w:rFonts w:ascii="Times New Roman" w:hAnsi="Times New Roman" w:cs="Times New Roman"/>
          <w:lang w:val="en-CA"/>
        </w:rPr>
        <w:t xml:space="preserve">, </w:t>
      </w:r>
      <w:r w:rsidRPr="00BD66F4">
        <w:rPr>
          <w:rFonts w:ascii="Times New Roman" w:hAnsi="Times New Roman" w:cs="Times New Roman"/>
          <w:lang w:val="en-CA"/>
        </w:rPr>
        <w:t>T</w:t>
      </w:r>
      <w:r w:rsidR="00AE3669">
        <w:rPr>
          <w:rFonts w:ascii="Times New Roman" w:hAnsi="Times New Roman" w:cs="Times New Roman"/>
          <w:lang w:val="en-CA"/>
        </w:rPr>
        <w:t>.;</w:t>
      </w:r>
      <w:r w:rsidRPr="00BD66F4">
        <w:rPr>
          <w:rFonts w:ascii="Times New Roman" w:hAnsi="Times New Roman" w:cs="Times New Roman"/>
          <w:lang w:val="en-CA"/>
        </w:rPr>
        <w:t xml:space="preserve"> ZHANG</w:t>
      </w:r>
      <w:r w:rsidR="00AE3669">
        <w:rPr>
          <w:rFonts w:ascii="Times New Roman" w:hAnsi="Times New Roman" w:cs="Times New Roman"/>
          <w:lang w:val="en-CA"/>
        </w:rPr>
        <w:t>,</w:t>
      </w:r>
      <w:r w:rsidRPr="00BD66F4">
        <w:rPr>
          <w:rFonts w:ascii="Times New Roman" w:hAnsi="Times New Roman" w:cs="Times New Roman"/>
          <w:lang w:val="en-CA"/>
        </w:rPr>
        <w:t xml:space="preserve"> Y</w:t>
      </w:r>
      <w:r w:rsidR="00AE3669">
        <w:rPr>
          <w:rFonts w:ascii="Times New Roman" w:hAnsi="Times New Roman" w:cs="Times New Roman"/>
          <w:lang w:val="en-CA"/>
        </w:rPr>
        <w:t>.;</w:t>
      </w:r>
      <w:r w:rsidRPr="00BD66F4">
        <w:rPr>
          <w:rFonts w:ascii="Times New Roman" w:hAnsi="Times New Roman" w:cs="Times New Roman"/>
          <w:lang w:val="en-CA"/>
        </w:rPr>
        <w:t xml:space="preserve"> GONG</w:t>
      </w:r>
      <w:r w:rsidR="00AE3669">
        <w:rPr>
          <w:rFonts w:ascii="Times New Roman" w:hAnsi="Times New Roman" w:cs="Times New Roman"/>
          <w:lang w:val="en-CA"/>
        </w:rPr>
        <w:t>,</w:t>
      </w:r>
      <w:r w:rsidRPr="00BD66F4">
        <w:rPr>
          <w:rFonts w:ascii="Times New Roman" w:hAnsi="Times New Roman" w:cs="Times New Roman"/>
          <w:lang w:val="en-CA"/>
        </w:rPr>
        <w:t xml:space="preserve"> C</w:t>
      </w:r>
      <w:r w:rsidR="00AE3669">
        <w:rPr>
          <w:rFonts w:ascii="Times New Roman" w:hAnsi="Times New Roman" w:cs="Times New Roman"/>
          <w:lang w:val="en-CA"/>
        </w:rPr>
        <w:t>.;</w:t>
      </w:r>
      <w:r w:rsidRPr="00BD66F4">
        <w:rPr>
          <w:rFonts w:ascii="Times New Roman" w:hAnsi="Times New Roman" w:cs="Times New Roman"/>
          <w:lang w:val="en-CA"/>
        </w:rPr>
        <w:t xml:space="preserve"> </w:t>
      </w:r>
      <w:r>
        <w:rPr>
          <w:rFonts w:ascii="Times New Roman" w:hAnsi="Times New Roman" w:cs="Times New Roman"/>
          <w:lang w:val="en-CA"/>
        </w:rPr>
        <w:t xml:space="preserve">et al. </w:t>
      </w:r>
      <w:r w:rsidRPr="00BD66F4">
        <w:rPr>
          <w:rFonts w:ascii="Times New Roman" w:hAnsi="Times New Roman" w:cs="Times New Roman"/>
          <w:lang w:val="en-CA"/>
        </w:rPr>
        <w:t xml:space="preserve"> Prevalence of malnutrition and analysis of related factors in elderly patients with COVID-19 in Wuhan, China. </w:t>
      </w:r>
      <w:r w:rsidRPr="00306067">
        <w:rPr>
          <w:rFonts w:ascii="Times New Roman" w:hAnsi="Times New Roman" w:cs="Times New Roman"/>
          <w:b/>
          <w:bCs/>
          <w:lang w:val="en-CA"/>
        </w:rPr>
        <w:t>Eur</w:t>
      </w:r>
      <w:r w:rsidRPr="00306067">
        <w:rPr>
          <w:rFonts w:ascii="Times New Roman" w:hAnsi="Times New Roman" w:cs="Times New Roman"/>
          <w:b/>
          <w:bCs/>
          <w:lang w:val="en-CA"/>
        </w:rPr>
        <w:t>opean</w:t>
      </w:r>
      <w:r w:rsidRPr="00306067">
        <w:rPr>
          <w:rFonts w:ascii="Times New Roman" w:hAnsi="Times New Roman" w:cs="Times New Roman"/>
          <w:b/>
          <w:bCs/>
          <w:lang w:val="en-CA"/>
        </w:rPr>
        <w:t xml:space="preserve"> J</w:t>
      </w:r>
      <w:r w:rsidRPr="00306067">
        <w:rPr>
          <w:rFonts w:ascii="Times New Roman" w:hAnsi="Times New Roman" w:cs="Times New Roman"/>
          <w:b/>
          <w:bCs/>
          <w:lang w:val="en-CA"/>
        </w:rPr>
        <w:t>ournal of</w:t>
      </w:r>
      <w:r w:rsidRPr="00306067">
        <w:rPr>
          <w:rFonts w:ascii="Times New Roman" w:hAnsi="Times New Roman" w:cs="Times New Roman"/>
          <w:b/>
          <w:bCs/>
          <w:lang w:val="en-CA"/>
        </w:rPr>
        <w:t xml:space="preserve"> Clin</w:t>
      </w:r>
      <w:r w:rsidRPr="00306067">
        <w:rPr>
          <w:rFonts w:ascii="Times New Roman" w:hAnsi="Times New Roman" w:cs="Times New Roman"/>
          <w:b/>
          <w:bCs/>
          <w:lang w:val="en-CA"/>
        </w:rPr>
        <w:t>ical</w:t>
      </w:r>
      <w:r w:rsidRPr="00306067">
        <w:rPr>
          <w:rFonts w:ascii="Times New Roman" w:hAnsi="Times New Roman" w:cs="Times New Roman"/>
          <w:b/>
          <w:bCs/>
          <w:lang w:val="en-CA"/>
        </w:rPr>
        <w:t xml:space="preserve"> Nutr</w:t>
      </w:r>
      <w:r w:rsidRPr="00306067">
        <w:rPr>
          <w:rFonts w:ascii="Times New Roman" w:hAnsi="Times New Roman" w:cs="Times New Roman"/>
          <w:b/>
          <w:bCs/>
          <w:lang w:val="en-CA"/>
        </w:rPr>
        <w:t>ition</w:t>
      </w:r>
      <w:r w:rsidRPr="00BD66F4">
        <w:rPr>
          <w:rFonts w:ascii="Times New Roman" w:hAnsi="Times New Roman" w:cs="Times New Roman"/>
          <w:lang w:val="en-CA"/>
        </w:rPr>
        <w:t xml:space="preserve">. </w:t>
      </w:r>
      <w:r>
        <w:rPr>
          <w:rFonts w:ascii="Times New Roman" w:hAnsi="Times New Roman" w:cs="Times New Roman"/>
          <w:lang w:val="en-CA"/>
        </w:rPr>
        <w:t xml:space="preserve">v. </w:t>
      </w:r>
      <w:r w:rsidRPr="00BD66F4">
        <w:rPr>
          <w:rFonts w:ascii="Times New Roman" w:hAnsi="Times New Roman" w:cs="Times New Roman"/>
          <w:lang w:val="en-CA"/>
        </w:rPr>
        <w:t>74</w:t>
      </w:r>
      <w:r>
        <w:rPr>
          <w:rFonts w:ascii="Times New Roman" w:hAnsi="Times New Roman" w:cs="Times New Roman"/>
          <w:lang w:val="en-CA"/>
        </w:rPr>
        <w:t xml:space="preserve">, n. </w:t>
      </w:r>
      <w:r w:rsidRPr="00BD66F4">
        <w:rPr>
          <w:rFonts w:ascii="Times New Roman" w:hAnsi="Times New Roman" w:cs="Times New Roman"/>
          <w:lang w:val="en-CA"/>
        </w:rPr>
        <w:t>6</w:t>
      </w:r>
      <w:r>
        <w:rPr>
          <w:rFonts w:ascii="Times New Roman" w:hAnsi="Times New Roman" w:cs="Times New Roman"/>
          <w:lang w:val="en-CA"/>
        </w:rPr>
        <w:t>, p.</w:t>
      </w:r>
      <w:r w:rsidRPr="00BD66F4">
        <w:rPr>
          <w:rFonts w:ascii="Times New Roman" w:hAnsi="Times New Roman" w:cs="Times New Roman"/>
          <w:lang w:val="en-CA"/>
        </w:rPr>
        <w:t>871-875</w:t>
      </w:r>
      <w:r>
        <w:rPr>
          <w:rFonts w:ascii="Times New Roman" w:hAnsi="Times New Roman" w:cs="Times New Roman"/>
          <w:lang w:val="en-CA"/>
        </w:rPr>
        <w:t xml:space="preserve">, </w:t>
      </w:r>
      <w:r w:rsidRPr="00BD66F4">
        <w:rPr>
          <w:rFonts w:ascii="Times New Roman" w:hAnsi="Times New Roman" w:cs="Times New Roman"/>
          <w:lang w:val="en-CA"/>
        </w:rPr>
        <w:t>2020</w:t>
      </w:r>
      <w:r>
        <w:rPr>
          <w:rFonts w:ascii="Times New Roman" w:hAnsi="Times New Roman" w:cs="Times New Roman"/>
          <w:lang w:val="en-CA"/>
        </w:rPr>
        <w:t>.</w:t>
      </w:r>
    </w:p>
    <w:p w14:paraId="0A3A8A41" w14:textId="7FF70131" w:rsidR="00D12528" w:rsidRPr="00955F70" w:rsidRDefault="00765BBB" w:rsidP="00955F70">
      <w:pPr>
        <w:spacing w:line="240" w:lineRule="auto"/>
        <w:jc w:val="both"/>
        <w:rPr>
          <w:rFonts w:ascii="Times New Roman" w:hAnsi="Times New Roman" w:cs="Times New Roman"/>
          <w:lang w:val="en-CA"/>
        </w:rPr>
      </w:pPr>
      <w:r w:rsidRPr="00765BBB">
        <w:rPr>
          <w:rFonts w:ascii="Times New Roman" w:hAnsi="Times New Roman" w:cs="Times New Roman"/>
          <w:lang w:val="en-CA"/>
        </w:rPr>
        <w:t>LIGHTER, J.</w:t>
      </w:r>
      <w:r w:rsidR="00AE3669">
        <w:rPr>
          <w:rFonts w:ascii="Times New Roman" w:hAnsi="Times New Roman" w:cs="Times New Roman"/>
          <w:lang w:val="en-CA"/>
        </w:rPr>
        <w:t>;</w:t>
      </w:r>
      <w:r w:rsidRPr="00765BBB">
        <w:rPr>
          <w:rFonts w:ascii="Times New Roman" w:hAnsi="Times New Roman" w:cs="Times New Roman"/>
          <w:lang w:val="en-CA"/>
        </w:rPr>
        <w:t xml:space="preserve"> PHILLIPS, M.</w:t>
      </w:r>
      <w:r w:rsidR="00AE3669">
        <w:rPr>
          <w:rFonts w:ascii="Times New Roman" w:hAnsi="Times New Roman" w:cs="Times New Roman"/>
          <w:lang w:val="en-CA"/>
        </w:rPr>
        <w:t xml:space="preserve">; </w:t>
      </w:r>
      <w:r w:rsidRPr="00765BBB">
        <w:rPr>
          <w:rFonts w:ascii="Times New Roman" w:hAnsi="Times New Roman" w:cs="Times New Roman"/>
          <w:lang w:val="en-CA"/>
        </w:rPr>
        <w:t>HOCHMAN, S.</w:t>
      </w:r>
      <w:r w:rsidR="00AE3669">
        <w:rPr>
          <w:rFonts w:ascii="Times New Roman" w:hAnsi="Times New Roman" w:cs="Times New Roman"/>
          <w:lang w:val="en-CA"/>
        </w:rPr>
        <w:t xml:space="preserve">; </w:t>
      </w:r>
      <w:r>
        <w:rPr>
          <w:rFonts w:ascii="Times New Roman" w:hAnsi="Times New Roman" w:cs="Times New Roman"/>
          <w:lang w:val="en-CA"/>
        </w:rPr>
        <w:t xml:space="preserve">et al. </w:t>
      </w:r>
      <w:r w:rsidRPr="00765BBB">
        <w:rPr>
          <w:rFonts w:ascii="Times New Roman" w:hAnsi="Times New Roman" w:cs="Times New Roman"/>
          <w:lang w:val="en-CA"/>
        </w:rPr>
        <w:t xml:space="preserve">A. Obesity in patients younger than 60 years is a risk factor for Covid-19 hospital admission. </w:t>
      </w:r>
      <w:r w:rsidRPr="00765BBB">
        <w:rPr>
          <w:rFonts w:ascii="Times New Roman" w:hAnsi="Times New Roman" w:cs="Times New Roman"/>
          <w:b/>
          <w:bCs/>
          <w:lang w:val="en-CA"/>
        </w:rPr>
        <w:t>Clin</w:t>
      </w:r>
      <w:r w:rsidRPr="00765BBB">
        <w:rPr>
          <w:rFonts w:ascii="Times New Roman" w:hAnsi="Times New Roman" w:cs="Times New Roman"/>
          <w:b/>
          <w:bCs/>
          <w:lang w:val="en-CA"/>
        </w:rPr>
        <w:t>ical</w:t>
      </w:r>
      <w:r w:rsidRPr="00765BBB">
        <w:rPr>
          <w:rFonts w:ascii="Times New Roman" w:hAnsi="Times New Roman" w:cs="Times New Roman"/>
          <w:b/>
          <w:bCs/>
          <w:lang w:val="en-CA"/>
        </w:rPr>
        <w:t xml:space="preserve"> Infect Dis</w:t>
      </w:r>
      <w:r w:rsidRPr="00765BBB">
        <w:rPr>
          <w:rFonts w:ascii="Times New Roman" w:hAnsi="Times New Roman" w:cs="Times New Roman"/>
          <w:b/>
          <w:bCs/>
          <w:lang w:val="en-CA"/>
        </w:rPr>
        <w:t>eases</w:t>
      </w:r>
      <w:r w:rsidRPr="00765BBB">
        <w:rPr>
          <w:rFonts w:ascii="Times New Roman" w:hAnsi="Times New Roman" w:cs="Times New Roman"/>
          <w:lang w:val="en-CA"/>
        </w:rPr>
        <w:t>.</w:t>
      </w:r>
      <w:r>
        <w:rPr>
          <w:rFonts w:ascii="Times New Roman" w:hAnsi="Times New Roman" w:cs="Times New Roman"/>
          <w:lang w:val="en-CA"/>
        </w:rPr>
        <w:t xml:space="preserve"> v. </w:t>
      </w:r>
      <w:r w:rsidRPr="00765BBB">
        <w:rPr>
          <w:rFonts w:ascii="Times New Roman" w:hAnsi="Times New Roman" w:cs="Times New Roman"/>
          <w:lang w:val="en-CA"/>
        </w:rPr>
        <w:t>71</w:t>
      </w:r>
      <w:r w:rsidR="00276F9E">
        <w:rPr>
          <w:rFonts w:ascii="Times New Roman" w:hAnsi="Times New Roman" w:cs="Times New Roman"/>
          <w:lang w:val="en-CA"/>
        </w:rPr>
        <w:t xml:space="preserve">, n. </w:t>
      </w:r>
      <w:r w:rsidRPr="00765BBB">
        <w:rPr>
          <w:rFonts w:ascii="Times New Roman" w:hAnsi="Times New Roman" w:cs="Times New Roman"/>
          <w:lang w:val="en-CA"/>
        </w:rPr>
        <w:t>15</w:t>
      </w:r>
      <w:r w:rsidR="00276F9E">
        <w:rPr>
          <w:rFonts w:ascii="Times New Roman" w:hAnsi="Times New Roman" w:cs="Times New Roman"/>
          <w:lang w:val="en-CA"/>
        </w:rPr>
        <w:t xml:space="preserve">, p. </w:t>
      </w:r>
      <w:r w:rsidRPr="00765BBB">
        <w:rPr>
          <w:rFonts w:ascii="Times New Roman" w:hAnsi="Times New Roman" w:cs="Times New Roman"/>
          <w:lang w:val="en-CA"/>
        </w:rPr>
        <w:t>896-897</w:t>
      </w:r>
      <w:r w:rsidR="00276F9E">
        <w:rPr>
          <w:rFonts w:ascii="Times New Roman" w:hAnsi="Times New Roman" w:cs="Times New Roman"/>
          <w:lang w:val="en-CA"/>
        </w:rPr>
        <w:t xml:space="preserve">, </w:t>
      </w:r>
      <w:r w:rsidR="00276F9E" w:rsidRPr="00765BBB">
        <w:rPr>
          <w:rFonts w:ascii="Times New Roman" w:hAnsi="Times New Roman" w:cs="Times New Roman"/>
          <w:lang w:val="en-CA"/>
        </w:rPr>
        <w:t>2020</w:t>
      </w:r>
      <w:r w:rsidR="00276F9E">
        <w:rPr>
          <w:rFonts w:ascii="Times New Roman" w:hAnsi="Times New Roman" w:cs="Times New Roman"/>
          <w:lang w:val="en-CA"/>
        </w:rPr>
        <w:t>.</w:t>
      </w:r>
    </w:p>
    <w:p w14:paraId="02D6A5D3" w14:textId="1EFD1200" w:rsidR="00D12528" w:rsidRPr="00190800" w:rsidRDefault="006E075F" w:rsidP="00955F70">
      <w:pPr>
        <w:spacing w:line="240" w:lineRule="auto"/>
        <w:jc w:val="both"/>
        <w:rPr>
          <w:rFonts w:ascii="Times New Roman" w:hAnsi="Times New Roman" w:cs="Times New Roman"/>
          <w:lang w:val="en-US"/>
        </w:rPr>
      </w:pPr>
      <w:r w:rsidRPr="006E075F">
        <w:rPr>
          <w:rFonts w:ascii="Times New Roman" w:hAnsi="Times New Roman" w:cs="Times New Roman"/>
          <w:lang w:val="en-CA"/>
        </w:rPr>
        <w:t>PEDERSEN S.F.</w:t>
      </w:r>
      <w:r>
        <w:rPr>
          <w:rFonts w:ascii="Times New Roman" w:hAnsi="Times New Roman" w:cs="Times New Roman"/>
          <w:lang w:val="en-CA"/>
        </w:rPr>
        <w:t>;</w:t>
      </w:r>
      <w:r w:rsidRPr="006E075F">
        <w:rPr>
          <w:rFonts w:ascii="Times New Roman" w:hAnsi="Times New Roman" w:cs="Times New Roman"/>
          <w:lang w:val="en-CA"/>
        </w:rPr>
        <w:t xml:space="preserve"> H</w:t>
      </w:r>
      <w:r w:rsidR="00AE3669">
        <w:rPr>
          <w:rFonts w:ascii="Times New Roman" w:hAnsi="Times New Roman" w:cs="Times New Roman"/>
          <w:lang w:val="en-CA"/>
        </w:rPr>
        <w:t>O,</w:t>
      </w:r>
      <w:r w:rsidRPr="006E075F">
        <w:rPr>
          <w:rFonts w:ascii="Times New Roman" w:hAnsi="Times New Roman" w:cs="Times New Roman"/>
          <w:lang w:val="en-CA"/>
        </w:rPr>
        <w:t xml:space="preserve"> Y.C. SARS-CoV-2: A Storm is Raging. </w:t>
      </w:r>
      <w:r w:rsidRPr="006E075F">
        <w:rPr>
          <w:rFonts w:ascii="Times New Roman" w:hAnsi="Times New Roman" w:cs="Times New Roman"/>
          <w:b/>
          <w:bCs/>
          <w:lang w:val="en-CA"/>
        </w:rPr>
        <w:t>J</w:t>
      </w:r>
      <w:r w:rsidRPr="006E075F">
        <w:rPr>
          <w:rFonts w:ascii="Times New Roman" w:hAnsi="Times New Roman" w:cs="Times New Roman"/>
          <w:b/>
          <w:bCs/>
          <w:lang w:val="en-CA"/>
        </w:rPr>
        <w:t>ournal of</w:t>
      </w:r>
      <w:r w:rsidRPr="006E075F">
        <w:rPr>
          <w:rFonts w:ascii="Times New Roman" w:hAnsi="Times New Roman" w:cs="Times New Roman"/>
          <w:b/>
          <w:bCs/>
          <w:lang w:val="en-CA"/>
        </w:rPr>
        <w:t xml:space="preserve"> Clin</w:t>
      </w:r>
      <w:r w:rsidRPr="006E075F">
        <w:rPr>
          <w:rFonts w:ascii="Times New Roman" w:hAnsi="Times New Roman" w:cs="Times New Roman"/>
          <w:b/>
          <w:bCs/>
          <w:lang w:val="en-CA"/>
        </w:rPr>
        <w:t>ical</w:t>
      </w:r>
      <w:r w:rsidRPr="006E075F">
        <w:rPr>
          <w:rFonts w:ascii="Times New Roman" w:hAnsi="Times New Roman" w:cs="Times New Roman"/>
          <w:b/>
          <w:bCs/>
          <w:lang w:val="en-CA"/>
        </w:rPr>
        <w:t xml:space="preserve"> Investig</w:t>
      </w:r>
      <w:r w:rsidRPr="006E075F">
        <w:rPr>
          <w:rFonts w:ascii="Times New Roman" w:hAnsi="Times New Roman" w:cs="Times New Roman"/>
          <w:b/>
          <w:bCs/>
          <w:lang w:val="en-CA"/>
        </w:rPr>
        <w:t>ation.</w:t>
      </w:r>
      <w:r w:rsidRPr="006E075F">
        <w:rPr>
          <w:rFonts w:ascii="Times New Roman" w:hAnsi="Times New Roman" w:cs="Times New Roman"/>
          <w:lang w:val="en-CA"/>
        </w:rPr>
        <w:t xml:space="preserve"> 2020</w:t>
      </w:r>
      <w:r w:rsidR="00D12528" w:rsidRPr="00190800">
        <w:rPr>
          <w:rFonts w:ascii="Times New Roman" w:hAnsi="Times New Roman" w:cs="Times New Roman"/>
          <w:lang w:val="en-US"/>
        </w:rPr>
        <w:t xml:space="preserve">. </w:t>
      </w:r>
    </w:p>
    <w:p w14:paraId="7FA44AB1" w14:textId="4D9E1C6A" w:rsidR="00D12528" w:rsidRPr="00190800" w:rsidRDefault="006E075F" w:rsidP="00955F70">
      <w:pPr>
        <w:spacing w:line="240" w:lineRule="auto"/>
        <w:jc w:val="both"/>
        <w:rPr>
          <w:rFonts w:ascii="Times New Roman" w:hAnsi="Times New Roman" w:cs="Times New Roman"/>
          <w:lang w:val="en-US"/>
        </w:rPr>
      </w:pPr>
      <w:r w:rsidRPr="006E075F">
        <w:rPr>
          <w:rFonts w:ascii="Times New Roman" w:hAnsi="Times New Roman" w:cs="Times New Roman"/>
        </w:rPr>
        <w:t>SEPANDI</w:t>
      </w:r>
      <w:r w:rsidR="00AE3669">
        <w:rPr>
          <w:rFonts w:ascii="Times New Roman" w:hAnsi="Times New Roman" w:cs="Times New Roman"/>
        </w:rPr>
        <w:t>,</w:t>
      </w:r>
      <w:r w:rsidRPr="006E075F">
        <w:rPr>
          <w:rFonts w:ascii="Times New Roman" w:hAnsi="Times New Roman" w:cs="Times New Roman"/>
        </w:rPr>
        <w:t xml:space="preserve"> M</w:t>
      </w:r>
      <w:r w:rsidR="00AE3669">
        <w:rPr>
          <w:rFonts w:ascii="Times New Roman" w:hAnsi="Times New Roman" w:cs="Times New Roman"/>
        </w:rPr>
        <w:t>.;</w:t>
      </w:r>
      <w:r w:rsidRPr="006E075F">
        <w:rPr>
          <w:rFonts w:ascii="Times New Roman" w:hAnsi="Times New Roman" w:cs="Times New Roman"/>
        </w:rPr>
        <w:t xml:space="preserve"> TAGHDIR</w:t>
      </w:r>
      <w:r w:rsidR="00AE3669">
        <w:rPr>
          <w:rFonts w:ascii="Times New Roman" w:hAnsi="Times New Roman" w:cs="Times New Roman"/>
        </w:rPr>
        <w:t>,</w:t>
      </w:r>
      <w:r w:rsidRPr="006E075F">
        <w:rPr>
          <w:rFonts w:ascii="Times New Roman" w:hAnsi="Times New Roman" w:cs="Times New Roman"/>
        </w:rPr>
        <w:t xml:space="preserve"> M</w:t>
      </w:r>
      <w:r w:rsidR="00AE3669">
        <w:rPr>
          <w:rFonts w:ascii="Times New Roman" w:hAnsi="Times New Roman" w:cs="Times New Roman"/>
        </w:rPr>
        <w:t>.;</w:t>
      </w:r>
      <w:r w:rsidRPr="006E075F">
        <w:rPr>
          <w:rFonts w:ascii="Times New Roman" w:hAnsi="Times New Roman" w:cs="Times New Roman"/>
        </w:rPr>
        <w:t xml:space="preserve"> </w:t>
      </w:r>
      <w:proofErr w:type="spellStart"/>
      <w:r w:rsidRPr="006E075F">
        <w:rPr>
          <w:rFonts w:ascii="Times New Roman" w:hAnsi="Times New Roman" w:cs="Times New Roman"/>
        </w:rPr>
        <w:t>AlIMOHAMADI</w:t>
      </w:r>
      <w:proofErr w:type="spellEnd"/>
      <w:r w:rsidR="00AE3669">
        <w:rPr>
          <w:rFonts w:ascii="Times New Roman" w:hAnsi="Times New Roman" w:cs="Times New Roman"/>
        </w:rPr>
        <w:t>,</w:t>
      </w:r>
      <w:r w:rsidRPr="006E075F">
        <w:rPr>
          <w:rFonts w:ascii="Times New Roman" w:hAnsi="Times New Roman" w:cs="Times New Roman"/>
        </w:rPr>
        <w:t xml:space="preserve"> Y</w:t>
      </w:r>
      <w:r w:rsidR="00AE3669">
        <w:rPr>
          <w:rFonts w:ascii="Times New Roman" w:hAnsi="Times New Roman" w:cs="Times New Roman"/>
        </w:rPr>
        <w:t>.;</w:t>
      </w:r>
      <w:r w:rsidRPr="006E075F">
        <w:rPr>
          <w:rFonts w:ascii="Times New Roman" w:hAnsi="Times New Roman" w:cs="Times New Roman"/>
        </w:rPr>
        <w:t xml:space="preserve"> </w:t>
      </w:r>
      <w:r w:rsidRPr="006E075F">
        <w:rPr>
          <w:rFonts w:ascii="Times New Roman" w:hAnsi="Times New Roman" w:cs="Times New Roman"/>
        </w:rPr>
        <w:t xml:space="preserve">et al. </w:t>
      </w:r>
      <w:r w:rsidRPr="006E075F">
        <w:rPr>
          <w:rFonts w:ascii="Times New Roman" w:hAnsi="Times New Roman" w:cs="Times New Roman"/>
          <w:lang w:val="en-CA"/>
        </w:rPr>
        <w:t xml:space="preserve">Factors Associated with Mortality in COVID-19 Patients: A Systematic Review and Meta-Analysis. </w:t>
      </w:r>
      <w:r w:rsidRPr="006E075F">
        <w:rPr>
          <w:rFonts w:ascii="Times New Roman" w:hAnsi="Times New Roman" w:cs="Times New Roman"/>
          <w:b/>
          <w:bCs/>
          <w:lang w:val="en-CA"/>
        </w:rPr>
        <w:t>Iran J</w:t>
      </w:r>
      <w:r w:rsidRPr="006E075F">
        <w:rPr>
          <w:rFonts w:ascii="Times New Roman" w:hAnsi="Times New Roman" w:cs="Times New Roman"/>
          <w:b/>
          <w:bCs/>
          <w:lang w:val="en-CA"/>
        </w:rPr>
        <w:t>ournal of</w:t>
      </w:r>
      <w:r w:rsidRPr="006E075F">
        <w:rPr>
          <w:rFonts w:ascii="Times New Roman" w:hAnsi="Times New Roman" w:cs="Times New Roman"/>
          <w:b/>
          <w:bCs/>
          <w:lang w:val="en-CA"/>
        </w:rPr>
        <w:t xml:space="preserve"> Public Health.</w:t>
      </w:r>
      <w:r w:rsidRPr="006E075F">
        <w:rPr>
          <w:rFonts w:ascii="Times New Roman" w:hAnsi="Times New Roman" w:cs="Times New Roman"/>
          <w:lang w:val="en-CA"/>
        </w:rPr>
        <w:t xml:space="preserve"> </w:t>
      </w:r>
      <w:r>
        <w:rPr>
          <w:rFonts w:ascii="Times New Roman" w:hAnsi="Times New Roman" w:cs="Times New Roman"/>
          <w:lang w:val="en-CA"/>
        </w:rPr>
        <w:t xml:space="preserve">v. </w:t>
      </w:r>
      <w:r w:rsidRPr="006E075F">
        <w:rPr>
          <w:rFonts w:ascii="Times New Roman" w:hAnsi="Times New Roman" w:cs="Times New Roman"/>
          <w:lang w:val="en-CA"/>
        </w:rPr>
        <w:t>49</w:t>
      </w:r>
      <w:r>
        <w:rPr>
          <w:rFonts w:ascii="Times New Roman" w:hAnsi="Times New Roman" w:cs="Times New Roman"/>
          <w:lang w:val="en-CA"/>
        </w:rPr>
        <w:t>, n.</w:t>
      </w:r>
      <w:r w:rsidRPr="006E075F">
        <w:rPr>
          <w:rFonts w:ascii="Times New Roman" w:hAnsi="Times New Roman" w:cs="Times New Roman"/>
          <w:lang w:val="en-CA"/>
        </w:rPr>
        <w:t>7</w:t>
      </w:r>
      <w:r>
        <w:rPr>
          <w:rFonts w:ascii="Times New Roman" w:hAnsi="Times New Roman" w:cs="Times New Roman"/>
          <w:lang w:val="en-CA"/>
        </w:rPr>
        <w:t>, p.</w:t>
      </w:r>
      <w:r w:rsidRPr="006E075F">
        <w:rPr>
          <w:rFonts w:ascii="Times New Roman" w:hAnsi="Times New Roman" w:cs="Times New Roman"/>
          <w:lang w:val="en-CA"/>
        </w:rPr>
        <w:t>1211-1221</w:t>
      </w:r>
      <w:r>
        <w:rPr>
          <w:rFonts w:ascii="Times New Roman" w:hAnsi="Times New Roman" w:cs="Times New Roman"/>
          <w:lang w:val="en-CA"/>
        </w:rPr>
        <w:t xml:space="preserve">, </w:t>
      </w:r>
      <w:r w:rsidRPr="006E075F">
        <w:rPr>
          <w:rFonts w:ascii="Times New Roman" w:hAnsi="Times New Roman" w:cs="Times New Roman"/>
          <w:lang w:val="en-CA"/>
        </w:rPr>
        <w:t>2020</w:t>
      </w:r>
      <w:r>
        <w:rPr>
          <w:rFonts w:ascii="Times New Roman" w:hAnsi="Times New Roman" w:cs="Times New Roman"/>
          <w:lang w:val="en-CA"/>
        </w:rPr>
        <w:t>.</w:t>
      </w:r>
      <w:r w:rsidR="00D12528" w:rsidRPr="00190800">
        <w:rPr>
          <w:rFonts w:ascii="Times New Roman" w:hAnsi="Times New Roman" w:cs="Times New Roman"/>
          <w:lang w:val="en-US"/>
        </w:rPr>
        <w:t xml:space="preserve"> </w:t>
      </w:r>
    </w:p>
    <w:p w14:paraId="16BB5058" w14:textId="3D7DAE4A" w:rsidR="00FB193F" w:rsidRDefault="00FB193F" w:rsidP="00955F70">
      <w:pPr>
        <w:spacing w:line="240" w:lineRule="auto"/>
        <w:jc w:val="both"/>
        <w:rPr>
          <w:rFonts w:ascii="Times New Roman" w:hAnsi="Times New Roman" w:cs="Times New Roman"/>
          <w:lang w:val="en-CA"/>
        </w:rPr>
      </w:pPr>
      <w:r w:rsidRPr="00FB193F">
        <w:rPr>
          <w:rFonts w:ascii="Times New Roman" w:hAnsi="Times New Roman" w:cs="Times New Roman"/>
          <w:lang w:val="en-CA"/>
        </w:rPr>
        <w:t>SINGER</w:t>
      </w:r>
      <w:r w:rsidR="00AE3669">
        <w:rPr>
          <w:rFonts w:ascii="Times New Roman" w:hAnsi="Times New Roman" w:cs="Times New Roman"/>
          <w:lang w:val="en-CA"/>
        </w:rPr>
        <w:t>,</w:t>
      </w:r>
      <w:r w:rsidRPr="00FB193F">
        <w:rPr>
          <w:rFonts w:ascii="Times New Roman" w:hAnsi="Times New Roman" w:cs="Times New Roman"/>
          <w:lang w:val="en-CA"/>
        </w:rPr>
        <w:t xml:space="preserve"> P</w:t>
      </w:r>
      <w:r w:rsidR="00AE3669">
        <w:rPr>
          <w:rFonts w:ascii="Times New Roman" w:hAnsi="Times New Roman" w:cs="Times New Roman"/>
          <w:lang w:val="en-CA"/>
        </w:rPr>
        <w:t>.;</w:t>
      </w:r>
      <w:r w:rsidRPr="00FB193F">
        <w:rPr>
          <w:rFonts w:ascii="Times New Roman" w:hAnsi="Times New Roman" w:cs="Times New Roman"/>
          <w:lang w:val="en-CA"/>
        </w:rPr>
        <w:t xml:space="preserve"> BLASER</w:t>
      </w:r>
      <w:r w:rsidR="00AE3669">
        <w:rPr>
          <w:rFonts w:ascii="Times New Roman" w:hAnsi="Times New Roman" w:cs="Times New Roman"/>
          <w:lang w:val="en-CA"/>
        </w:rPr>
        <w:t>,</w:t>
      </w:r>
      <w:r w:rsidRPr="00FB193F">
        <w:rPr>
          <w:rFonts w:ascii="Times New Roman" w:hAnsi="Times New Roman" w:cs="Times New Roman"/>
          <w:lang w:val="en-CA"/>
        </w:rPr>
        <w:t xml:space="preserve"> A</w:t>
      </w:r>
      <w:r w:rsidR="00AE3669">
        <w:rPr>
          <w:rFonts w:ascii="Times New Roman" w:hAnsi="Times New Roman" w:cs="Times New Roman"/>
          <w:lang w:val="en-CA"/>
        </w:rPr>
        <w:t xml:space="preserve">. </w:t>
      </w:r>
      <w:r w:rsidRPr="00FB193F">
        <w:rPr>
          <w:rFonts w:ascii="Times New Roman" w:hAnsi="Times New Roman" w:cs="Times New Roman"/>
          <w:lang w:val="en-CA"/>
        </w:rPr>
        <w:t>R</w:t>
      </w:r>
      <w:r w:rsidR="00AE3669">
        <w:rPr>
          <w:rFonts w:ascii="Times New Roman" w:hAnsi="Times New Roman" w:cs="Times New Roman"/>
          <w:lang w:val="en-CA"/>
        </w:rPr>
        <w:t>.;</w:t>
      </w:r>
      <w:r w:rsidRPr="00FB193F">
        <w:rPr>
          <w:rFonts w:ascii="Times New Roman" w:hAnsi="Times New Roman" w:cs="Times New Roman"/>
          <w:lang w:val="en-CA"/>
        </w:rPr>
        <w:t xml:space="preserve"> BERGER</w:t>
      </w:r>
      <w:r w:rsidR="00AE3669">
        <w:rPr>
          <w:rFonts w:ascii="Times New Roman" w:hAnsi="Times New Roman" w:cs="Times New Roman"/>
          <w:lang w:val="en-CA"/>
        </w:rPr>
        <w:t>,</w:t>
      </w:r>
      <w:r w:rsidRPr="00FB193F">
        <w:rPr>
          <w:rFonts w:ascii="Times New Roman" w:hAnsi="Times New Roman" w:cs="Times New Roman"/>
          <w:lang w:val="en-CA"/>
        </w:rPr>
        <w:t xml:space="preserve"> M</w:t>
      </w:r>
      <w:r w:rsidR="00AE3669">
        <w:rPr>
          <w:rFonts w:ascii="Times New Roman" w:hAnsi="Times New Roman" w:cs="Times New Roman"/>
          <w:lang w:val="en-CA"/>
        </w:rPr>
        <w:t xml:space="preserve">. </w:t>
      </w:r>
      <w:r w:rsidRPr="00FB193F">
        <w:rPr>
          <w:rFonts w:ascii="Times New Roman" w:hAnsi="Times New Roman" w:cs="Times New Roman"/>
          <w:lang w:val="en-CA"/>
        </w:rPr>
        <w:t>M</w:t>
      </w:r>
      <w:r w:rsidR="00AE3669">
        <w:rPr>
          <w:rFonts w:ascii="Times New Roman" w:hAnsi="Times New Roman" w:cs="Times New Roman"/>
          <w:lang w:val="en-CA"/>
        </w:rPr>
        <w:t>.;</w:t>
      </w:r>
      <w:r w:rsidRPr="00FB193F">
        <w:rPr>
          <w:rFonts w:ascii="Times New Roman" w:hAnsi="Times New Roman" w:cs="Times New Roman"/>
          <w:lang w:val="en-CA"/>
        </w:rPr>
        <w:t xml:space="preserve"> </w:t>
      </w:r>
      <w:r>
        <w:rPr>
          <w:rFonts w:ascii="Times New Roman" w:hAnsi="Times New Roman" w:cs="Times New Roman"/>
          <w:lang w:val="en-CA"/>
        </w:rPr>
        <w:t>et al</w:t>
      </w:r>
      <w:r w:rsidRPr="00FB193F">
        <w:rPr>
          <w:rFonts w:ascii="Times New Roman" w:hAnsi="Times New Roman" w:cs="Times New Roman"/>
          <w:lang w:val="en-CA"/>
        </w:rPr>
        <w:t xml:space="preserve">. ESPEN guideline on clinical nutrition in the intensive care unit. </w:t>
      </w:r>
      <w:r w:rsidRPr="00FB193F">
        <w:rPr>
          <w:rFonts w:ascii="Times New Roman" w:hAnsi="Times New Roman" w:cs="Times New Roman"/>
          <w:b/>
          <w:bCs/>
          <w:lang w:val="en-CA"/>
        </w:rPr>
        <w:t>Clin</w:t>
      </w:r>
      <w:r w:rsidRPr="00FB193F">
        <w:rPr>
          <w:rFonts w:ascii="Times New Roman" w:hAnsi="Times New Roman" w:cs="Times New Roman"/>
          <w:b/>
          <w:bCs/>
          <w:lang w:val="en-CA"/>
        </w:rPr>
        <w:t>ical</w:t>
      </w:r>
      <w:r w:rsidRPr="00FB193F">
        <w:rPr>
          <w:rFonts w:ascii="Times New Roman" w:hAnsi="Times New Roman" w:cs="Times New Roman"/>
          <w:b/>
          <w:bCs/>
          <w:lang w:val="en-CA"/>
        </w:rPr>
        <w:t xml:space="preserve"> Nutr</w:t>
      </w:r>
      <w:r w:rsidRPr="00FB193F">
        <w:rPr>
          <w:rFonts w:ascii="Times New Roman" w:hAnsi="Times New Roman" w:cs="Times New Roman"/>
          <w:b/>
          <w:bCs/>
          <w:lang w:val="en-CA"/>
        </w:rPr>
        <w:t>ition</w:t>
      </w:r>
      <w:r w:rsidRPr="00FB193F">
        <w:rPr>
          <w:rFonts w:ascii="Times New Roman" w:hAnsi="Times New Roman" w:cs="Times New Roman"/>
          <w:lang w:val="en-CA"/>
        </w:rPr>
        <w:t xml:space="preserve">. </w:t>
      </w:r>
      <w:r>
        <w:rPr>
          <w:rFonts w:ascii="Times New Roman" w:hAnsi="Times New Roman" w:cs="Times New Roman"/>
          <w:lang w:val="en-CA"/>
        </w:rPr>
        <w:t xml:space="preserve">v. </w:t>
      </w:r>
      <w:r w:rsidRPr="00FB193F">
        <w:rPr>
          <w:rFonts w:ascii="Times New Roman" w:hAnsi="Times New Roman" w:cs="Times New Roman"/>
          <w:lang w:val="en-CA"/>
        </w:rPr>
        <w:t>38</w:t>
      </w:r>
      <w:r>
        <w:rPr>
          <w:rFonts w:ascii="Times New Roman" w:hAnsi="Times New Roman" w:cs="Times New Roman"/>
          <w:lang w:val="en-CA"/>
        </w:rPr>
        <w:t xml:space="preserve">, n. </w:t>
      </w:r>
      <w:r w:rsidRPr="00FB193F">
        <w:rPr>
          <w:rFonts w:ascii="Times New Roman" w:hAnsi="Times New Roman" w:cs="Times New Roman"/>
          <w:lang w:val="en-CA"/>
        </w:rPr>
        <w:t>1</w:t>
      </w:r>
      <w:r>
        <w:rPr>
          <w:rFonts w:ascii="Times New Roman" w:hAnsi="Times New Roman" w:cs="Times New Roman"/>
          <w:lang w:val="en-CA"/>
        </w:rPr>
        <w:t xml:space="preserve">, p. </w:t>
      </w:r>
      <w:r w:rsidRPr="00FB193F">
        <w:rPr>
          <w:rFonts w:ascii="Times New Roman" w:hAnsi="Times New Roman" w:cs="Times New Roman"/>
          <w:lang w:val="en-CA"/>
        </w:rPr>
        <w:t>48-79</w:t>
      </w:r>
      <w:r>
        <w:rPr>
          <w:rFonts w:ascii="Times New Roman" w:hAnsi="Times New Roman" w:cs="Times New Roman"/>
          <w:lang w:val="en-CA"/>
        </w:rPr>
        <w:t xml:space="preserve">, </w:t>
      </w:r>
      <w:r w:rsidRPr="00FB193F">
        <w:rPr>
          <w:rFonts w:ascii="Times New Roman" w:hAnsi="Times New Roman" w:cs="Times New Roman"/>
          <w:lang w:val="en-CA"/>
        </w:rPr>
        <w:t>2019</w:t>
      </w:r>
      <w:r>
        <w:rPr>
          <w:rFonts w:ascii="Times New Roman" w:hAnsi="Times New Roman" w:cs="Times New Roman"/>
          <w:lang w:val="en-CA"/>
        </w:rPr>
        <w:t>.</w:t>
      </w:r>
    </w:p>
    <w:p w14:paraId="3D360B42" w14:textId="370D56E6" w:rsidR="00FB193F" w:rsidRDefault="00FB193F" w:rsidP="00955F70">
      <w:pPr>
        <w:spacing w:line="240" w:lineRule="auto"/>
        <w:jc w:val="both"/>
        <w:rPr>
          <w:rFonts w:ascii="Times New Roman" w:hAnsi="Times New Roman" w:cs="Times New Roman"/>
          <w:lang w:val="en-CA"/>
        </w:rPr>
      </w:pPr>
      <w:r w:rsidRPr="00FB193F">
        <w:rPr>
          <w:rFonts w:ascii="Times New Roman" w:hAnsi="Times New Roman" w:cs="Times New Roman"/>
          <w:lang w:val="en-CA"/>
        </w:rPr>
        <w:t xml:space="preserve">WANG, B.; LI, R.; LU, Z.; </w:t>
      </w:r>
      <w:r>
        <w:rPr>
          <w:rFonts w:ascii="Times New Roman" w:hAnsi="Times New Roman" w:cs="Times New Roman"/>
          <w:lang w:val="en-CA"/>
        </w:rPr>
        <w:t xml:space="preserve">et </w:t>
      </w:r>
      <w:proofErr w:type="spellStart"/>
      <w:r>
        <w:rPr>
          <w:rFonts w:ascii="Times New Roman" w:hAnsi="Times New Roman" w:cs="Times New Roman"/>
          <w:lang w:val="en-CA"/>
        </w:rPr>
        <w:t xml:space="preserve">al. </w:t>
      </w:r>
      <w:proofErr w:type="spellEnd"/>
      <w:r w:rsidRPr="00FB193F">
        <w:rPr>
          <w:rFonts w:ascii="Times New Roman" w:hAnsi="Times New Roman" w:cs="Times New Roman"/>
          <w:lang w:val="en-CA"/>
        </w:rPr>
        <w:t xml:space="preserve">Does comorbidity increase the risk of patients with COVID-19: evidence from meta-analysis. </w:t>
      </w:r>
      <w:r w:rsidRPr="00FB193F">
        <w:rPr>
          <w:rFonts w:ascii="Times New Roman" w:hAnsi="Times New Roman" w:cs="Times New Roman"/>
          <w:b/>
          <w:bCs/>
          <w:lang w:val="en-CA"/>
        </w:rPr>
        <w:t>Aging</w:t>
      </w:r>
      <w:r w:rsidRPr="00FB193F">
        <w:rPr>
          <w:rFonts w:ascii="Times New Roman" w:hAnsi="Times New Roman" w:cs="Times New Roman"/>
          <w:lang w:val="en-CA"/>
        </w:rPr>
        <w:t>, v. 12, n. 7, p. 6049–6057, 2020.</w:t>
      </w:r>
    </w:p>
    <w:p w14:paraId="590BBE94" w14:textId="6B567C1C" w:rsidR="00FB193F" w:rsidRDefault="00FB193F" w:rsidP="00350073">
      <w:pPr>
        <w:spacing w:line="240" w:lineRule="auto"/>
        <w:jc w:val="both"/>
        <w:rPr>
          <w:rFonts w:ascii="Times New Roman" w:hAnsi="Times New Roman" w:cs="Times New Roman"/>
          <w:lang w:val="en-CA"/>
        </w:rPr>
      </w:pPr>
      <w:r w:rsidRPr="00AE3669">
        <w:rPr>
          <w:rFonts w:ascii="Times New Roman" w:hAnsi="Times New Roman" w:cs="Times New Roman"/>
        </w:rPr>
        <w:t>WEI</w:t>
      </w:r>
      <w:r w:rsidR="00AE3669" w:rsidRPr="00AE3669">
        <w:rPr>
          <w:rFonts w:ascii="Times New Roman" w:hAnsi="Times New Roman" w:cs="Times New Roman"/>
        </w:rPr>
        <w:t>,</w:t>
      </w:r>
      <w:r w:rsidRPr="00AE3669">
        <w:rPr>
          <w:rFonts w:ascii="Times New Roman" w:hAnsi="Times New Roman" w:cs="Times New Roman"/>
        </w:rPr>
        <w:t xml:space="preserve"> C</w:t>
      </w:r>
      <w:r w:rsidR="00AE3669" w:rsidRPr="00AE3669">
        <w:rPr>
          <w:rFonts w:ascii="Times New Roman" w:hAnsi="Times New Roman" w:cs="Times New Roman"/>
        </w:rPr>
        <w:t>.;</w:t>
      </w:r>
      <w:r w:rsidRPr="00AE3669">
        <w:rPr>
          <w:rFonts w:ascii="Times New Roman" w:hAnsi="Times New Roman" w:cs="Times New Roman"/>
        </w:rPr>
        <w:t xml:space="preserve"> LIU</w:t>
      </w:r>
      <w:r w:rsidR="00AE3669" w:rsidRPr="00AE3669">
        <w:rPr>
          <w:rFonts w:ascii="Times New Roman" w:hAnsi="Times New Roman" w:cs="Times New Roman"/>
        </w:rPr>
        <w:t>,</w:t>
      </w:r>
      <w:r w:rsidRPr="00AE3669">
        <w:rPr>
          <w:rFonts w:ascii="Times New Roman" w:hAnsi="Times New Roman" w:cs="Times New Roman"/>
        </w:rPr>
        <w:t xml:space="preserve"> Y</w:t>
      </w:r>
      <w:r w:rsidR="00AE3669" w:rsidRPr="00AE3669">
        <w:rPr>
          <w:rFonts w:ascii="Times New Roman" w:hAnsi="Times New Roman" w:cs="Times New Roman"/>
        </w:rPr>
        <w:t>.;</w:t>
      </w:r>
      <w:r w:rsidRPr="00AE3669">
        <w:rPr>
          <w:rFonts w:ascii="Times New Roman" w:hAnsi="Times New Roman" w:cs="Times New Roman"/>
        </w:rPr>
        <w:t xml:space="preserve"> LI</w:t>
      </w:r>
      <w:r w:rsidR="00AE3669" w:rsidRPr="00AE3669">
        <w:rPr>
          <w:rFonts w:ascii="Times New Roman" w:hAnsi="Times New Roman" w:cs="Times New Roman"/>
        </w:rPr>
        <w:t>,</w:t>
      </w:r>
      <w:r w:rsidRPr="00AE3669">
        <w:rPr>
          <w:rFonts w:ascii="Times New Roman" w:hAnsi="Times New Roman" w:cs="Times New Roman"/>
        </w:rPr>
        <w:t xml:space="preserve"> Y</w:t>
      </w:r>
      <w:r w:rsidR="00AE3669" w:rsidRPr="00AE3669">
        <w:rPr>
          <w:rFonts w:ascii="Times New Roman" w:hAnsi="Times New Roman" w:cs="Times New Roman"/>
        </w:rPr>
        <w:t xml:space="preserve">.; </w:t>
      </w:r>
      <w:r w:rsidRPr="00AE3669">
        <w:rPr>
          <w:rFonts w:ascii="Times New Roman" w:hAnsi="Times New Roman" w:cs="Times New Roman"/>
        </w:rPr>
        <w:t xml:space="preserve">et al. </w:t>
      </w:r>
      <w:r w:rsidRPr="00FB193F">
        <w:rPr>
          <w:rFonts w:ascii="Times New Roman" w:hAnsi="Times New Roman" w:cs="Times New Roman"/>
          <w:lang w:val="en-CA"/>
        </w:rPr>
        <w:t xml:space="preserve">Evaluation of the nutritional status in patients with COVID-19. </w:t>
      </w:r>
      <w:r w:rsidRPr="00FB193F">
        <w:rPr>
          <w:rFonts w:ascii="Times New Roman" w:hAnsi="Times New Roman" w:cs="Times New Roman"/>
          <w:b/>
          <w:bCs/>
          <w:lang w:val="en-CA"/>
        </w:rPr>
        <w:t>J</w:t>
      </w:r>
      <w:r w:rsidRPr="00FB193F">
        <w:rPr>
          <w:rFonts w:ascii="Times New Roman" w:hAnsi="Times New Roman" w:cs="Times New Roman"/>
          <w:b/>
          <w:bCs/>
          <w:lang w:val="en-CA"/>
        </w:rPr>
        <w:t>ournal of</w:t>
      </w:r>
      <w:r w:rsidRPr="00FB193F">
        <w:rPr>
          <w:rFonts w:ascii="Times New Roman" w:hAnsi="Times New Roman" w:cs="Times New Roman"/>
          <w:b/>
          <w:bCs/>
          <w:lang w:val="en-CA"/>
        </w:rPr>
        <w:t xml:space="preserve"> Clin</w:t>
      </w:r>
      <w:r w:rsidRPr="00FB193F">
        <w:rPr>
          <w:rFonts w:ascii="Times New Roman" w:hAnsi="Times New Roman" w:cs="Times New Roman"/>
          <w:b/>
          <w:bCs/>
          <w:lang w:val="en-CA"/>
        </w:rPr>
        <w:t>ical and</w:t>
      </w:r>
      <w:r w:rsidRPr="00FB193F">
        <w:rPr>
          <w:rFonts w:ascii="Times New Roman" w:hAnsi="Times New Roman" w:cs="Times New Roman"/>
          <w:b/>
          <w:bCs/>
          <w:lang w:val="en-CA"/>
        </w:rPr>
        <w:t xml:space="preserve"> Biochem</w:t>
      </w:r>
      <w:r w:rsidRPr="00FB193F">
        <w:rPr>
          <w:rFonts w:ascii="Times New Roman" w:hAnsi="Times New Roman" w:cs="Times New Roman"/>
          <w:b/>
          <w:bCs/>
          <w:lang w:val="en-CA"/>
        </w:rPr>
        <w:t>ical</w:t>
      </w:r>
      <w:r w:rsidRPr="00FB193F">
        <w:rPr>
          <w:rFonts w:ascii="Times New Roman" w:hAnsi="Times New Roman" w:cs="Times New Roman"/>
          <w:b/>
          <w:bCs/>
          <w:lang w:val="en-CA"/>
        </w:rPr>
        <w:t xml:space="preserve"> Nutr</w:t>
      </w:r>
      <w:r w:rsidRPr="00FB193F">
        <w:rPr>
          <w:rFonts w:ascii="Times New Roman" w:hAnsi="Times New Roman" w:cs="Times New Roman"/>
          <w:b/>
          <w:bCs/>
          <w:lang w:val="en-CA"/>
        </w:rPr>
        <w:t>ition</w:t>
      </w:r>
      <w:r w:rsidRPr="00FB193F">
        <w:rPr>
          <w:rFonts w:ascii="Times New Roman" w:hAnsi="Times New Roman" w:cs="Times New Roman"/>
          <w:lang w:val="en-CA"/>
        </w:rPr>
        <w:t xml:space="preserve">. </w:t>
      </w:r>
      <w:r>
        <w:rPr>
          <w:rFonts w:ascii="Times New Roman" w:hAnsi="Times New Roman" w:cs="Times New Roman"/>
          <w:lang w:val="en-CA"/>
        </w:rPr>
        <w:t xml:space="preserve">v. </w:t>
      </w:r>
      <w:r w:rsidRPr="00FB193F">
        <w:rPr>
          <w:rFonts w:ascii="Times New Roman" w:hAnsi="Times New Roman" w:cs="Times New Roman"/>
          <w:lang w:val="en-CA"/>
        </w:rPr>
        <w:t>67</w:t>
      </w:r>
      <w:r>
        <w:rPr>
          <w:rFonts w:ascii="Times New Roman" w:hAnsi="Times New Roman" w:cs="Times New Roman"/>
          <w:lang w:val="en-CA"/>
        </w:rPr>
        <w:t xml:space="preserve">, n. </w:t>
      </w:r>
      <w:r w:rsidRPr="00FB193F">
        <w:rPr>
          <w:rFonts w:ascii="Times New Roman" w:hAnsi="Times New Roman" w:cs="Times New Roman"/>
          <w:lang w:val="en-CA"/>
        </w:rPr>
        <w:t>2</w:t>
      </w:r>
      <w:r>
        <w:rPr>
          <w:rFonts w:ascii="Times New Roman" w:hAnsi="Times New Roman" w:cs="Times New Roman"/>
          <w:lang w:val="en-CA"/>
        </w:rPr>
        <w:t xml:space="preserve">, p. </w:t>
      </w:r>
      <w:r w:rsidRPr="00FB193F">
        <w:rPr>
          <w:rFonts w:ascii="Times New Roman" w:hAnsi="Times New Roman" w:cs="Times New Roman"/>
          <w:lang w:val="en-CA"/>
        </w:rPr>
        <w:t>116-121</w:t>
      </w:r>
      <w:r>
        <w:rPr>
          <w:rFonts w:ascii="Times New Roman" w:hAnsi="Times New Roman" w:cs="Times New Roman"/>
          <w:lang w:val="en-CA"/>
        </w:rPr>
        <w:t xml:space="preserve">, </w:t>
      </w:r>
      <w:r w:rsidRPr="00FB193F">
        <w:rPr>
          <w:rFonts w:ascii="Times New Roman" w:hAnsi="Times New Roman" w:cs="Times New Roman"/>
          <w:lang w:val="en-CA"/>
        </w:rPr>
        <w:t xml:space="preserve">2020. </w:t>
      </w:r>
    </w:p>
    <w:p w14:paraId="2F4FEC26" w14:textId="18E08D81" w:rsidR="00350073" w:rsidRDefault="00FB193F" w:rsidP="00FB193F">
      <w:pPr>
        <w:spacing w:line="240" w:lineRule="auto"/>
        <w:jc w:val="both"/>
        <w:rPr>
          <w:rFonts w:ascii="Times New Roman" w:hAnsi="Times New Roman" w:cs="Times New Roman"/>
          <w:lang w:val="en-CA"/>
        </w:rPr>
      </w:pPr>
      <w:r w:rsidRPr="00FB193F">
        <w:rPr>
          <w:rFonts w:ascii="Times New Roman" w:hAnsi="Times New Roman" w:cs="Times New Roman"/>
          <w:lang w:val="en-CA"/>
        </w:rPr>
        <w:t xml:space="preserve">ZHOU, F.; YU, T.; DU, R.; </w:t>
      </w:r>
      <w:r>
        <w:rPr>
          <w:rFonts w:ascii="Times New Roman" w:hAnsi="Times New Roman" w:cs="Times New Roman"/>
          <w:lang w:val="en-CA"/>
        </w:rPr>
        <w:t xml:space="preserve">et al. </w:t>
      </w:r>
      <w:r w:rsidRPr="00FB193F">
        <w:rPr>
          <w:rFonts w:ascii="Times New Roman" w:hAnsi="Times New Roman" w:cs="Times New Roman"/>
          <w:lang w:val="en-CA"/>
        </w:rPr>
        <w:t xml:space="preserve">Clinical course and risk factors for mortality of adult inpatients with COVID-19 in Wuhan, China: a retrospective cohort study. </w:t>
      </w:r>
      <w:r w:rsidRPr="00FB193F">
        <w:rPr>
          <w:rFonts w:ascii="Times New Roman" w:hAnsi="Times New Roman" w:cs="Times New Roman"/>
          <w:b/>
          <w:bCs/>
          <w:lang w:val="en-CA"/>
        </w:rPr>
        <w:t>Lancet</w:t>
      </w:r>
      <w:r w:rsidRPr="00FB193F">
        <w:rPr>
          <w:rFonts w:ascii="Times New Roman" w:hAnsi="Times New Roman" w:cs="Times New Roman"/>
          <w:lang w:val="en-CA"/>
        </w:rPr>
        <w:t xml:space="preserve"> (London, England), v. 395, n. 10229, p. 1054–1062, 2020.</w:t>
      </w:r>
    </w:p>
    <w:p w14:paraId="79A15604" w14:textId="4C98132B" w:rsidR="00FB193F" w:rsidRPr="00D12528" w:rsidRDefault="00FB193F" w:rsidP="00FB193F">
      <w:pPr>
        <w:spacing w:line="240" w:lineRule="auto"/>
        <w:jc w:val="both"/>
        <w:rPr>
          <w:rFonts w:ascii="Times New Roman" w:hAnsi="Times New Roman" w:cs="Times New Roman"/>
          <w:lang w:val="en-CA"/>
        </w:rPr>
      </w:pPr>
      <w:r w:rsidRPr="00FB193F">
        <w:rPr>
          <w:rFonts w:ascii="Times New Roman" w:hAnsi="Times New Roman" w:cs="Times New Roman"/>
          <w:lang w:val="en-CA"/>
        </w:rPr>
        <w:lastRenderedPageBreak/>
        <w:t>ZHU</w:t>
      </w:r>
      <w:r w:rsidR="00AE3669">
        <w:rPr>
          <w:rFonts w:ascii="Times New Roman" w:hAnsi="Times New Roman" w:cs="Times New Roman"/>
          <w:lang w:val="en-CA"/>
        </w:rPr>
        <w:t>,</w:t>
      </w:r>
      <w:r w:rsidRPr="00FB193F">
        <w:rPr>
          <w:rFonts w:ascii="Times New Roman" w:hAnsi="Times New Roman" w:cs="Times New Roman"/>
          <w:lang w:val="en-CA"/>
        </w:rPr>
        <w:t xml:space="preserve"> N</w:t>
      </w:r>
      <w:r w:rsidR="00AE3669">
        <w:rPr>
          <w:rFonts w:ascii="Times New Roman" w:hAnsi="Times New Roman" w:cs="Times New Roman"/>
          <w:lang w:val="en-CA"/>
        </w:rPr>
        <w:t>.;</w:t>
      </w:r>
      <w:r w:rsidRPr="00FB193F">
        <w:rPr>
          <w:rFonts w:ascii="Times New Roman" w:hAnsi="Times New Roman" w:cs="Times New Roman"/>
          <w:lang w:val="en-CA"/>
        </w:rPr>
        <w:t xml:space="preserve"> ZHANG</w:t>
      </w:r>
      <w:r w:rsidR="00AE3669">
        <w:rPr>
          <w:rFonts w:ascii="Times New Roman" w:hAnsi="Times New Roman" w:cs="Times New Roman"/>
          <w:lang w:val="en-CA"/>
        </w:rPr>
        <w:t>,</w:t>
      </w:r>
      <w:r w:rsidRPr="00FB193F">
        <w:rPr>
          <w:rFonts w:ascii="Times New Roman" w:hAnsi="Times New Roman" w:cs="Times New Roman"/>
          <w:lang w:val="en-CA"/>
        </w:rPr>
        <w:t xml:space="preserve"> D</w:t>
      </w:r>
      <w:r w:rsidR="00AE3669">
        <w:rPr>
          <w:rFonts w:ascii="Times New Roman" w:hAnsi="Times New Roman" w:cs="Times New Roman"/>
          <w:lang w:val="en-CA"/>
        </w:rPr>
        <w:t>.;</w:t>
      </w:r>
      <w:r w:rsidRPr="00FB193F">
        <w:rPr>
          <w:rFonts w:ascii="Times New Roman" w:hAnsi="Times New Roman" w:cs="Times New Roman"/>
          <w:lang w:val="en-CA"/>
        </w:rPr>
        <w:t xml:space="preserve"> WANG</w:t>
      </w:r>
      <w:r w:rsidR="00AE3669">
        <w:rPr>
          <w:rFonts w:ascii="Times New Roman" w:hAnsi="Times New Roman" w:cs="Times New Roman"/>
          <w:lang w:val="en-CA"/>
        </w:rPr>
        <w:t>,</w:t>
      </w:r>
      <w:r w:rsidRPr="00FB193F">
        <w:rPr>
          <w:rFonts w:ascii="Times New Roman" w:hAnsi="Times New Roman" w:cs="Times New Roman"/>
          <w:lang w:val="en-CA"/>
        </w:rPr>
        <w:t xml:space="preserve"> W</w:t>
      </w:r>
      <w:r w:rsidR="00AE3669">
        <w:rPr>
          <w:rFonts w:ascii="Times New Roman" w:hAnsi="Times New Roman" w:cs="Times New Roman"/>
          <w:lang w:val="en-CA"/>
        </w:rPr>
        <w:t>.;</w:t>
      </w:r>
      <w:r w:rsidRPr="00FB193F">
        <w:rPr>
          <w:rFonts w:ascii="Times New Roman" w:hAnsi="Times New Roman" w:cs="Times New Roman"/>
          <w:lang w:val="en-CA"/>
        </w:rPr>
        <w:t xml:space="preserve"> </w:t>
      </w:r>
      <w:r>
        <w:rPr>
          <w:rFonts w:ascii="Times New Roman" w:hAnsi="Times New Roman" w:cs="Times New Roman"/>
          <w:lang w:val="en-CA"/>
        </w:rPr>
        <w:t xml:space="preserve">et al. </w:t>
      </w:r>
      <w:r w:rsidRPr="00FB193F">
        <w:rPr>
          <w:rFonts w:ascii="Times New Roman" w:hAnsi="Times New Roman" w:cs="Times New Roman"/>
          <w:lang w:val="en-CA"/>
        </w:rPr>
        <w:t xml:space="preserve">China Novel Coronavirus Investigating and Research Team. </w:t>
      </w:r>
      <w:r w:rsidRPr="00FB193F">
        <w:rPr>
          <w:rFonts w:ascii="Times New Roman" w:hAnsi="Times New Roman" w:cs="Times New Roman"/>
          <w:b/>
          <w:bCs/>
          <w:lang w:val="en-CA"/>
        </w:rPr>
        <w:t>N</w:t>
      </w:r>
      <w:r w:rsidRPr="00FB193F">
        <w:rPr>
          <w:rFonts w:ascii="Times New Roman" w:hAnsi="Times New Roman" w:cs="Times New Roman"/>
          <w:b/>
          <w:bCs/>
          <w:lang w:val="en-CA"/>
        </w:rPr>
        <w:t>ew</w:t>
      </w:r>
      <w:r w:rsidRPr="00FB193F">
        <w:rPr>
          <w:rFonts w:ascii="Times New Roman" w:hAnsi="Times New Roman" w:cs="Times New Roman"/>
          <w:b/>
          <w:bCs/>
          <w:lang w:val="en-CA"/>
        </w:rPr>
        <w:t xml:space="preserve"> Engl</w:t>
      </w:r>
      <w:r w:rsidRPr="00FB193F">
        <w:rPr>
          <w:rFonts w:ascii="Times New Roman" w:hAnsi="Times New Roman" w:cs="Times New Roman"/>
          <w:b/>
          <w:bCs/>
          <w:lang w:val="en-CA"/>
        </w:rPr>
        <w:t>and</w:t>
      </w:r>
      <w:r w:rsidRPr="00FB193F">
        <w:rPr>
          <w:rFonts w:ascii="Times New Roman" w:hAnsi="Times New Roman" w:cs="Times New Roman"/>
          <w:b/>
          <w:bCs/>
          <w:lang w:val="en-CA"/>
        </w:rPr>
        <w:t xml:space="preserve"> J</w:t>
      </w:r>
      <w:r w:rsidRPr="00FB193F">
        <w:rPr>
          <w:rFonts w:ascii="Times New Roman" w:hAnsi="Times New Roman" w:cs="Times New Roman"/>
          <w:b/>
          <w:bCs/>
          <w:lang w:val="en-CA"/>
        </w:rPr>
        <w:t>ournal of</w:t>
      </w:r>
      <w:r w:rsidRPr="00FB193F">
        <w:rPr>
          <w:rFonts w:ascii="Times New Roman" w:hAnsi="Times New Roman" w:cs="Times New Roman"/>
          <w:b/>
          <w:bCs/>
          <w:lang w:val="en-CA"/>
        </w:rPr>
        <w:t xml:space="preserve"> Med</w:t>
      </w:r>
      <w:r w:rsidRPr="00FB193F">
        <w:rPr>
          <w:rFonts w:ascii="Times New Roman" w:hAnsi="Times New Roman" w:cs="Times New Roman"/>
          <w:b/>
          <w:bCs/>
          <w:lang w:val="en-CA"/>
        </w:rPr>
        <w:t>icine</w:t>
      </w:r>
      <w:r w:rsidRPr="00FB193F">
        <w:rPr>
          <w:rFonts w:ascii="Times New Roman" w:hAnsi="Times New Roman" w:cs="Times New Roman"/>
          <w:lang w:val="en-CA"/>
        </w:rPr>
        <w:t xml:space="preserve">. </w:t>
      </w:r>
      <w:r>
        <w:rPr>
          <w:rFonts w:ascii="Times New Roman" w:hAnsi="Times New Roman" w:cs="Times New Roman"/>
          <w:lang w:val="en-CA"/>
        </w:rPr>
        <w:t xml:space="preserve">v. </w:t>
      </w:r>
      <w:r w:rsidRPr="00FB193F">
        <w:rPr>
          <w:rFonts w:ascii="Times New Roman" w:hAnsi="Times New Roman" w:cs="Times New Roman"/>
          <w:lang w:val="en-CA"/>
        </w:rPr>
        <w:t>382</w:t>
      </w:r>
      <w:r>
        <w:rPr>
          <w:rFonts w:ascii="Times New Roman" w:hAnsi="Times New Roman" w:cs="Times New Roman"/>
          <w:lang w:val="en-CA"/>
        </w:rPr>
        <w:t xml:space="preserve">, n. </w:t>
      </w:r>
      <w:r w:rsidRPr="00FB193F">
        <w:rPr>
          <w:rFonts w:ascii="Times New Roman" w:hAnsi="Times New Roman" w:cs="Times New Roman"/>
          <w:lang w:val="en-CA"/>
        </w:rPr>
        <w:t>8</w:t>
      </w:r>
      <w:r>
        <w:rPr>
          <w:rFonts w:ascii="Times New Roman" w:hAnsi="Times New Roman" w:cs="Times New Roman"/>
          <w:lang w:val="en-CA"/>
        </w:rPr>
        <w:t xml:space="preserve">, p. </w:t>
      </w:r>
      <w:r w:rsidRPr="00FB193F">
        <w:rPr>
          <w:rFonts w:ascii="Times New Roman" w:hAnsi="Times New Roman" w:cs="Times New Roman"/>
          <w:lang w:val="en-CA"/>
        </w:rPr>
        <w:t>727-733</w:t>
      </w:r>
      <w:r>
        <w:rPr>
          <w:rFonts w:ascii="Times New Roman" w:hAnsi="Times New Roman" w:cs="Times New Roman"/>
          <w:lang w:val="en-CA"/>
        </w:rPr>
        <w:t xml:space="preserve">, </w:t>
      </w:r>
      <w:r w:rsidRPr="00FB193F">
        <w:rPr>
          <w:rFonts w:ascii="Times New Roman" w:hAnsi="Times New Roman" w:cs="Times New Roman"/>
          <w:lang w:val="en-CA"/>
        </w:rPr>
        <w:t>2020</w:t>
      </w:r>
      <w:r>
        <w:rPr>
          <w:rFonts w:ascii="Times New Roman" w:hAnsi="Times New Roman" w:cs="Times New Roman"/>
          <w:lang w:val="en-CA"/>
        </w:rPr>
        <w:t>.</w:t>
      </w:r>
    </w:p>
    <w:sectPr w:rsidR="00FB193F" w:rsidRPr="00D12528" w:rsidSect="00EF1307">
      <w:headerReference w:type="default" r:id="rId8"/>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B9DF2" w14:textId="77777777" w:rsidR="00E62649" w:rsidRDefault="00E62649" w:rsidP="00FA6FD1">
      <w:pPr>
        <w:spacing w:after="0" w:line="240" w:lineRule="auto"/>
      </w:pPr>
      <w:r>
        <w:separator/>
      </w:r>
    </w:p>
  </w:endnote>
  <w:endnote w:type="continuationSeparator" w:id="0">
    <w:p w14:paraId="5F60B116" w14:textId="77777777" w:rsidR="00E62649" w:rsidRDefault="00E62649" w:rsidP="00FA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20B0604020202020204"/>
    <w:charset w:val="00"/>
    <w:family w:val="roman"/>
    <w:pitch w:val="variable"/>
  </w:font>
  <w:font w:name="Arial">
    <w:panose1 w:val="020B0604020202020204"/>
    <w:charset w:val="00"/>
    <w:family w:val="swiss"/>
    <w:pitch w:val="variable"/>
    <w:sig w:usb0="E0002AFF" w:usb1="C0007843" w:usb2="00000009" w:usb3="00000000" w:csb0="000001FF" w:csb1="00000000"/>
  </w:font>
  <w:font w:name="Eurostile LT Std">
    <w:altName w:val="Agency FB"/>
    <w:panose1 w:val="020B0604020202020204"/>
    <w:charset w:val="00"/>
    <w:family w:val="swiss"/>
    <w:notTrueType/>
    <w:pitch w:val="variable"/>
    <w:sig w:usb0="800000AF" w:usb1="4000204A" w:usb2="00000000" w:usb3="00000000" w:csb0="00000001" w:csb1="00000000"/>
  </w:font>
  <w:font w:name="Arial Rounded MT Bold">
    <w:panose1 w:val="020F070403050403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0193077"/>
      <w:docPartObj>
        <w:docPartGallery w:val="Page Numbers (Bottom of Page)"/>
        <w:docPartUnique/>
      </w:docPartObj>
    </w:sdtPr>
    <w:sdtEndPr/>
    <w:sdtContent>
      <w:p w14:paraId="75789E57" w14:textId="7837CDA3" w:rsidR="009E3B88" w:rsidRDefault="009E3B88">
        <w:pPr>
          <w:pStyle w:val="Rodap"/>
          <w:jc w:val="right"/>
        </w:pPr>
        <w:r>
          <w:fldChar w:fldCharType="begin"/>
        </w:r>
        <w:r>
          <w:instrText>PAGE   \* MERGEFORMAT</w:instrText>
        </w:r>
        <w:r>
          <w:fldChar w:fldCharType="separate"/>
        </w:r>
        <w:r>
          <w:t>2</w:t>
        </w:r>
        <w:r>
          <w:fldChar w:fldCharType="end"/>
        </w:r>
      </w:p>
    </w:sdtContent>
  </w:sdt>
  <w:p w14:paraId="575A3C52" w14:textId="77777777" w:rsidR="009E3B88" w:rsidRDefault="009E3B8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0E803" w14:textId="77777777" w:rsidR="00E62649" w:rsidRDefault="00E62649" w:rsidP="00FA6FD1">
      <w:pPr>
        <w:spacing w:after="0" w:line="240" w:lineRule="auto"/>
      </w:pPr>
      <w:r>
        <w:separator/>
      </w:r>
    </w:p>
  </w:footnote>
  <w:footnote w:type="continuationSeparator" w:id="0">
    <w:p w14:paraId="7D42B739" w14:textId="77777777" w:rsidR="00E62649" w:rsidRDefault="00E62649" w:rsidP="00FA6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67DD6" w14:textId="275B92B6" w:rsidR="009E3B88" w:rsidRDefault="009E3B88" w:rsidP="005207CC">
    <w:pPr>
      <w:spacing w:after="0"/>
      <w:rPr>
        <w:rFonts w:ascii="Eurostile LT Std" w:hAnsi="Eurostile LT Std"/>
      </w:rPr>
    </w:pPr>
    <w:r w:rsidRPr="00376363">
      <w:rPr>
        <w:rFonts w:ascii="Eurostile LT Std" w:hAnsi="Eurostile LT Std"/>
        <w:noProof/>
      </w:rPr>
      <w:drawing>
        <wp:anchor distT="0" distB="0" distL="114300" distR="114300" simplePos="0" relativeHeight="251666432" behindDoc="0" locked="0" layoutInCell="1" allowOverlap="1" wp14:anchorId="15E1FDD0" wp14:editId="77A5C84C">
          <wp:simplePos x="0" y="0"/>
          <wp:positionH relativeFrom="column">
            <wp:posOffset>3782060</wp:posOffset>
          </wp:positionH>
          <wp:positionV relativeFrom="paragraph">
            <wp:posOffset>125095</wp:posOffset>
          </wp:positionV>
          <wp:extent cx="1806575" cy="525145"/>
          <wp:effectExtent l="0" t="0" r="3175" b="825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innut.jpg"/>
                  <pic:cNvPicPr/>
                </pic:nvPicPr>
                <pic:blipFill rotWithShape="1">
                  <a:blip r:embed="rId1" cstate="print">
                    <a:extLst>
                      <a:ext uri="{28A0092B-C50C-407E-A947-70E740481C1C}">
                        <a14:useLocalDpi xmlns:a14="http://schemas.microsoft.com/office/drawing/2010/main" val="0"/>
                      </a:ext>
                    </a:extLst>
                  </a:blip>
                  <a:srcRect t="23091" b="47786"/>
                  <a:stretch/>
                </pic:blipFill>
                <pic:spPr bwMode="auto">
                  <a:xfrm>
                    <a:off x="0" y="0"/>
                    <a:ext cx="1806575" cy="525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Eurostile LT Std" w:hAnsi="Eurostile LT Std"/>
        <w:noProof/>
      </w:rPr>
      <mc:AlternateContent>
        <mc:Choice Requires="wps">
          <w:drawing>
            <wp:anchor distT="0" distB="0" distL="114300" distR="114300" simplePos="0" relativeHeight="251667456" behindDoc="0" locked="0" layoutInCell="1" allowOverlap="1" wp14:anchorId="41164FB8" wp14:editId="6E3A1DF5">
              <wp:simplePos x="0" y="0"/>
              <wp:positionH relativeFrom="margin">
                <wp:posOffset>-470535</wp:posOffset>
              </wp:positionH>
              <wp:positionV relativeFrom="paragraph">
                <wp:posOffset>3810</wp:posOffset>
              </wp:positionV>
              <wp:extent cx="6286500" cy="809625"/>
              <wp:effectExtent l="0" t="0" r="19050" b="28575"/>
              <wp:wrapNone/>
              <wp:docPr id="3" name="Retângulo: Biselado 3"/>
              <wp:cNvGraphicFramePr/>
              <a:graphic xmlns:a="http://schemas.openxmlformats.org/drawingml/2006/main">
                <a:graphicData uri="http://schemas.microsoft.com/office/word/2010/wordprocessingShape">
                  <wps:wsp>
                    <wps:cNvSpPr/>
                    <wps:spPr>
                      <a:xfrm>
                        <a:off x="0" y="0"/>
                        <a:ext cx="6286500" cy="809625"/>
                      </a:xfrm>
                      <a:prstGeom prst="bevel">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2448D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tângulo: Biselado 3" o:spid="_x0000_s1026" type="#_x0000_t84" style="position:absolute;margin-left:-37.05pt;margin-top:.3pt;width:495pt;height:6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" filled="f" strokecolor="#f79646 [3209]" strokeweight="2pt">
              <w10:wrap anchorx="margin"/>
            </v:shape>
          </w:pict>
        </mc:Fallback>
      </mc:AlternateContent>
    </w:r>
  </w:p>
  <w:p w14:paraId="403BBDF3" w14:textId="15A66C53" w:rsidR="009E3B88" w:rsidRPr="004B24FE" w:rsidRDefault="009E3B88" w:rsidP="005207CC">
    <w:pPr>
      <w:spacing w:after="0"/>
      <w:rPr>
        <w:rFonts w:ascii="Arial Rounded MT Bold" w:hAnsi="Arial Rounded MT Bold"/>
      </w:rPr>
    </w:pPr>
    <w:r w:rsidRPr="004B24FE">
      <w:rPr>
        <w:rFonts w:ascii="Arial Rounded MT Bold" w:hAnsi="Arial Rounded MT Bold"/>
      </w:rPr>
      <w:t>III Congresso Internacional de Nutrição</w:t>
    </w:r>
  </w:p>
  <w:p w14:paraId="4EF2F91B" w14:textId="1442D228" w:rsidR="009E3B88" w:rsidRPr="004B24FE" w:rsidRDefault="009E3B88" w:rsidP="005207CC">
    <w:pPr>
      <w:pStyle w:val="Cabealho"/>
      <w:rPr>
        <w:rFonts w:ascii="Arial Rounded MT Bold" w:hAnsi="Arial Rounded MT Bold"/>
      </w:rPr>
    </w:pPr>
    <w:r w:rsidRPr="004B24FE">
      <w:rPr>
        <w:rFonts w:ascii="Arial Rounded MT Bold" w:hAnsi="Arial Rounded MT Bold"/>
      </w:rPr>
      <w:t>Online</w:t>
    </w:r>
  </w:p>
  <w:p w14:paraId="5A4B54E0" w14:textId="241AA541" w:rsidR="009E3B88" w:rsidRDefault="009E3B88" w:rsidP="0018494D">
    <w:pPr>
      <w:pStyle w:val="Cabealho"/>
      <w:rPr>
        <w:rFonts w:ascii="Eurostile LT Std" w:hAnsi="Eurostile LT Std"/>
      </w:rPr>
    </w:pPr>
  </w:p>
  <w:p w14:paraId="2D428276" w14:textId="77777777" w:rsidR="009E3B88" w:rsidRDefault="009E3B88" w:rsidP="0018494D">
    <w:pPr>
      <w:pStyle w:val="Cabealho"/>
      <w:rPr>
        <w:rFonts w:ascii="Eurostile LT Std" w:hAnsi="Eurostile LT St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37831"/>
    <w:multiLevelType w:val="multilevel"/>
    <w:tmpl w:val="00A4EAF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AB3BA5"/>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C4B66"/>
    <w:multiLevelType w:val="multilevel"/>
    <w:tmpl w:val="732032C4"/>
    <w:lvl w:ilvl="0">
      <w:start w:val="1"/>
      <w:numFmt w:val="low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 w15:restartNumberingAfterBreak="0">
    <w:nsid w:val="076F673F"/>
    <w:multiLevelType w:val="hybridMultilevel"/>
    <w:tmpl w:val="5D0884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493B49"/>
    <w:multiLevelType w:val="multilevel"/>
    <w:tmpl w:val="57AA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F14F8"/>
    <w:multiLevelType w:val="multilevel"/>
    <w:tmpl w:val="00A4EA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AA29B1"/>
    <w:multiLevelType w:val="multilevel"/>
    <w:tmpl w:val="407C4A7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C841CB"/>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B25DC"/>
    <w:multiLevelType w:val="multilevel"/>
    <w:tmpl w:val="407C4A7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917C05"/>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286D8D"/>
    <w:multiLevelType w:val="hybridMultilevel"/>
    <w:tmpl w:val="A9FA4C7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8813C02"/>
    <w:multiLevelType w:val="multilevel"/>
    <w:tmpl w:val="732032C4"/>
    <w:lvl w:ilvl="0">
      <w:start w:val="1"/>
      <w:numFmt w:val="low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2" w15:restartNumberingAfterBreak="0">
    <w:nsid w:val="1A0866B1"/>
    <w:multiLevelType w:val="hybridMultilevel"/>
    <w:tmpl w:val="B4F805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315C87"/>
    <w:multiLevelType w:val="hybridMultilevel"/>
    <w:tmpl w:val="E3C0E7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121182"/>
    <w:multiLevelType w:val="hybridMultilevel"/>
    <w:tmpl w:val="A54CDB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4C606ED"/>
    <w:multiLevelType w:val="hybridMultilevel"/>
    <w:tmpl w:val="E3C0E7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5B7E3A"/>
    <w:multiLevelType w:val="hybridMultilevel"/>
    <w:tmpl w:val="809075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B186D32"/>
    <w:multiLevelType w:val="hybridMultilevel"/>
    <w:tmpl w:val="21B6A9F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C06232B"/>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DD69F2"/>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C777DE"/>
    <w:multiLevelType w:val="hybridMultilevel"/>
    <w:tmpl w:val="21B6A9F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FF90111"/>
    <w:multiLevelType w:val="multilevel"/>
    <w:tmpl w:val="175EDE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A061BC"/>
    <w:multiLevelType w:val="hybridMultilevel"/>
    <w:tmpl w:val="5A0AA1A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FC6D99"/>
    <w:multiLevelType w:val="hybridMultilevel"/>
    <w:tmpl w:val="B0F095B8"/>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46265212"/>
    <w:multiLevelType w:val="multilevel"/>
    <w:tmpl w:val="1714B6DC"/>
    <w:lvl w:ilvl="0">
      <w:start w:val="1"/>
      <w:numFmt w:val="decimal"/>
      <w:lvlText w:val="%1."/>
      <w:lvlJc w:val="left"/>
      <w:pPr>
        <w:tabs>
          <w:tab w:val="num" w:pos="1068"/>
        </w:tabs>
        <w:ind w:left="1068" w:hanging="360"/>
      </w:pPr>
      <w:rPr>
        <w:b/>
      </w:rPr>
    </w:lvl>
    <w:lvl w:ilvl="1">
      <w:start w:val="1"/>
      <w:numFmt w:val="decimal"/>
      <w:lvlText w:val="%2."/>
      <w:lvlJc w:val="left"/>
      <w:pPr>
        <w:tabs>
          <w:tab w:val="num" w:pos="1788"/>
        </w:tabs>
        <w:ind w:left="1788" w:hanging="360"/>
      </w:pPr>
    </w:lvl>
    <w:lvl w:ilvl="2">
      <w:start w:val="1"/>
      <w:numFmt w:val="lowerLetter"/>
      <w:lvlText w:val="%3)"/>
      <w:lvlJc w:val="left"/>
      <w:pPr>
        <w:ind w:left="2508" w:hanging="360"/>
      </w:pPr>
      <w:rPr>
        <w:rFonts w:hint="default"/>
      </w:r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5" w15:restartNumberingAfterBreak="0">
    <w:nsid w:val="4934078E"/>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E96661"/>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C86925"/>
    <w:multiLevelType w:val="hybridMultilevel"/>
    <w:tmpl w:val="E19A72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2960442"/>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AB3723"/>
    <w:multiLevelType w:val="hybridMultilevel"/>
    <w:tmpl w:val="E528BA1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C273F5"/>
    <w:multiLevelType w:val="hybridMultilevel"/>
    <w:tmpl w:val="A97691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C50701"/>
    <w:multiLevelType w:val="multilevel"/>
    <w:tmpl w:val="C17C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D21E43"/>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471FF2"/>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013C8C"/>
    <w:multiLevelType w:val="hybridMultilevel"/>
    <w:tmpl w:val="062AC32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12"/>
  </w:num>
  <w:num w:numId="3">
    <w:abstractNumId w:val="27"/>
  </w:num>
  <w:num w:numId="4">
    <w:abstractNumId w:val="22"/>
  </w:num>
  <w:num w:numId="5">
    <w:abstractNumId w:val="3"/>
  </w:num>
  <w:num w:numId="6">
    <w:abstractNumId w:val="10"/>
  </w:num>
  <w:num w:numId="7">
    <w:abstractNumId w:val="23"/>
  </w:num>
  <w:num w:numId="8">
    <w:abstractNumId w:val="20"/>
  </w:num>
  <w:num w:numId="9">
    <w:abstractNumId w:val="17"/>
  </w:num>
  <w:num w:numId="10">
    <w:abstractNumId w:val="31"/>
  </w:num>
  <w:num w:numId="11">
    <w:abstractNumId w:val="4"/>
  </w:num>
  <w:num w:numId="12">
    <w:abstractNumId w:val="28"/>
  </w:num>
  <w:num w:numId="13">
    <w:abstractNumId w:val="6"/>
  </w:num>
  <w:num w:numId="14">
    <w:abstractNumId w:val="8"/>
  </w:num>
  <w:num w:numId="15">
    <w:abstractNumId w:val="18"/>
  </w:num>
  <w:num w:numId="16">
    <w:abstractNumId w:val="33"/>
  </w:num>
  <w:num w:numId="17">
    <w:abstractNumId w:val="7"/>
  </w:num>
  <w:num w:numId="18">
    <w:abstractNumId w:val="26"/>
  </w:num>
  <w:num w:numId="19">
    <w:abstractNumId w:val="16"/>
  </w:num>
  <w:num w:numId="20">
    <w:abstractNumId w:val="14"/>
  </w:num>
  <w:num w:numId="21">
    <w:abstractNumId w:val="13"/>
  </w:num>
  <w:num w:numId="22">
    <w:abstractNumId w:val="30"/>
  </w:num>
  <w:num w:numId="23">
    <w:abstractNumId w:val="24"/>
  </w:num>
  <w:num w:numId="24">
    <w:abstractNumId w:val="11"/>
  </w:num>
  <w:num w:numId="25">
    <w:abstractNumId w:val="34"/>
  </w:num>
  <w:num w:numId="26">
    <w:abstractNumId w:val="2"/>
  </w:num>
  <w:num w:numId="27">
    <w:abstractNumId w:val="32"/>
  </w:num>
  <w:num w:numId="28">
    <w:abstractNumId w:val="19"/>
  </w:num>
  <w:num w:numId="29">
    <w:abstractNumId w:val="1"/>
  </w:num>
  <w:num w:numId="30">
    <w:abstractNumId w:val="15"/>
  </w:num>
  <w:num w:numId="31">
    <w:abstractNumId w:val="9"/>
  </w:num>
  <w:num w:numId="32">
    <w:abstractNumId w:val="25"/>
  </w:num>
  <w:num w:numId="33">
    <w:abstractNumId w:val="21"/>
  </w:num>
  <w:num w:numId="34">
    <w:abstractNumId w:val="5"/>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FD1"/>
    <w:rsid w:val="00001466"/>
    <w:rsid w:val="00006E82"/>
    <w:rsid w:val="00017E47"/>
    <w:rsid w:val="00034B03"/>
    <w:rsid w:val="00035A1C"/>
    <w:rsid w:val="00040523"/>
    <w:rsid w:val="000406C5"/>
    <w:rsid w:val="0005673B"/>
    <w:rsid w:val="0006694D"/>
    <w:rsid w:val="000938C3"/>
    <w:rsid w:val="00095D76"/>
    <w:rsid w:val="000A7C98"/>
    <w:rsid w:val="000F53D7"/>
    <w:rsid w:val="000F6F62"/>
    <w:rsid w:val="0017477D"/>
    <w:rsid w:val="00183512"/>
    <w:rsid w:val="0018494D"/>
    <w:rsid w:val="00190800"/>
    <w:rsid w:val="001A2E8B"/>
    <w:rsid w:val="001D65D8"/>
    <w:rsid w:val="002355E7"/>
    <w:rsid w:val="0026759A"/>
    <w:rsid w:val="00276F9E"/>
    <w:rsid w:val="002B1E03"/>
    <w:rsid w:val="002E39DB"/>
    <w:rsid w:val="002E50B9"/>
    <w:rsid w:val="00306067"/>
    <w:rsid w:val="00317A62"/>
    <w:rsid w:val="00320AEE"/>
    <w:rsid w:val="003279C0"/>
    <w:rsid w:val="00331278"/>
    <w:rsid w:val="003333B4"/>
    <w:rsid w:val="003342DD"/>
    <w:rsid w:val="00350073"/>
    <w:rsid w:val="00375EFA"/>
    <w:rsid w:val="003C4164"/>
    <w:rsid w:val="003C5DBA"/>
    <w:rsid w:val="003E6CD3"/>
    <w:rsid w:val="003F677D"/>
    <w:rsid w:val="00424194"/>
    <w:rsid w:val="004538A4"/>
    <w:rsid w:val="00464E3A"/>
    <w:rsid w:val="004A7BEB"/>
    <w:rsid w:val="004B24FE"/>
    <w:rsid w:val="004D28A3"/>
    <w:rsid w:val="004E1AC9"/>
    <w:rsid w:val="004E3C1F"/>
    <w:rsid w:val="00503CEA"/>
    <w:rsid w:val="005207CC"/>
    <w:rsid w:val="005211F1"/>
    <w:rsid w:val="005245C8"/>
    <w:rsid w:val="00527298"/>
    <w:rsid w:val="00550C73"/>
    <w:rsid w:val="005541CA"/>
    <w:rsid w:val="00564C2F"/>
    <w:rsid w:val="00572A77"/>
    <w:rsid w:val="0058713B"/>
    <w:rsid w:val="005B2180"/>
    <w:rsid w:val="005B30D2"/>
    <w:rsid w:val="005B4161"/>
    <w:rsid w:val="005C56EC"/>
    <w:rsid w:val="005E7BBB"/>
    <w:rsid w:val="005F1769"/>
    <w:rsid w:val="005F2DFF"/>
    <w:rsid w:val="005F2FF8"/>
    <w:rsid w:val="00606806"/>
    <w:rsid w:val="006072F0"/>
    <w:rsid w:val="00625F2F"/>
    <w:rsid w:val="00644032"/>
    <w:rsid w:val="00647D82"/>
    <w:rsid w:val="00672CA9"/>
    <w:rsid w:val="0069251C"/>
    <w:rsid w:val="006C06E1"/>
    <w:rsid w:val="006D47E4"/>
    <w:rsid w:val="006E075F"/>
    <w:rsid w:val="006E1CA4"/>
    <w:rsid w:val="006E4A01"/>
    <w:rsid w:val="007063B9"/>
    <w:rsid w:val="0074074C"/>
    <w:rsid w:val="00752BC9"/>
    <w:rsid w:val="00762035"/>
    <w:rsid w:val="0076541E"/>
    <w:rsid w:val="00765BBB"/>
    <w:rsid w:val="007817F5"/>
    <w:rsid w:val="00795D65"/>
    <w:rsid w:val="007A4EAB"/>
    <w:rsid w:val="007E4D75"/>
    <w:rsid w:val="007F47EE"/>
    <w:rsid w:val="0080789C"/>
    <w:rsid w:val="00832C81"/>
    <w:rsid w:val="00850E66"/>
    <w:rsid w:val="008514A6"/>
    <w:rsid w:val="00854D34"/>
    <w:rsid w:val="00867312"/>
    <w:rsid w:val="008C58E0"/>
    <w:rsid w:val="008D56FB"/>
    <w:rsid w:val="00901104"/>
    <w:rsid w:val="009101E3"/>
    <w:rsid w:val="00923C61"/>
    <w:rsid w:val="00941B6B"/>
    <w:rsid w:val="00955F70"/>
    <w:rsid w:val="009863FA"/>
    <w:rsid w:val="00987C48"/>
    <w:rsid w:val="009E3B88"/>
    <w:rsid w:val="009E70CE"/>
    <w:rsid w:val="009F33D4"/>
    <w:rsid w:val="009F432C"/>
    <w:rsid w:val="00A20D3E"/>
    <w:rsid w:val="00A34B5A"/>
    <w:rsid w:val="00A4609F"/>
    <w:rsid w:val="00A560BE"/>
    <w:rsid w:val="00A71464"/>
    <w:rsid w:val="00A76941"/>
    <w:rsid w:val="00AB1E3E"/>
    <w:rsid w:val="00AB51CF"/>
    <w:rsid w:val="00AC4FB9"/>
    <w:rsid w:val="00AE1EDC"/>
    <w:rsid w:val="00AE3669"/>
    <w:rsid w:val="00B1310D"/>
    <w:rsid w:val="00B161BD"/>
    <w:rsid w:val="00B21BF6"/>
    <w:rsid w:val="00B32686"/>
    <w:rsid w:val="00B53B07"/>
    <w:rsid w:val="00B620C3"/>
    <w:rsid w:val="00B83D9C"/>
    <w:rsid w:val="00B87393"/>
    <w:rsid w:val="00B92AF8"/>
    <w:rsid w:val="00B97A27"/>
    <w:rsid w:val="00BC11C4"/>
    <w:rsid w:val="00BD66F4"/>
    <w:rsid w:val="00BD7BA4"/>
    <w:rsid w:val="00BE1BD2"/>
    <w:rsid w:val="00BF713A"/>
    <w:rsid w:val="00C01BB6"/>
    <w:rsid w:val="00C12426"/>
    <w:rsid w:val="00C35C7A"/>
    <w:rsid w:val="00C41485"/>
    <w:rsid w:val="00C504ED"/>
    <w:rsid w:val="00C652E3"/>
    <w:rsid w:val="00C65AE8"/>
    <w:rsid w:val="00C82259"/>
    <w:rsid w:val="00CC0FE0"/>
    <w:rsid w:val="00CF724E"/>
    <w:rsid w:val="00D05B52"/>
    <w:rsid w:val="00D12528"/>
    <w:rsid w:val="00D161CE"/>
    <w:rsid w:val="00D257D6"/>
    <w:rsid w:val="00D27F84"/>
    <w:rsid w:val="00D307ED"/>
    <w:rsid w:val="00D423AE"/>
    <w:rsid w:val="00D57F24"/>
    <w:rsid w:val="00D81533"/>
    <w:rsid w:val="00D83AAF"/>
    <w:rsid w:val="00D846DE"/>
    <w:rsid w:val="00DA0613"/>
    <w:rsid w:val="00DA114C"/>
    <w:rsid w:val="00DA26B6"/>
    <w:rsid w:val="00DB0D28"/>
    <w:rsid w:val="00DC59F2"/>
    <w:rsid w:val="00DD0911"/>
    <w:rsid w:val="00DD77C4"/>
    <w:rsid w:val="00DE0DD8"/>
    <w:rsid w:val="00DF4EEB"/>
    <w:rsid w:val="00E030E1"/>
    <w:rsid w:val="00E050C5"/>
    <w:rsid w:val="00E47392"/>
    <w:rsid w:val="00E521EC"/>
    <w:rsid w:val="00E53E15"/>
    <w:rsid w:val="00E62649"/>
    <w:rsid w:val="00E7394C"/>
    <w:rsid w:val="00EB6FD2"/>
    <w:rsid w:val="00EC212B"/>
    <w:rsid w:val="00EC3929"/>
    <w:rsid w:val="00EC7F10"/>
    <w:rsid w:val="00ED519C"/>
    <w:rsid w:val="00EF1307"/>
    <w:rsid w:val="00F217B5"/>
    <w:rsid w:val="00F37FD4"/>
    <w:rsid w:val="00F7123A"/>
    <w:rsid w:val="00F74DF5"/>
    <w:rsid w:val="00F91BD1"/>
    <w:rsid w:val="00FA2FE1"/>
    <w:rsid w:val="00FA6FD1"/>
    <w:rsid w:val="00FB0D88"/>
    <w:rsid w:val="00FB193F"/>
    <w:rsid w:val="00FB67B1"/>
    <w:rsid w:val="00FC0810"/>
    <w:rsid w:val="00FC5721"/>
    <w:rsid w:val="00FF02C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C3E34"/>
  <w15:docId w15:val="{066732C5-5C06-4B32-BA93-F69FFBAF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4538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6">
    <w:name w:val="heading 6"/>
    <w:basedOn w:val="Normal"/>
    <w:link w:val="Ttulo6Char"/>
    <w:uiPriority w:val="9"/>
    <w:qFormat/>
    <w:rsid w:val="004538A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A6F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A6FD1"/>
    <w:rPr>
      <w:rFonts w:ascii="Tahoma" w:hAnsi="Tahoma" w:cs="Tahoma"/>
      <w:sz w:val="16"/>
      <w:szCs w:val="16"/>
    </w:rPr>
  </w:style>
  <w:style w:type="paragraph" w:styleId="Cabealho">
    <w:name w:val="header"/>
    <w:basedOn w:val="Normal"/>
    <w:link w:val="CabealhoChar"/>
    <w:uiPriority w:val="99"/>
    <w:unhideWhenUsed/>
    <w:rsid w:val="00FA6F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A6FD1"/>
  </w:style>
  <w:style w:type="paragraph" w:styleId="Rodap">
    <w:name w:val="footer"/>
    <w:basedOn w:val="Normal"/>
    <w:link w:val="RodapChar"/>
    <w:uiPriority w:val="99"/>
    <w:unhideWhenUsed/>
    <w:rsid w:val="00FA6FD1"/>
    <w:pPr>
      <w:tabs>
        <w:tab w:val="center" w:pos="4252"/>
        <w:tab w:val="right" w:pos="8504"/>
      </w:tabs>
      <w:spacing w:after="0" w:line="240" w:lineRule="auto"/>
    </w:pPr>
  </w:style>
  <w:style w:type="character" w:customStyle="1" w:styleId="RodapChar">
    <w:name w:val="Rodapé Char"/>
    <w:basedOn w:val="Fontepargpadro"/>
    <w:link w:val="Rodap"/>
    <w:uiPriority w:val="99"/>
    <w:rsid w:val="00FA6FD1"/>
  </w:style>
  <w:style w:type="paragraph" w:styleId="CitaoIntensa">
    <w:name w:val="Intense Quote"/>
    <w:basedOn w:val="Normal"/>
    <w:next w:val="Normal"/>
    <w:link w:val="CitaoIntensaChar"/>
    <w:uiPriority w:val="30"/>
    <w:qFormat/>
    <w:rsid w:val="0074074C"/>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74074C"/>
    <w:rPr>
      <w:b/>
      <w:bCs/>
      <w:i/>
      <w:iCs/>
      <w:color w:val="4F81BD" w:themeColor="accent1"/>
    </w:rPr>
  </w:style>
  <w:style w:type="character" w:styleId="TtulodoLivro">
    <w:name w:val="Book Title"/>
    <w:basedOn w:val="Fontepargpadro"/>
    <w:uiPriority w:val="33"/>
    <w:qFormat/>
    <w:rsid w:val="0074074C"/>
    <w:rPr>
      <w:b/>
      <w:bCs/>
      <w:smallCaps/>
      <w:spacing w:val="5"/>
    </w:rPr>
  </w:style>
  <w:style w:type="paragraph" w:styleId="PargrafodaLista">
    <w:name w:val="List Paragraph"/>
    <w:basedOn w:val="Normal"/>
    <w:uiPriority w:val="34"/>
    <w:qFormat/>
    <w:rsid w:val="00D81533"/>
    <w:pPr>
      <w:ind w:left="720"/>
      <w:contextualSpacing/>
    </w:pPr>
  </w:style>
  <w:style w:type="character" w:styleId="Hyperlink">
    <w:name w:val="Hyperlink"/>
    <w:basedOn w:val="Fontepargpadro"/>
    <w:uiPriority w:val="99"/>
    <w:unhideWhenUsed/>
    <w:rsid w:val="00625F2F"/>
    <w:rPr>
      <w:color w:val="0000FF" w:themeColor="hyperlink"/>
      <w:u w:val="single"/>
    </w:rPr>
  </w:style>
  <w:style w:type="table" w:styleId="Tabelacomgrade">
    <w:name w:val="Table Grid"/>
    <w:basedOn w:val="Tabelanormal"/>
    <w:uiPriority w:val="59"/>
    <w:rsid w:val="00DB0D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2Char">
    <w:name w:val="Título 2 Char"/>
    <w:basedOn w:val="Fontepargpadro"/>
    <w:link w:val="Ttulo2"/>
    <w:uiPriority w:val="9"/>
    <w:rsid w:val="004538A4"/>
    <w:rPr>
      <w:rFonts w:ascii="Times New Roman" w:eastAsia="Times New Roman" w:hAnsi="Times New Roman" w:cs="Times New Roman"/>
      <w:b/>
      <w:bCs/>
      <w:sz w:val="36"/>
      <w:szCs w:val="36"/>
    </w:rPr>
  </w:style>
  <w:style w:type="character" w:customStyle="1" w:styleId="Ttulo6Char">
    <w:name w:val="Título 6 Char"/>
    <w:basedOn w:val="Fontepargpadro"/>
    <w:link w:val="Ttulo6"/>
    <w:uiPriority w:val="9"/>
    <w:rsid w:val="004538A4"/>
    <w:rPr>
      <w:rFonts w:ascii="Times New Roman" w:eastAsia="Times New Roman" w:hAnsi="Times New Roman" w:cs="Times New Roman"/>
      <w:b/>
      <w:bCs/>
      <w:sz w:val="15"/>
      <w:szCs w:val="15"/>
    </w:rPr>
  </w:style>
  <w:style w:type="character" w:customStyle="1" w:styleId="color11">
    <w:name w:val="color_11"/>
    <w:basedOn w:val="Fontepargpadro"/>
    <w:rsid w:val="004538A4"/>
  </w:style>
  <w:style w:type="paragraph" w:styleId="Textodecomentrio">
    <w:name w:val="annotation text"/>
    <w:basedOn w:val="Normal"/>
    <w:link w:val="TextodecomentrioChar"/>
    <w:uiPriority w:val="99"/>
    <w:unhideWhenUsed/>
    <w:rsid w:val="00C65AE8"/>
    <w:pPr>
      <w:spacing w:line="240" w:lineRule="auto"/>
    </w:pPr>
    <w:rPr>
      <w:rFonts w:eastAsiaTheme="minorHAnsi"/>
      <w:sz w:val="20"/>
      <w:szCs w:val="20"/>
      <w:lang w:eastAsia="en-US"/>
    </w:rPr>
  </w:style>
  <w:style w:type="character" w:customStyle="1" w:styleId="TextodecomentrioChar">
    <w:name w:val="Texto de comentário Char"/>
    <w:basedOn w:val="Fontepargpadro"/>
    <w:link w:val="Textodecomentrio"/>
    <w:uiPriority w:val="99"/>
    <w:rsid w:val="00C65AE8"/>
    <w:rPr>
      <w:rFonts w:eastAsiaTheme="minorHAnsi"/>
      <w:sz w:val="20"/>
      <w:szCs w:val="20"/>
      <w:lang w:eastAsia="en-US"/>
    </w:rPr>
  </w:style>
  <w:style w:type="paragraph" w:customStyle="1" w:styleId="Els-NoIndent">
    <w:name w:val="Els-NoIndent"/>
    <w:basedOn w:val="Normal"/>
    <w:qFormat/>
    <w:rsid w:val="00AB1E3E"/>
    <w:pPr>
      <w:spacing w:after="0" w:line="230" w:lineRule="exact"/>
      <w:jc w:val="both"/>
    </w:pPr>
    <w:rPr>
      <w:rFonts w:ascii="Times New Roman" w:eastAsia="SimSun" w:hAnsi="Times New Roman" w:cs="Times New Roman"/>
      <w:sz w:val="16"/>
      <w:szCs w:val="20"/>
      <w:lang w:val="en-US" w:eastAsia="en-US"/>
    </w:rPr>
  </w:style>
  <w:style w:type="paragraph" w:customStyle="1" w:styleId="Els-body-text">
    <w:name w:val="Els-body-text"/>
    <w:rsid w:val="005F2FF8"/>
    <w:pPr>
      <w:spacing w:after="0" w:line="230" w:lineRule="exact"/>
      <w:ind w:firstLine="238"/>
      <w:jc w:val="both"/>
    </w:pPr>
    <w:rPr>
      <w:rFonts w:ascii="Times New Roman" w:eastAsia="SimSun" w:hAnsi="Times New Roman" w:cs="Times New Roman"/>
      <w:sz w:val="16"/>
      <w:szCs w:val="20"/>
      <w:lang w:val="en-US" w:eastAsia="en-US"/>
    </w:rPr>
  </w:style>
  <w:style w:type="paragraph" w:customStyle="1" w:styleId="Els-table-caption">
    <w:name w:val="Els-table-caption"/>
    <w:rsid w:val="005F2DFF"/>
    <w:pPr>
      <w:keepLines/>
      <w:spacing w:before="230" w:after="230" w:line="200" w:lineRule="exact"/>
    </w:pPr>
    <w:rPr>
      <w:rFonts w:ascii="Times New Roman" w:eastAsia="SimSun" w:hAnsi="Times New Roman" w:cs="Times New Roman"/>
      <w:b/>
      <w:sz w:val="16"/>
      <w:szCs w:val="20"/>
      <w:lang w:val="en-US" w:eastAsia="en-US"/>
    </w:rPr>
  </w:style>
  <w:style w:type="paragraph" w:customStyle="1" w:styleId="Els-table-text">
    <w:name w:val="Els-table-text"/>
    <w:rsid w:val="005F2DFF"/>
    <w:pPr>
      <w:spacing w:after="80" w:line="200" w:lineRule="exact"/>
    </w:pPr>
    <w:rPr>
      <w:rFonts w:ascii="Times New Roman" w:eastAsia="SimSun" w:hAnsi="Times New Roman" w:cs="Times New Roman"/>
      <w:sz w:val="14"/>
      <w:szCs w:val="20"/>
      <w:lang w:val="en-US" w:eastAsia="en-US"/>
    </w:rPr>
  </w:style>
  <w:style w:type="paragraph" w:customStyle="1" w:styleId="Els-table-col-head">
    <w:name w:val="Els-table-col-head"/>
    <w:basedOn w:val="Els-table-text"/>
    <w:qFormat/>
    <w:rsid w:val="005F2DFF"/>
    <w:rPr>
      <w:b/>
      <w:sz w:val="16"/>
    </w:rPr>
  </w:style>
  <w:style w:type="character" w:styleId="MenoPendente">
    <w:name w:val="Unresolved Mention"/>
    <w:basedOn w:val="Fontepargpadro"/>
    <w:uiPriority w:val="99"/>
    <w:semiHidden/>
    <w:unhideWhenUsed/>
    <w:rsid w:val="00D27F84"/>
    <w:rPr>
      <w:color w:val="605E5C"/>
      <w:shd w:val="clear" w:color="auto" w:fill="E1DFDD"/>
    </w:rPr>
  </w:style>
  <w:style w:type="character" w:styleId="Refdecomentrio">
    <w:name w:val="annotation reference"/>
    <w:basedOn w:val="Fontepargpadro"/>
    <w:uiPriority w:val="99"/>
    <w:semiHidden/>
    <w:unhideWhenUsed/>
    <w:rsid w:val="00D12528"/>
    <w:rPr>
      <w:sz w:val="16"/>
      <w:szCs w:val="16"/>
    </w:rPr>
  </w:style>
  <w:style w:type="paragraph" w:styleId="Assuntodocomentrio">
    <w:name w:val="annotation subject"/>
    <w:basedOn w:val="Textodecomentrio"/>
    <w:next w:val="Textodecomentrio"/>
    <w:link w:val="AssuntodocomentrioChar"/>
    <w:uiPriority w:val="99"/>
    <w:semiHidden/>
    <w:unhideWhenUsed/>
    <w:rsid w:val="00D12528"/>
    <w:rPr>
      <w:rFonts w:eastAsiaTheme="minorEastAsia"/>
      <w:b/>
      <w:bCs/>
      <w:lang w:eastAsia="pt-BR"/>
    </w:rPr>
  </w:style>
  <w:style w:type="character" w:customStyle="1" w:styleId="AssuntodocomentrioChar">
    <w:name w:val="Assunto do comentário Char"/>
    <w:basedOn w:val="TextodecomentrioChar"/>
    <w:link w:val="Assuntodocomentrio"/>
    <w:uiPriority w:val="99"/>
    <w:semiHidden/>
    <w:rsid w:val="00D12528"/>
    <w:rPr>
      <w:rFonts w:eastAsiaTheme="minorHAnsi"/>
      <w:b/>
      <w:bCs/>
      <w:sz w:val="20"/>
      <w:szCs w:val="20"/>
      <w:lang w:eastAsia="en-US"/>
    </w:rPr>
  </w:style>
  <w:style w:type="paragraph" w:customStyle="1" w:styleId="Standard">
    <w:name w:val="Standard"/>
    <w:rsid w:val="00D257D6"/>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357086">
      <w:bodyDiv w:val="1"/>
      <w:marLeft w:val="0"/>
      <w:marRight w:val="0"/>
      <w:marTop w:val="0"/>
      <w:marBottom w:val="0"/>
      <w:divBdr>
        <w:top w:val="none" w:sz="0" w:space="0" w:color="auto"/>
        <w:left w:val="none" w:sz="0" w:space="0" w:color="auto"/>
        <w:bottom w:val="none" w:sz="0" w:space="0" w:color="auto"/>
        <w:right w:val="none" w:sz="0" w:space="0" w:color="auto"/>
      </w:divBdr>
    </w:div>
    <w:div w:id="702094230">
      <w:bodyDiv w:val="1"/>
      <w:marLeft w:val="0"/>
      <w:marRight w:val="0"/>
      <w:marTop w:val="0"/>
      <w:marBottom w:val="0"/>
      <w:divBdr>
        <w:top w:val="none" w:sz="0" w:space="0" w:color="auto"/>
        <w:left w:val="none" w:sz="0" w:space="0" w:color="auto"/>
        <w:bottom w:val="none" w:sz="0" w:space="0" w:color="auto"/>
        <w:right w:val="none" w:sz="0" w:space="0" w:color="auto"/>
      </w:divBdr>
    </w:div>
    <w:div w:id="2109079635">
      <w:bodyDiv w:val="1"/>
      <w:marLeft w:val="0"/>
      <w:marRight w:val="0"/>
      <w:marTop w:val="0"/>
      <w:marBottom w:val="0"/>
      <w:divBdr>
        <w:top w:val="none" w:sz="0" w:space="0" w:color="auto"/>
        <w:left w:val="none" w:sz="0" w:space="0" w:color="auto"/>
        <w:bottom w:val="none" w:sz="0" w:space="0" w:color="auto"/>
        <w:right w:val="none" w:sz="0" w:space="0" w:color="auto"/>
      </w:divBdr>
      <w:divsChild>
        <w:div w:id="1045913625">
          <w:marLeft w:val="0"/>
          <w:marRight w:val="0"/>
          <w:marTop w:val="0"/>
          <w:marBottom w:val="0"/>
          <w:divBdr>
            <w:top w:val="none" w:sz="0" w:space="0" w:color="auto"/>
            <w:left w:val="none" w:sz="0" w:space="0" w:color="auto"/>
            <w:bottom w:val="none" w:sz="0" w:space="0" w:color="auto"/>
            <w:right w:val="none" w:sz="0" w:space="0" w:color="auto"/>
          </w:divBdr>
        </w:div>
        <w:div w:id="224609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BAC60-47DC-4DAB-BAA1-E69630FA5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1902</Words>
  <Characters>10274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Joyce</dc:creator>
  <cp:lastModifiedBy>Usuário do Microsoft Office</cp:lastModifiedBy>
  <cp:revision>8</cp:revision>
  <cp:lastPrinted>2018-08-03T23:15:00Z</cp:lastPrinted>
  <dcterms:created xsi:type="dcterms:W3CDTF">2020-10-26T02:08:00Z</dcterms:created>
  <dcterms:modified xsi:type="dcterms:W3CDTF">2020-10-26T02:24:00Z</dcterms:modified>
</cp:coreProperties>
</file>