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c0c0c0" w:space="0" w:sz="8" w:val="single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100" w:line="360" w:lineRule="auto"/>
        <w:ind w:left="2" w:hanging="4"/>
        <w:jc w:val="left"/>
        <w:rPr>
          <w:rFonts w:ascii="Open Sans" w:cs="Open Sans" w:eastAsia="Open Sans" w:hAnsi="Ope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2" w:right="0" w:hanging="4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Agenda 2030 e as demandas para um desenvolvimento sustentável: As condições da Microrregião Araguaína-TO.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1" w:hanging="3"/>
        <w:jc w:val="right"/>
        <w:rPr>
          <w:rFonts w:ascii="Open Sans" w:cs="Open Sans" w:eastAsia="Open Sans" w:hAnsi="Open San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Autores: Cassia Guarda da Silva, UFNT,</w:t>
      </w:r>
    </w:p>
    <w:p w:rsidR="00000000" w:rsidDel="00000000" w:rsidP="00000000" w:rsidRDefault="00000000" w:rsidRPr="00000000" w14:paraId="00000006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hyperlink r:id="rId6">
        <w:r w:rsidDel="00000000" w:rsidR="00000000" w:rsidRPr="00000000">
          <w:rPr>
            <w:rFonts w:ascii="Open Sans" w:cs="Open Sans" w:eastAsia="Open Sans" w:hAnsi="Open Sans"/>
            <w:b w:val="1"/>
            <w:color w:val="000000"/>
            <w:sz w:val="28"/>
            <w:szCs w:val="28"/>
            <w:u w:val="none"/>
            <w:vertAlign w:val="baseline"/>
            <w:rtl w:val="0"/>
          </w:rPr>
          <w:t xml:space="preserve">cassia.guarda@mail.uft.edu.br</w:t>
        </w:r>
      </w:hyperlink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Manoel Victor Silva Borges Aguiar, UFNT,</w:t>
      </w:r>
    </w:p>
    <w:p w:rsidR="00000000" w:rsidDel="00000000" w:rsidP="00000000" w:rsidRDefault="00000000" w:rsidRPr="00000000" w14:paraId="00000008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hyperlink r:id="rId7">
        <w:r w:rsidDel="00000000" w:rsidR="00000000" w:rsidRPr="00000000">
          <w:rPr>
            <w:rFonts w:ascii="Open Sans" w:cs="Open Sans" w:eastAsia="Open Sans" w:hAnsi="Open Sans"/>
            <w:b w:val="1"/>
            <w:sz w:val="28"/>
            <w:szCs w:val="28"/>
            <w:rtl w:val="0"/>
          </w:rPr>
          <w:t xml:space="preserve">manoel.aguiar@mail.uft.edu.br</w:t>
        </w:r>
      </w:hyperlink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Emerson Hugo Fernandes Ferreira, UFNT,</w:t>
      </w:r>
    </w:p>
    <w:p w:rsidR="00000000" w:rsidDel="00000000" w:rsidP="00000000" w:rsidRDefault="00000000" w:rsidRPr="00000000" w14:paraId="0000000A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hyperlink r:id="rId8">
        <w:r w:rsidDel="00000000" w:rsidR="00000000" w:rsidRPr="00000000">
          <w:rPr>
            <w:rFonts w:ascii="Open Sans" w:cs="Open Sans" w:eastAsia="Open Sans" w:hAnsi="Open Sans"/>
            <w:b w:val="1"/>
            <w:color w:val="000000"/>
            <w:sz w:val="28"/>
            <w:szCs w:val="28"/>
            <w:u w:val="none"/>
            <w:vertAlign w:val="baseline"/>
            <w:rtl w:val="0"/>
          </w:rPr>
          <w:t xml:space="preserve">emerson.hugo@mail.uft.edu.br</w:t>
        </w:r>
      </w:hyperlink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Ana Vitória dos Santos Cirqueira, UFNT,</w:t>
      </w:r>
    </w:p>
    <w:p w:rsidR="00000000" w:rsidDel="00000000" w:rsidP="00000000" w:rsidRDefault="00000000" w:rsidRPr="00000000" w14:paraId="0000000C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b w:val="1"/>
            <w:color w:val="000000"/>
            <w:sz w:val="28"/>
            <w:szCs w:val="28"/>
            <w:u w:val="none"/>
            <w:vertAlign w:val="baseline"/>
            <w:rtl w:val="0"/>
          </w:rPr>
          <w:t xml:space="preserve">cirqueira.ana@mail.uft.edu.br</w:t>
        </w:r>
      </w:hyperlink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line="276" w:lineRule="auto"/>
        <w:ind w:left="1" w:hanging="3"/>
        <w:jc w:val="right"/>
        <w:rPr>
          <w:rFonts w:ascii="Open Sans" w:cs="Open Sans" w:eastAsia="Open Sans" w:hAnsi="Open Sans"/>
          <w:b w:val="1"/>
          <w:sz w:val="28"/>
          <w:szCs w:val="28"/>
        </w:rPr>
        <w:sectPr>
          <w:headerReference r:id="rId10" w:type="default"/>
          <w:headerReference r:id="rId11" w:type="first"/>
          <w:headerReference r:id="rId12" w:type="even"/>
          <w:footerReference r:id="rId13" w:type="default"/>
          <w:footerReference r:id="rId14" w:type="first"/>
          <w:footerReference r:id="rId15" w:type="even"/>
          <w:pgSz w:h="16840" w:w="11907" w:orient="portrait"/>
          <w:pgMar w:bottom="1440" w:top="1440" w:left="1800" w:right="1800" w:header="720" w:footer="720"/>
          <w:pgNumType w:start="1"/>
        </w:sect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Marielen Aline Costa da Silva, UFNT, </w:t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highlight w:val="white"/>
          <w:rtl w:val="0"/>
        </w:rPr>
        <w:t xml:space="preserve">marielencosta@mail.uft.edu.br.</w:t>
      </w:r>
      <w:r w:rsidDel="00000000" w:rsidR="00000000" w:rsidRPr="00000000">
        <w:rPr>
          <w:rtl w:val="0"/>
        </w:rPr>
      </w:r>
    </w:p>
    <w:bookmarkStart w:colFirst="0" w:colLast="0" w:name="gjdgxs" w:id="0"/>
    <w:bookmarkEnd w:id="0"/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360" w:lineRule="auto"/>
        <w:ind w:left="1080" w:right="0" w:hanging="72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Apresentação e Justificativa</w:t>
      </w:r>
    </w:p>
    <w:p w:rsidR="00000000" w:rsidDel="00000000" w:rsidP="00000000" w:rsidRDefault="00000000" w:rsidRPr="00000000" w14:paraId="0000000F">
      <w:pPr>
        <w:spacing w:line="360" w:lineRule="auto"/>
        <w:ind w:left="0" w:firstLine="718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Com intuito de oferecer igualdade de oportunidades para o desenvolvimento econômico e social de todas as cidades brasileiras, o Governo Federal instituiu a Política Nacional de Desenvolvimento Regional (PNDR), visando o crescimento econômico, a geração de renda e melhoria da qualidade de vida das populações tendo como base a mobilização planejada e articulada da ação federal, estadual, distrital e municipal, pública e privada, por meio da qual programas e investimentos da União e dos entes federativos, associadamente, estimulem e apoiem processos de desenvolvimento. A regionalização geográfica é um recurso da administração pública para melhor entender e avaliar as diversas e complexas dimensões das desigualdades que ocorrem nas distintas porções do território nacional. Acredita-se que o território geograficamente regionalizado favoreça a intervenção pormenorizada, de forma que sua base institucional e sua organização possam ser analisadas para fins de implementação de políticas indutoras de investimento que possibilitem geração de emprego e renda, dinamizando a espacialidade geoeconômica.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Entre as estratégias da PNDR está a estruturação de modelo de planejamento integrado, por meio da elaboração de planos regionais e sub-regionais de desenvolvimento, pactos de metas e carteiras de projetos em diferentes escalas geográficas. O planejamento e a implementação das ações da PNDR objetivam de forma preferencial os eixos setoriais de intervenção da ciência, tecnologia e inovação e a educação e qualificação profissional. Neste sentindo, corroborando com a PNDR, Governo Federal, Estadual e IES propuseram ações de mobilização e articulação de Centros de Desenvolvimento Regionais (CDRs) que - formados por diferentes atores da sociedade civil, atuam em colaboração para a promoção do desenvolvimento regional sustentável. Neste âmbito, a presente pesquisa aborda as principais demandas e problemáticas da microrregião Araguaína identificadas durante o I Fórum de Desenvolvimento Regional do Médio Norte Tocantins, tendo como principal objetivo identificar e analisar as principais demandas e problemáticas que impedem e/ou atrasam a promoção do desenvolvimento regional do Médio Norte Tocantins.</w:t>
      </w:r>
    </w:p>
    <w:p w:rsidR="00000000" w:rsidDel="00000000" w:rsidP="00000000" w:rsidRDefault="00000000" w:rsidRPr="00000000" w14:paraId="00000011">
      <w:pPr>
        <w:spacing w:line="360" w:lineRule="auto"/>
        <w:ind w:left="0" w:firstLine="718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718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0" w:line="360" w:lineRule="auto"/>
        <w:ind w:left="2" w:hanging="4"/>
        <w:jc w:val="left"/>
        <w:rPr>
          <w:rFonts w:ascii="Open Sans" w:cs="Open Sans" w:eastAsia="Open Sans" w:hAnsi="Open Sans"/>
          <w:b w:val="1"/>
          <w:color w:val="000000"/>
          <w:sz w:val="40"/>
          <w:szCs w:val="4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40"/>
          <w:szCs w:val="40"/>
          <w:rtl w:val="0"/>
        </w:rPr>
        <w:t xml:space="preserve">Objetivos</w:t>
      </w:r>
    </w:p>
    <w:p w:rsidR="00000000" w:rsidDel="00000000" w:rsidP="00000000" w:rsidRDefault="00000000" w:rsidRPr="00000000" w14:paraId="00000014">
      <w:pPr>
        <w:spacing w:line="360" w:lineRule="auto"/>
        <w:ind w:left="0" w:hanging="2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OBJETIVO GERAL: </w:t>
      </w:r>
    </w:p>
    <w:p w:rsidR="00000000" w:rsidDel="00000000" w:rsidP="00000000" w:rsidRDefault="00000000" w:rsidRPr="00000000" w14:paraId="00000015">
      <w:pPr>
        <w:spacing w:after="60" w:line="360" w:lineRule="auto"/>
        <w:ind w:left="0" w:hanging="2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 presente pesquisa tem como objetivo identificar e analisar as principais demandas e problemáticas que impedem e/ou atrasam a promoção do desenvolvimento regional do Médio Norte Tocantins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60" w:line="360" w:lineRule="auto"/>
        <w:ind w:left="0" w:hanging="2"/>
        <w:rPr>
          <w:rFonts w:ascii="Open Sans" w:cs="Open Sans" w:eastAsia="Open Sans" w:hAnsi="Open Sans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360" w:lineRule="auto"/>
        <w:ind w:left="0" w:hanging="2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OBJETIVOS ESPECÍFICOS:</w:t>
      </w:r>
    </w:p>
    <w:p w:rsidR="00000000" w:rsidDel="00000000" w:rsidP="00000000" w:rsidRDefault="00000000" w:rsidRPr="00000000" w14:paraId="00000018">
      <w:pPr>
        <w:spacing w:after="0" w:before="0" w:line="360" w:lineRule="auto"/>
        <w:ind w:left="0"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a. Identificar a percepção dos integrantes do  Fórum de Desenvolvimento Regional do Medio Norte Tocantins sobre  fraquezas e fortalezas da microrregião Araguaína.</w:t>
      </w:r>
    </w:p>
    <w:p w:rsidR="00000000" w:rsidDel="00000000" w:rsidP="00000000" w:rsidRDefault="00000000" w:rsidRPr="00000000" w14:paraId="00000019">
      <w:pPr>
        <w:spacing w:after="0" w:before="0" w:line="360" w:lineRule="auto"/>
        <w:ind w:left="0" w:hanging="2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ind w:left="0"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b. Analisar as áreas prioritárias de desenvolvimento percebidas pelos integrantes do Fórum de Desenvolvimento Regional do Medio Norte Tocantins</w:t>
      </w:r>
    </w:p>
    <w:p w:rsidR="00000000" w:rsidDel="00000000" w:rsidP="00000000" w:rsidRDefault="00000000" w:rsidRPr="00000000" w14:paraId="0000001B">
      <w:pPr>
        <w:spacing w:after="0" w:before="0" w:line="360" w:lineRule="auto"/>
        <w:ind w:left="0" w:hanging="2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360" w:lineRule="auto"/>
        <w:ind w:left="0" w:hanging="2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c. Analisar  as principais demandas para o desenvolvimento regional da microrregião Araguaína frente aos Objetivos do Desenvolvimento Sustentável e Agenda 2030..</w:t>
      </w:r>
    </w:p>
    <w:p w:rsidR="00000000" w:rsidDel="00000000" w:rsidP="00000000" w:rsidRDefault="00000000" w:rsidRPr="00000000" w14:paraId="0000001D">
      <w:pPr>
        <w:spacing w:before="0" w:line="360" w:lineRule="auto"/>
        <w:ind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0" w:line="360" w:lineRule="auto"/>
        <w:ind w:left="2" w:hanging="4"/>
        <w:rPr>
          <w:rFonts w:ascii="Open Sans" w:cs="Open Sans" w:eastAsia="Open Sans" w:hAnsi="Open Sans"/>
          <w:b w:val="1"/>
          <w:color w:val="000000"/>
          <w:sz w:val="40"/>
          <w:szCs w:val="4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40"/>
          <w:szCs w:val="40"/>
          <w:rtl w:val="0"/>
        </w:rPr>
        <w:t xml:space="preserve">Metodologia</w:t>
      </w:r>
    </w:p>
    <w:p w:rsidR="00000000" w:rsidDel="00000000" w:rsidP="00000000" w:rsidRDefault="00000000" w:rsidRPr="00000000" w14:paraId="0000001F">
      <w:pPr>
        <w:tabs>
          <w:tab w:val="left" w:leader="none" w:pos="0"/>
        </w:tabs>
        <w:spacing w:before="100" w:line="360" w:lineRule="auto"/>
        <w:ind w:left="-2" w:firstLine="567"/>
        <w:rPr>
          <w:rFonts w:ascii="Open Sans" w:cs="Open Sans" w:eastAsia="Open Sans" w:hAnsi="Open Sans"/>
        </w:rPr>
      </w:pPr>
      <w:bookmarkStart w:colFirst="0" w:colLast="0" w:name="_3znysh7" w:id="3"/>
      <w:bookmarkEnd w:id="3"/>
      <w:r w:rsidDel="00000000" w:rsidR="00000000" w:rsidRPr="00000000">
        <w:rPr>
          <w:rFonts w:ascii="Open Sans" w:cs="Open Sans" w:eastAsia="Open Sans" w:hAnsi="Open Sans"/>
          <w:rtl w:val="0"/>
        </w:rPr>
        <w:t xml:space="preserve">A presente pesquisa caracteriza-se pelo uso da metodologia qualitativa, de caráter descritivo. Durante o I Fórum de Desenvolvimento Regional do Médio Norte Tocantins, realizado em março de 2023, foram coletadas informações referentes às demandas de desenvolvimento regional de 17 cidades:  Araguaína, Colinas do Tocantins, Nova Olinda, Wanderlândia, Xambioá, Babaçulandia, Filadélfia, Santa Fé do Araguaia, Arapoema, Palmeirante, Aragominas, Araguanã, Pau D’arco, Bandeirantes do Tocantins, Muricilândia, Piraquê e Carmolândia, que compõem a Microrregião Araguaína (TO). Foram realizadas ações pautadas em metodologias participativas (matriz SWOT e Diagnóstico Rápido Participativo) que buscaram elencar as forças, fraquezas e possíveis soluções para as demandas locais, contanto com a colaboração de 80 representantes regionais, entre sociedade civil e lideranças políticas. </w:t>
      </w:r>
    </w:p>
    <w:p w:rsidR="00000000" w:rsidDel="00000000" w:rsidP="00000000" w:rsidRDefault="00000000" w:rsidRPr="00000000" w14:paraId="00000020">
      <w:pPr>
        <w:tabs>
          <w:tab w:val="left" w:leader="none" w:pos="0"/>
        </w:tabs>
        <w:spacing w:before="100" w:line="360" w:lineRule="auto"/>
        <w:ind w:left="-2" w:firstLine="567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Na primeira etapa o grande grupo foi subdividido em 4 grupos menores de acordo com a proximidade dos municípios. A partir deste momento os participantes elencarem as fraquezas e fortalezas dos seus municípios e quais ações deveriam ser realizadas para solucionar estas demandas. Tais metodologias participativas, utilizadas na construção de políticas públicas de cunho popular, têm o intuito de fazer a identificação das características  endógenas do território de modo didático e objetivo, facilitando a condução dos debates coletivos. No segundo momento da atividade cada grupo apresentou e debateu com o coletivo sobre as fraquezas e ações a serem desenvolvidas para soluciona-las, a partir das fortalezas locais. Dessa forma, a partir das técnicas e metodologias citadas acima, construiu-se um mapa de alvos temáticos prioritários no contexto de da promoção do desenvolvimento regional de base sustentável, como apresenta os resultados do presente estudo.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0"/>
        </w:tabs>
        <w:spacing w:before="100" w:line="360" w:lineRule="auto"/>
        <w:ind w:left="-2" w:firstLine="567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0" w:line="360" w:lineRule="auto"/>
        <w:ind w:left="2" w:hanging="4"/>
        <w:jc w:val="left"/>
        <w:rPr>
          <w:rFonts w:ascii="Open Sans" w:cs="Open Sans" w:eastAsia="Open Sans" w:hAnsi="Open Sans"/>
          <w:b w:val="1"/>
          <w:color w:val="000000"/>
          <w:sz w:val="44"/>
          <w:szCs w:val="4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44"/>
          <w:szCs w:val="44"/>
          <w:rtl w:val="0"/>
        </w:rPr>
        <w:t xml:space="preserve">Resultados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partir das ações desenvolvidas os atores locais apontaram as principais fraquezas e fortalezas (Quadro 1) como fatores essenciais no desenvolvimento sustentável da microrregião Araguaína – Tocantins. Para os participantes no âmbito das questões econômicas, a falta de oportunidades – como emprego e acesso a novos mercados - e as limitações em infraestrutura urbana e rural, como por exemplo a falta de estradas e/ou a falta de regularização fundiária, têm gerado importantes impactos no crescimento econômico local, bem como na qualidade de vida e sustentabilidade do território.  Já no que tange aspectos sociais e ambientais, a desigualdade social – provocada pela má distribuição de renda, tem contribuído para a evasão escolar, migração da população local, insegurança, perpetuação de práticas como queimadas e desmatamento, entre tantas outras problemáticas que estagnam o desenvolvimento humano local.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Quadro 1: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Principais fraquezas e fortalezas apontadas pelos atores e lideranças da Microrregião Araguaína (TO).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360" w:lineRule="auto"/>
        <w:ind w:left="0" w:right="0" w:hanging="2"/>
        <w:jc w:val="center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640775" cy="191011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816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0775" cy="1910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elaborado pelos autores com base nos dados coletados junto ao I Fórum de Desenvolvimento Regional do Médio Norte Tocantins (2023).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Santos e André (2018) destacam que o Tocantins é um dos Estados mais jovens da Federação e corresponde ao que era o antigo norte goiano, na época uma região esquecida pelo Estado e não era praticamente beneficiada pelas políticas públicas de natureza tanto federal quanto estadual, colocando-se, pois, como fruto da divisão do Estado de Goiás. Em decorrência da ausência dessas políticas, o Tocantins nasceu com uma forte dependência financeira da União, tendo em vista a necessidade de fortalecer sua infraestrutura e promover seu desenvolvimento socioeconômico. No entanto, ao longo destes 35 anos, por vezes o Estado não foi capaz de suprir integralmente todas as demandas das diferentes regiões do Tocantins, resultando em algumas importantes lacunas que impedem o pleno desenvolvimento sustentável das regiões.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Toda via, no que se refere as “fortalezas locais”, aspectos como: a proximidade a importantes centros econômicos e atrativos turísticos circunvizinhos, presença de instituições de ensino superior públicas e privadas, assim como o agronegócio e agricultura familiar consolidados, apresentam-se como relevantes potenciais para a promoção do desenvolvimento local.  De modo geral, a partir da união das técnicas aplicadas durante o evento, observou-se 5 grandes áreas nas quais existem demandas prioritárias para o desenvolvimento regional (Figura 1), sendo elas: Regularização fundiária de áreas urbanas e rurais; Geração de oportunidade de emprego e renda para jovens e adultos; Promoção de ações ambientais voltada ao saneamento básico e saúde coletiva; Combate a insegurança alimentar e nutricional e a pobreza; Fortalecimento e abertura de novos arranjos produtivos locais (APLs) de base sustentável.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1: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Mapa mental dos alvos do desenvolvimento regional para a Microrregião Araguaína (TO)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317090" cy="191774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7090" cy="1917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elaborado pelos autores (2023).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2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2" w:right="0" w:firstLine="567"/>
        <w:jc w:val="both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Segundo Oliveira, Piffer e Strassburgs (2019), o desenvolvimento regional compreende uma análise de fatores sociais e econômicos no interior de uma região, fatores esses que compõem a mobilidade espacial do capital, do trabalho e das inovações. Tais fatores, quando bem ou mal empregados em uma determinada região, podem reduzir ou acelerar as desigualdades regionais. Para Sachs (2003), a história recente mostra que o crescimento da riqueza, apesar de necessário, não é condição suficiente para o desenvolvimento de um país e que tampouco se coloca como um processo apenas unidirecional, mas que, ao contrário, está associado a questões de ordem social, cultural e econômica.</w:t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0" w:line="360" w:lineRule="auto"/>
        <w:ind w:left="2" w:hanging="4"/>
        <w:jc w:val="left"/>
        <w:rPr>
          <w:rFonts w:ascii="Open Sans" w:cs="Open Sans" w:eastAsia="Open Sans" w:hAnsi="Open Sans"/>
          <w:b w:val="1"/>
          <w:color w:val="000000"/>
          <w:sz w:val="44"/>
          <w:szCs w:val="4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44"/>
          <w:szCs w:val="44"/>
          <w:rtl w:val="0"/>
        </w:rPr>
        <w:t xml:space="preserve">Considerações Finais</w:t>
      </w:r>
    </w:p>
    <w:p w:rsidR="00000000" w:rsidDel="00000000" w:rsidP="00000000" w:rsidRDefault="00000000" w:rsidRPr="00000000" w14:paraId="00000037">
      <w:pPr>
        <w:spacing w:line="360" w:lineRule="auto"/>
        <w:ind w:left="0" w:firstLine="567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Em suma, o presente trabalho tem como objetivo apresentar as principais fraquezas e demandas necessárias para a promoção do pleno desenvolvimento regional de base sustentável. Neste sentido, por meio das diferentes metodologias apresentadas, foi possível identificar as principais áreas alvo de investimentos para o fomento da região através de seu crescimento econômico e desenvolvimento humano e social. Das áreas identificadas duas – arranjos produtivos locais  e promoção do emprego e renda, estão diretamente atreladas ao crescimento econômico, enquanto as demais vinculam-se a aspectos sociais – segurança alimentar e nutricional, saúde coletiva e saneamento básico e regularização fundiária ( que embora ligada as questões produtivas, caracteriza-se como uma questão de cidadania). Dessa forma, vale destacar a importância dos fatores sociais, ambientais e culturais frente ao desenvolvimento regional. A relevância do crescimento econômico e suas consequências para o desenvolvimento local é inegável, no entanto as demandas e fraquezas apontadas no presente estudos nos indicam um importante caminho de percepção para o que, de fato, é entendido como desenvolvimento e/ou como fator primordial diante das singularidades de cada território.</w:t>
      </w:r>
    </w:p>
    <w:p w:rsidR="00000000" w:rsidDel="00000000" w:rsidP="00000000" w:rsidRDefault="00000000" w:rsidRPr="00000000" w14:paraId="00000038">
      <w:pPr>
        <w:spacing w:line="360" w:lineRule="auto"/>
        <w:ind w:left="0" w:firstLine="718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0" w:line="360" w:lineRule="auto"/>
        <w:ind w:left="2" w:hanging="4"/>
        <w:jc w:val="left"/>
        <w:rPr>
          <w:rFonts w:ascii="Open Sans" w:cs="Open Sans" w:eastAsia="Open Sans" w:hAnsi="Open Sans"/>
          <w:b w:val="1"/>
          <w:color w:val="000000"/>
          <w:sz w:val="44"/>
          <w:szCs w:val="4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44"/>
          <w:szCs w:val="44"/>
          <w:rtl w:val="0"/>
        </w:rPr>
        <w:t xml:space="preserve">Referências Bibliográficas</w:t>
      </w:r>
    </w:p>
    <w:p w:rsidR="00000000" w:rsidDel="00000000" w:rsidP="00000000" w:rsidRDefault="00000000" w:rsidRPr="00000000" w14:paraId="0000003A">
      <w:pPr>
        <w:spacing w:before="100" w:line="360" w:lineRule="auto"/>
        <w:ind w:left="0" w:hanging="2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Medeiros, Ana Lucia; DOS SANTOS, Luana Borges; ANDRE, Claudomiro Moura Gomes.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Desenvolvimento Municipal das Microrregiões do Estado do Tocantins: uma análise a partir do Índice Firjan de Desenvolvimento Municipal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. Desenvolvimento em Questão, v. 16, n. 45, p. 44-62, 2018.</w:t>
      </w:r>
    </w:p>
    <w:p w:rsidR="00000000" w:rsidDel="00000000" w:rsidP="00000000" w:rsidRDefault="00000000" w:rsidRPr="00000000" w14:paraId="0000003B">
      <w:pPr>
        <w:spacing w:before="100" w:line="360" w:lineRule="auto"/>
        <w:ind w:left="0" w:hanging="2"/>
        <w:rPr>
          <w:rFonts w:ascii="Open Sans" w:cs="Open Sans" w:eastAsia="Open Sans" w:hAnsi="Open Sans"/>
          <w:color w:val="000000"/>
        </w:rPr>
      </w:pPr>
      <w:bookmarkStart w:colFirst="0" w:colLast="0" w:name="_2et92p0" w:id="4"/>
      <w:bookmarkEnd w:id="4"/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Oliveira, Nilton Marques; PIFFER, Moacir; STRASSBURG, Udo.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O Indicador de desenvolvimento regional no território do Tocantins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. Interações (Campo Grande), v. 20, p. 3-20, 2019.</w:t>
      </w:r>
    </w:p>
    <w:p w:rsidR="00000000" w:rsidDel="00000000" w:rsidP="00000000" w:rsidRDefault="00000000" w:rsidRPr="00000000" w14:paraId="0000003C">
      <w:pPr>
        <w:spacing w:before="100" w:line="360" w:lineRule="auto"/>
        <w:ind w:left="0" w:hanging="2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Sachs, Ignacy.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Inclusão social pelo trabalho: desenvolvimento humano, trabalho decente e o futuro dos empreendedores de pequeno porte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. Editora Garamond, 2003.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0" w:line="360" w:lineRule="auto"/>
        <w:ind w:left="-2" w:firstLine="0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0" w:firstLine="718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type w:val="nextPage"/>
      <w:pgSz w:h="16840" w:w="11907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hanging="2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hanging="2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hanging="2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hanging="2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ind w:left="0" w:hanging="2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-480057</wp:posOffset>
          </wp:positionH>
          <wp:positionV relativeFrom="paragraph">
            <wp:posOffset>-304796</wp:posOffset>
          </wp:positionV>
          <wp:extent cx="6363069" cy="1440264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63069" cy="144026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60" w:line="240" w:lineRule="auto"/>
      <w:ind w:left="0" w:right="0" w:hanging="2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ind w:left="0" w:hanging="2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lang w:val="en-US"/>
      </w:rPr>
    </w:rPrDefault>
    <w:pPrDefault>
      <w:pPr>
        <w:spacing w:after="60" w:before="60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60" w:line="240" w:lineRule="auto"/>
      <w:ind w:left="0" w:right="0" w:hanging="1"/>
      <w:jc w:val="both"/>
    </w:pPr>
    <w:rPr>
      <w:rFonts w:ascii="Century Gothic" w:cs="Century Gothic" w:eastAsia="Century Gothic" w:hAnsi="Century Gothic"/>
      <w:b w:val="0"/>
      <w:i w:val="0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spacing w:after="120" w:before="240" w:lineRule="auto"/>
      <w:ind w:left="274" w:hanging="274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0" w:before="120" w:lineRule="auto"/>
      <w:ind w:left="720" w:firstLine="0"/>
    </w:pPr>
    <w:rPr>
      <w:rFonts w:ascii="Arial" w:cs="Arial" w:eastAsia="Arial" w:hAnsi="Arial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spacing w:before="240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irqueira.ana@mail.uft.edu.br" TargetMode="External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footer" Target="footer4.xml"/><Relationship Id="rId6" Type="http://schemas.openxmlformats.org/officeDocument/2006/relationships/hyperlink" Target="mailto:cassia.guarda@mail.uft.edu.br" TargetMode="External"/><Relationship Id="rId18" Type="http://schemas.openxmlformats.org/officeDocument/2006/relationships/header" Target="header4.xml"/><Relationship Id="rId7" Type="http://schemas.openxmlformats.org/officeDocument/2006/relationships/hyperlink" Target="mailto:manoel.aguiar@mail.uft.edu.br" TargetMode="External"/><Relationship Id="rId8" Type="http://schemas.openxmlformats.org/officeDocument/2006/relationships/hyperlink" Target="mailto:emerson.hugo@mail.uft.edu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