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B88B" w14:textId="75876318" w:rsidR="00125E88" w:rsidRDefault="009B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VIRTUOSIDADE FEMININA NO DISCURSO PEDAGÓGICO COTIDIANO</w:t>
      </w:r>
    </w:p>
    <w:p w14:paraId="62829385" w14:textId="77777777" w:rsidR="00125E88" w:rsidRDefault="00125E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624C27" w14:textId="0BE1A7D5" w:rsidR="00125E88" w:rsidRDefault="00997E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Fabiana Barbosa de Souza</w:t>
      </w:r>
    </w:p>
    <w:p w14:paraId="44105127" w14:textId="60009759" w:rsidR="00125E88" w:rsidRDefault="00997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Federal de Uberlândia (UFU)</w:t>
      </w:r>
    </w:p>
    <w:p w14:paraId="48AA21D4" w14:textId="0E10566D" w:rsidR="00125E88" w:rsidRDefault="00A42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2B93">
        <w:rPr>
          <w:rFonts w:ascii="Times New Roman" w:eastAsia="Times New Roman" w:hAnsi="Times New Roman" w:cs="Times New Roman"/>
          <w:sz w:val="24"/>
          <w:szCs w:val="24"/>
          <w:lang w:eastAsia="pt-BR"/>
        </w:rPr>
        <w:t>fabianabarbosa0711@gmail.com</w:t>
      </w:r>
    </w:p>
    <w:p w14:paraId="41E09EED" w14:textId="631B53C9" w:rsidR="00125E88" w:rsidRDefault="00F00C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46615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66151" w:rsidRPr="00466151">
        <w:rPr>
          <w:rFonts w:ascii="Times New Roman" w:eastAsia="Times New Roman" w:hAnsi="Times New Roman" w:cs="Times New Roman"/>
          <w:sz w:val="24"/>
          <w:szCs w:val="24"/>
          <w:lang w:eastAsia="pt-BR"/>
        </w:rPr>
        <w:t>Saberes e Práticas Educativas</w:t>
      </w:r>
    </w:p>
    <w:p w14:paraId="613DCCED" w14:textId="344D36F4" w:rsidR="00125E88" w:rsidRDefault="00F00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C1D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Virtude; Discurso pedagógico</w:t>
      </w:r>
      <w:r w:rsidR="009E6004">
        <w:rPr>
          <w:rFonts w:ascii="Times New Roman" w:eastAsia="Times New Roman" w:hAnsi="Times New Roman" w:cs="Times New Roman"/>
          <w:sz w:val="24"/>
          <w:szCs w:val="24"/>
          <w:lang w:eastAsia="pt-BR"/>
        </w:rPr>
        <w:t>; Subjetivação feminina.</w:t>
      </w:r>
    </w:p>
    <w:p w14:paraId="1AEB9058" w14:textId="77777777" w:rsidR="00125E88" w:rsidRDefault="00125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0D3731" w14:textId="77777777" w:rsidR="00125E88" w:rsidRDefault="00F0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8CD8D50" w14:textId="7DADDBB5" w:rsidR="002D7EE7" w:rsidRPr="002D7EE7" w:rsidRDefault="002D7EE7" w:rsidP="002D04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7EE7">
        <w:rPr>
          <w:rFonts w:ascii="Times New Roman" w:hAnsi="Times New Roman" w:cs="Times New Roman"/>
          <w:bCs/>
          <w:sz w:val="24"/>
          <w:szCs w:val="24"/>
        </w:rPr>
        <w:t xml:space="preserve">No interior das práticas educativas, certos dizeres circulam de modo recorrente e se estabilizam como evidentes, </w:t>
      </w:r>
      <w:r w:rsidR="00CD49B1">
        <w:rPr>
          <w:rFonts w:ascii="Times New Roman" w:hAnsi="Times New Roman" w:cs="Times New Roman"/>
          <w:bCs/>
          <w:sz w:val="24"/>
          <w:szCs w:val="24"/>
        </w:rPr>
        <w:t>dentre eles</w:t>
      </w:r>
      <w:r w:rsidR="0066399B">
        <w:rPr>
          <w:rFonts w:ascii="Times New Roman" w:hAnsi="Times New Roman" w:cs="Times New Roman"/>
          <w:bCs/>
          <w:sz w:val="24"/>
          <w:szCs w:val="24"/>
        </w:rPr>
        <w:t xml:space="preserve"> estão </w:t>
      </w:r>
      <w:r w:rsidRPr="002D7EE7">
        <w:rPr>
          <w:rFonts w:ascii="Times New Roman" w:hAnsi="Times New Roman" w:cs="Times New Roman"/>
          <w:bCs/>
          <w:sz w:val="24"/>
          <w:szCs w:val="24"/>
        </w:rPr>
        <w:t>aqueles que associam</w:t>
      </w:r>
      <w:r w:rsidR="00CA77FA">
        <w:rPr>
          <w:rFonts w:ascii="Times New Roman" w:hAnsi="Times New Roman" w:cs="Times New Roman"/>
          <w:bCs/>
          <w:sz w:val="24"/>
          <w:szCs w:val="24"/>
        </w:rPr>
        <w:t>, sobretudo,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as alunas a comportamentos como responsabilidade, organização e </w:t>
      </w:r>
      <w:r w:rsidR="00662194">
        <w:rPr>
          <w:rFonts w:ascii="Times New Roman" w:hAnsi="Times New Roman" w:cs="Times New Roman"/>
          <w:bCs/>
          <w:sz w:val="24"/>
          <w:szCs w:val="24"/>
        </w:rPr>
        <w:t>disciplina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701B9">
        <w:rPr>
          <w:rFonts w:ascii="Times New Roman" w:hAnsi="Times New Roman" w:cs="Times New Roman"/>
          <w:bCs/>
          <w:sz w:val="24"/>
          <w:szCs w:val="24"/>
        </w:rPr>
        <w:t>T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ais </w:t>
      </w:r>
      <w:r w:rsidR="00BC2FF6">
        <w:rPr>
          <w:rFonts w:ascii="Times New Roman" w:hAnsi="Times New Roman" w:cs="Times New Roman"/>
          <w:bCs/>
          <w:sz w:val="24"/>
          <w:szCs w:val="24"/>
        </w:rPr>
        <w:t>enun</w:t>
      </w:r>
      <w:r w:rsidR="0077507B">
        <w:rPr>
          <w:rFonts w:ascii="Times New Roman" w:hAnsi="Times New Roman" w:cs="Times New Roman"/>
          <w:bCs/>
          <w:sz w:val="24"/>
          <w:szCs w:val="24"/>
        </w:rPr>
        <w:t>cia</w:t>
      </w:r>
      <w:r w:rsidR="00C701B9">
        <w:rPr>
          <w:rFonts w:ascii="Times New Roman" w:hAnsi="Times New Roman" w:cs="Times New Roman"/>
          <w:bCs/>
          <w:sz w:val="24"/>
          <w:szCs w:val="24"/>
        </w:rPr>
        <w:t xml:space="preserve">ções 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participam da produção de normatividades e da regulação das condutas no espaço escolar. É nesse contexto que esta pesquisa se inscreve, </w:t>
      </w:r>
      <w:r w:rsidR="0077507B">
        <w:rPr>
          <w:rFonts w:ascii="Times New Roman" w:hAnsi="Times New Roman" w:cs="Times New Roman"/>
          <w:bCs/>
          <w:sz w:val="24"/>
          <w:szCs w:val="24"/>
        </w:rPr>
        <w:t xml:space="preserve">buscando 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compreender de que modo o discurso pedagógico cotidiano produz e faz circular sentidos de virtuosidade feminina, bem como as posições </w:t>
      </w:r>
      <w:r w:rsidR="00CC4C37">
        <w:rPr>
          <w:rFonts w:ascii="Times New Roman" w:hAnsi="Times New Roman" w:cs="Times New Roman"/>
          <w:bCs/>
          <w:sz w:val="24"/>
          <w:szCs w:val="24"/>
        </w:rPr>
        <w:t>subjetivas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que daí decorrem. </w:t>
      </w:r>
      <w:r w:rsidR="001A7081">
        <w:rPr>
          <w:rFonts w:ascii="Times New Roman" w:hAnsi="Times New Roman" w:cs="Times New Roman"/>
          <w:bCs/>
          <w:sz w:val="24"/>
          <w:szCs w:val="24"/>
        </w:rPr>
        <w:t>Tem-se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como objetivo analisar o funcionamento discursivo desses dizeres, identificando</w:t>
      </w:r>
      <w:r w:rsidR="00CC145E">
        <w:rPr>
          <w:rFonts w:ascii="Times New Roman" w:hAnsi="Times New Roman" w:cs="Times New Roman"/>
          <w:bCs/>
          <w:sz w:val="24"/>
          <w:szCs w:val="24"/>
        </w:rPr>
        <w:t xml:space="preserve"> suas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regularidades e efeitos, </w:t>
      </w:r>
      <w:r w:rsidR="00A30DF8">
        <w:rPr>
          <w:rFonts w:ascii="Times New Roman" w:hAnsi="Times New Roman" w:cs="Times New Roman"/>
          <w:bCs/>
          <w:sz w:val="24"/>
          <w:szCs w:val="24"/>
        </w:rPr>
        <w:t>assim como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sua inscrição em </w:t>
      </w:r>
      <w:r w:rsidR="00844EA0">
        <w:rPr>
          <w:rFonts w:ascii="Times New Roman" w:hAnsi="Times New Roman" w:cs="Times New Roman"/>
          <w:bCs/>
          <w:sz w:val="24"/>
          <w:szCs w:val="24"/>
        </w:rPr>
        <w:t xml:space="preserve">dadas </w:t>
      </w:r>
      <w:r w:rsidRPr="002D7EE7">
        <w:rPr>
          <w:rFonts w:ascii="Times New Roman" w:hAnsi="Times New Roman" w:cs="Times New Roman"/>
          <w:bCs/>
          <w:sz w:val="24"/>
          <w:szCs w:val="24"/>
        </w:rPr>
        <w:t>formações discursivas. A pesquisa se ancora n</w:t>
      </w:r>
      <w:r w:rsidR="00702F9B">
        <w:rPr>
          <w:rFonts w:ascii="Times New Roman" w:hAnsi="Times New Roman" w:cs="Times New Roman"/>
          <w:bCs/>
          <w:sz w:val="24"/>
          <w:szCs w:val="24"/>
        </w:rPr>
        <w:t xml:space="preserve">os pressupostos teórico-metodológicos da 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Análise de Discurso, </w:t>
      </w:r>
      <w:r w:rsidR="00B77D8F">
        <w:rPr>
          <w:rFonts w:ascii="Times New Roman" w:hAnsi="Times New Roman" w:cs="Times New Roman"/>
          <w:bCs/>
          <w:sz w:val="24"/>
          <w:szCs w:val="24"/>
        </w:rPr>
        <w:t>tomando como base os estudos de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Pêcheux (</w:t>
      </w:r>
      <w:r w:rsidR="00466151">
        <w:rPr>
          <w:rFonts w:ascii="Times New Roman" w:hAnsi="Times New Roman" w:cs="Times New Roman"/>
          <w:bCs/>
          <w:sz w:val="24"/>
          <w:szCs w:val="24"/>
        </w:rPr>
        <w:t>2014</w:t>
      </w:r>
      <w:r w:rsidRPr="002D7EE7">
        <w:rPr>
          <w:rFonts w:ascii="Times New Roman" w:hAnsi="Times New Roman" w:cs="Times New Roman"/>
          <w:bCs/>
          <w:sz w:val="24"/>
          <w:szCs w:val="24"/>
        </w:rPr>
        <w:t>)</w:t>
      </w:r>
      <w:r w:rsidR="00F54BAC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E1071A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F54B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54BAC">
        <w:rPr>
          <w:rFonts w:ascii="Times New Roman" w:hAnsi="Times New Roman" w:cs="Times New Roman"/>
          <w:bCs/>
          <w:sz w:val="24"/>
          <w:szCs w:val="24"/>
        </w:rPr>
        <w:t>Orlandi</w:t>
      </w:r>
      <w:proofErr w:type="spellEnd"/>
      <w:r w:rsidR="00F54BA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D60A7">
        <w:rPr>
          <w:rFonts w:ascii="Times New Roman" w:hAnsi="Times New Roman" w:cs="Times New Roman"/>
          <w:bCs/>
          <w:sz w:val="24"/>
          <w:szCs w:val="24"/>
        </w:rPr>
        <w:t>200</w:t>
      </w:r>
      <w:r w:rsidR="00F26AD8">
        <w:rPr>
          <w:rFonts w:ascii="Times New Roman" w:hAnsi="Times New Roman" w:cs="Times New Roman"/>
          <w:bCs/>
          <w:sz w:val="24"/>
          <w:szCs w:val="24"/>
        </w:rPr>
        <w:t>5</w:t>
      </w:r>
      <w:r w:rsidR="001D60A7">
        <w:rPr>
          <w:rFonts w:ascii="Times New Roman" w:hAnsi="Times New Roman" w:cs="Times New Roman"/>
          <w:bCs/>
          <w:sz w:val="24"/>
          <w:szCs w:val="24"/>
        </w:rPr>
        <w:t>)</w:t>
      </w:r>
      <w:r w:rsidRPr="002D7EE7">
        <w:rPr>
          <w:rFonts w:ascii="Times New Roman" w:hAnsi="Times New Roman" w:cs="Times New Roman"/>
          <w:bCs/>
          <w:sz w:val="24"/>
          <w:szCs w:val="24"/>
        </w:rPr>
        <w:t>, a partir da compreensão de que os sentidos são historicamente de</w:t>
      </w:r>
      <w:r w:rsidR="00453EEE">
        <w:rPr>
          <w:rFonts w:ascii="Times New Roman" w:hAnsi="Times New Roman" w:cs="Times New Roman"/>
          <w:bCs/>
          <w:sz w:val="24"/>
          <w:szCs w:val="24"/>
        </w:rPr>
        <w:t>marca</w:t>
      </w:r>
      <w:r w:rsidRPr="002D7EE7">
        <w:rPr>
          <w:rFonts w:ascii="Times New Roman" w:hAnsi="Times New Roman" w:cs="Times New Roman"/>
          <w:bCs/>
          <w:sz w:val="24"/>
          <w:szCs w:val="24"/>
        </w:rPr>
        <w:t>dos, e articula</w:t>
      </w:r>
      <w:r w:rsidR="00142222">
        <w:rPr>
          <w:rFonts w:ascii="Times New Roman" w:hAnsi="Times New Roman" w:cs="Times New Roman"/>
          <w:bCs/>
          <w:sz w:val="24"/>
          <w:szCs w:val="24"/>
        </w:rPr>
        <w:t>ndo</w:t>
      </w:r>
      <w:r w:rsidRPr="002D7EE7">
        <w:rPr>
          <w:rFonts w:ascii="Times New Roman" w:hAnsi="Times New Roman" w:cs="Times New Roman"/>
          <w:bCs/>
          <w:sz w:val="24"/>
          <w:szCs w:val="24"/>
        </w:rPr>
        <w:t>-se ao pensamento de Foucault (199</w:t>
      </w:r>
      <w:r w:rsidR="00E00BBC">
        <w:rPr>
          <w:rFonts w:ascii="Times New Roman" w:hAnsi="Times New Roman" w:cs="Times New Roman"/>
          <w:bCs/>
          <w:sz w:val="24"/>
          <w:szCs w:val="24"/>
        </w:rPr>
        <w:t>8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E00BBC">
        <w:rPr>
          <w:rFonts w:ascii="Times New Roman" w:hAnsi="Times New Roman" w:cs="Times New Roman"/>
          <w:bCs/>
          <w:sz w:val="24"/>
          <w:szCs w:val="24"/>
        </w:rPr>
        <w:t>2008</w:t>
      </w:r>
      <w:r w:rsidRPr="002D7EE7">
        <w:rPr>
          <w:rFonts w:ascii="Times New Roman" w:hAnsi="Times New Roman" w:cs="Times New Roman"/>
          <w:bCs/>
          <w:sz w:val="24"/>
          <w:szCs w:val="24"/>
        </w:rPr>
        <w:t>)</w:t>
      </w:r>
      <w:r w:rsidR="00E107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no que diz respeito às relações entre saber, poder e subjetivação, possibilitando compreender a escola como espaço de produção e regulação de sujeitos. O corpus é composto </w:t>
      </w:r>
      <w:r w:rsidR="00422C37">
        <w:rPr>
          <w:rFonts w:ascii="Times New Roman" w:hAnsi="Times New Roman" w:cs="Times New Roman"/>
          <w:bCs/>
          <w:sz w:val="24"/>
          <w:szCs w:val="24"/>
        </w:rPr>
        <w:t xml:space="preserve">por </w:t>
      </w:r>
      <w:r w:rsidR="00C86B0D">
        <w:rPr>
          <w:rFonts w:ascii="Times New Roman" w:hAnsi="Times New Roman" w:cs="Times New Roman"/>
          <w:bCs/>
          <w:sz w:val="24"/>
          <w:szCs w:val="24"/>
        </w:rPr>
        <w:t xml:space="preserve">enunciados 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422C37">
        <w:rPr>
          <w:rFonts w:ascii="Times New Roman" w:hAnsi="Times New Roman" w:cs="Times New Roman"/>
          <w:bCs/>
          <w:sz w:val="24"/>
          <w:szCs w:val="24"/>
        </w:rPr>
        <w:t>professores</w:t>
      </w:r>
      <w:r w:rsidR="00096F22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730614">
        <w:rPr>
          <w:rFonts w:ascii="Times New Roman" w:hAnsi="Times New Roman" w:cs="Times New Roman"/>
          <w:bCs/>
          <w:sz w:val="24"/>
          <w:szCs w:val="24"/>
        </w:rPr>
        <w:t>gestores</w:t>
      </w:r>
      <w:r w:rsidR="00422C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FC2">
        <w:rPr>
          <w:rFonts w:ascii="Times New Roman" w:hAnsi="Times New Roman" w:cs="Times New Roman"/>
          <w:bCs/>
          <w:sz w:val="24"/>
          <w:szCs w:val="24"/>
        </w:rPr>
        <w:t xml:space="preserve">materializados </w:t>
      </w:r>
      <w:r w:rsidR="00CA77FA">
        <w:rPr>
          <w:rFonts w:ascii="Times New Roman" w:hAnsi="Times New Roman" w:cs="Times New Roman"/>
          <w:bCs/>
          <w:sz w:val="24"/>
          <w:szCs w:val="24"/>
        </w:rPr>
        <w:t>em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FC2">
        <w:rPr>
          <w:rFonts w:ascii="Times New Roman" w:hAnsi="Times New Roman" w:cs="Times New Roman"/>
          <w:bCs/>
          <w:sz w:val="24"/>
          <w:szCs w:val="24"/>
        </w:rPr>
        <w:t>ambiente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escolar, analisados a partir da identificação de regularidades enunciativas e das</w:t>
      </w:r>
      <w:r w:rsidR="00CA77FA">
        <w:rPr>
          <w:rFonts w:ascii="Times New Roman" w:hAnsi="Times New Roman" w:cs="Times New Roman"/>
          <w:bCs/>
          <w:sz w:val="24"/>
          <w:szCs w:val="24"/>
        </w:rPr>
        <w:t xml:space="preserve"> suas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condições de produção. Como resultados parciais, observa-se que a associação entre o feminino e a virtuosidade opera por meio de um efeito de naturalização, que apaga seu caráter </w:t>
      </w:r>
      <w:r w:rsidR="00912847">
        <w:rPr>
          <w:rFonts w:ascii="Times New Roman" w:hAnsi="Times New Roman" w:cs="Times New Roman"/>
          <w:bCs/>
          <w:sz w:val="24"/>
          <w:szCs w:val="24"/>
        </w:rPr>
        <w:t>sócio-histórico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, ao mesmo tempo que institui um parâmetro implícito de avaliação e reforça processos de </w:t>
      </w:r>
      <w:proofErr w:type="spellStart"/>
      <w:r w:rsidRPr="002D7EE7">
        <w:rPr>
          <w:rFonts w:ascii="Times New Roman" w:hAnsi="Times New Roman" w:cs="Times New Roman"/>
          <w:bCs/>
          <w:sz w:val="24"/>
          <w:szCs w:val="24"/>
        </w:rPr>
        <w:t>autorresponsabilização</w:t>
      </w:r>
      <w:proofErr w:type="spellEnd"/>
      <w:r w:rsidR="00A30ACF">
        <w:rPr>
          <w:rFonts w:ascii="Times New Roman" w:hAnsi="Times New Roman" w:cs="Times New Roman"/>
          <w:bCs/>
          <w:sz w:val="24"/>
          <w:szCs w:val="24"/>
        </w:rPr>
        <w:t>/autogoverno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. A pesquisa se insere no campo </w:t>
      </w:r>
      <w:r w:rsidR="002939C1">
        <w:rPr>
          <w:rFonts w:ascii="Times New Roman" w:hAnsi="Times New Roman" w:cs="Times New Roman"/>
          <w:bCs/>
          <w:sz w:val="24"/>
          <w:szCs w:val="24"/>
        </w:rPr>
        <w:t xml:space="preserve">das práticas </w:t>
      </w:r>
      <w:r w:rsidR="00DE225F">
        <w:rPr>
          <w:rFonts w:ascii="Times New Roman" w:hAnsi="Times New Roman" w:cs="Times New Roman"/>
          <w:bCs/>
          <w:sz w:val="24"/>
          <w:szCs w:val="24"/>
        </w:rPr>
        <w:t>educativas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ao</w:t>
      </w:r>
      <w:r w:rsidR="00085DF0">
        <w:rPr>
          <w:rFonts w:ascii="Times New Roman" w:hAnsi="Times New Roman" w:cs="Times New Roman"/>
          <w:bCs/>
          <w:sz w:val="24"/>
          <w:szCs w:val="24"/>
        </w:rPr>
        <w:t xml:space="preserve"> explicitar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que a escola, para além </w:t>
      </w:r>
      <w:r w:rsidR="00422236">
        <w:rPr>
          <w:rFonts w:ascii="Times New Roman" w:hAnsi="Times New Roman" w:cs="Times New Roman"/>
          <w:bCs/>
          <w:sz w:val="24"/>
          <w:szCs w:val="24"/>
        </w:rPr>
        <w:t>do ensino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de conteúdos, participa da produção de saberes sobre modos de ser</w:t>
      </w:r>
      <w:r w:rsidR="00DD27B0">
        <w:rPr>
          <w:rFonts w:ascii="Times New Roman" w:hAnsi="Times New Roman" w:cs="Times New Roman"/>
          <w:bCs/>
          <w:sz w:val="24"/>
          <w:szCs w:val="24"/>
        </w:rPr>
        <w:t>/pensar/agir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05C1">
        <w:rPr>
          <w:rFonts w:ascii="Times New Roman" w:hAnsi="Times New Roman" w:cs="Times New Roman"/>
          <w:bCs/>
          <w:sz w:val="24"/>
          <w:szCs w:val="24"/>
        </w:rPr>
        <w:t>operando n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a manutenção de determinadas normatividades. </w:t>
      </w:r>
      <w:r w:rsidR="00DD27B0">
        <w:rPr>
          <w:rFonts w:ascii="Times New Roman" w:hAnsi="Times New Roman" w:cs="Times New Roman"/>
          <w:bCs/>
          <w:sz w:val="24"/>
          <w:szCs w:val="24"/>
        </w:rPr>
        <w:t xml:space="preserve">O estudo </w:t>
      </w:r>
      <w:r w:rsidR="0074530D">
        <w:rPr>
          <w:rFonts w:ascii="Times New Roman" w:hAnsi="Times New Roman" w:cs="Times New Roman"/>
          <w:bCs/>
          <w:sz w:val="24"/>
          <w:szCs w:val="24"/>
        </w:rPr>
        <w:t xml:space="preserve">contribui, assim, </w:t>
      </w:r>
      <w:r w:rsidR="00B35180">
        <w:rPr>
          <w:rFonts w:ascii="Times New Roman" w:hAnsi="Times New Roman" w:cs="Times New Roman"/>
          <w:bCs/>
          <w:sz w:val="24"/>
          <w:szCs w:val="24"/>
        </w:rPr>
        <w:t>para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tornar visíveis esses processos</w:t>
      </w:r>
      <w:r w:rsidR="00333485">
        <w:rPr>
          <w:rFonts w:ascii="Times New Roman" w:hAnsi="Times New Roman" w:cs="Times New Roman"/>
          <w:bCs/>
          <w:sz w:val="24"/>
          <w:szCs w:val="24"/>
        </w:rPr>
        <w:t xml:space="preserve"> de subjetivação,</w:t>
      </w:r>
      <w:r w:rsidRPr="002D7EE7">
        <w:rPr>
          <w:rFonts w:ascii="Times New Roman" w:hAnsi="Times New Roman" w:cs="Times New Roman"/>
          <w:bCs/>
          <w:sz w:val="24"/>
          <w:szCs w:val="24"/>
        </w:rPr>
        <w:t xml:space="preserve"> abrindo espaço para que sejam interrogados no interior das práticas </w:t>
      </w:r>
      <w:r w:rsidR="00583376">
        <w:rPr>
          <w:rFonts w:ascii="Times New Roman" w:hAnsi="Times New Roman" w:cs="Times New Roman"/>
          <w:bCs/>
          <w:sz w:val="24"/>
          <w:szCs w:val="24"/>
        </w:rPr>
        <w:t>escolares</w:t>
      </w:r>
      <w:r w:rsidRPr="002D7E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0B279F" w14:textId="77777777" w:rsidR="00125E88" w:rsidRDefault="00125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F730B2" w14:textId="77777777" w:rsidR="006D796E" w:rsidRDefault="00F00CA8" w:rsidP="006D7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EF64C32" w14:textId="7BD7B993" w:rsidR="002C4D14" w:rsidRPr="006D796E" w:rsidRDefault="002C4D14" w:rsidP="006D7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D796E">
        <w:rPr>
          <w:rFonts w:ascii="Times New Roman" w:hAnsi="Times New Roman" w:cs="Times New Roman"/>
          <w:sz w:val="24"/>
          <w:szCs w:val="24"/>
        </w:rPr>
        <w:t xml:space="preserve">FOUCAULT </w:t>
      </w:r>
      <w:r w:rsidR="009D6AE9" w:rsidRPr="006D796E">
        <w:rPr>
          <w:rFonts w:ascii="Times New Roman" w:hAnsi="Times New Roman" w:cs="Times New Roman"/>
          <w:sz w:val="24"/>
          <w:szCs w:val="24"/>
        </w:rPr>
        <w:t>Michel</w:t>
      </w:r>
      <w:r w:rsidRPr="006D796E">
        <w:rPr>
          <w:rFonts w:ascii="Times New Roman" w:hAnsi="Times New Roman" w:cs="Times New Roman"/>
          <w:sz w:val="24"/>
          <w:szCs w:val="24"/>
        </w:rPr>
        <w:t xml:space="preserve">. </w:t>
      </w:r>
      <w:r w:rsidRPr="006D796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D5437F" w:rsidRPr="006D796E">
        <w:rPr>
          <w:rFonts w:ascii="Times New Roman" w:hAnsi="Times New Roman" w:cs="Times New Roman"/>
          <w:b/>
          <w:bCs/>
          <w:sz w:val="24"/>
          <w:szCs w:val="24"/>
        </w:rPr>
        <w:t>microfísica</w:t>
      </w:r>
      <w:r w:rsidRPr="006D796E">
        <w:rPr>
          <w:rFonts w:ascii="Times New Roman" w:hAnsi="Times New Roman" w:cs="Times New Roman"/>
          <w:b/>
          <w:bCs/>
          <w:sz w:val="24"/>
          <w:szCs w:val="24"/>
        </w:rPr>
        <w:t xml:space="preserve"> do poder</w:t>
      </w:r>
      <w:r w:rsidRPr="006D796E">
        <w:rPr>
          <w:rFonts w:ascii="Times New Roman" w:hAnsi="Times New Roman" w:cs="Times New Roman"/>
          <w:sz w:val="24"/>
          <w:szCs w:val="24"/>
        </w:rPr>
        <w:t xml:space="preserve">. 13. ed. </w:t>
      </w:r>
      <w:r w:rsidR="00223A36" w:rsidRPr="006D796E">
        <w:rPr>
          <w:rFonts w:ascii="Times New Roman" w:hAnsi="Times New Roman" w:cs="Times New Roman"/>
          <w:sz w:val="24"/>
          <w:szCs w:val="24"/>
        </w:rPr>
        <w:t xml:space="preserve">Trad. </w:t>
      </w:r>
      <w:r w:rsidR="00E021E2" w:rsidRPr="006D796E">
        <w:rPr>
          <w:rFonts w:ascii="Times New Roman" w:hAnsi="Times New Roman" w:cs="Times New Roman"/>
          <w:sz w:val="24"/>
          <w:szCs w:val="24"/>
        </w:rPr>
        <w:t xml:space="preserve">Roberto Machado. </w:t>
      </w:r>
      <w:r w:rsidRPr="006D796E">
        <w:rPr>
          <w:rFonts w:ascii="Times New Roman" w:hAnsi="Times New Roman" w:cs="Times New Roman"/>
          <w:sz w:val="24"/>
          <w:szCs w:val="24"/>
        </w:rPr>
        <w:t>Rio de Janeiro: Graal, 1998</w:t>
      </w:r>
      <w:r w:rsidR="00D5437F" w:rsidRPr="006D796E">
        <w:rPr>
          <w:rFonts w:ascii="Times New Roman" w:hAnsi="Times New Roman" w:cs="Times New Roman"/>
          <w:sz w:val="24"/>
          <w:szCs w:val="24"/>
        </w:rPr>
        <w:t>.</w:t>
      </w:r>
    </w:p>
    <w:p w14:paraId="22C49C18" w14:textId="4C8AF461" w:rsidR="002C4D14" w:rsidRDefault="002C4D14" w:rsidP="002C4D14">
      <w:pPr>
        <w:pStyle w:val="NormalWeb"/>
      </w:pPr>
      <w:r>
        <w:t>FOUCAULT, Miche</w:t>
      </w:r>
      <w:r w:rsidR="009D6AE9">
        <w:t>l</w:t>
      </w:r>
      <w:r w:rsidR="00D5437F">
        <w:t xml:space="preserve">. </w:t>
      </w:r>
      <w:r w:rsidRPr="00D5437F">
        <w:rPr>
          <w:b/>
          <w:bCs/>
        </w:rPr>
        <w:t>Arqueologia do saber</w:t>
      </w:r>
      <w:r>
        <w:t xml:space="preserve">. 7. </w:t>
      </w:r>
      <w:r w:rsidR="00930F4B">
        <w:t>e</w:t>
      </w:r>
      <w:r>
        <w:t>d</w:t>
      </w:r>
      <w:r w:rsidR="00930F4B">
        <w:t xml:space="preserve">. </w:t>
      </w:r>
      <w:r w:rsidR="00223A36">
        <w:t>Trad.</w:t>
      </w:r>
      <w:r w:rsidR="0011453E">
        <w:t xml:space="preserve"> </w:t>
      </w:r>
      <w:r w:rsidR="00183CB1">
        <w:t>Luiz</w:t>
      </w:r>
      <w:r w:rsidR="00223A36">
        <w:t xml:space="preserve"> </w:t>
      </w:r>
      <w:r w:rsidR="00183CB1">
        <w:t>Felipe</w:t>
      </w:r>
      <w:r w:rsidR="0038276F">
        <w:t xml:space="preserve"> Baeta</w:t>
      </w:r>
      <w:r w:rsidR="00183CB1">
        <w:t xml:space="preserve"> Neves. </w:t>
      </w:r>
      <w:r>
        <w:t>Rio de Janeiro: Forense Universit</w:t>
      </w:r>
      <w:r>
        <w:rPr>
          <w:rFonts w:hint="eastAsia"/>
        </w:rPr>
        <w:t>á</w:t>
      </w:r>
      <w:r>
        <w:t>ria, 2008</w:t>
      </w:r>
      <w:r w:rsidR="00D5437F">
        <w:t>.</w:t>
      </w:r>
    </w:p>
    <w:p w14:paraId="44FD114B" w14:textId="0290FDD5" w:rsidR="008B3A83" w:rsidRDefault="008B3A83" w:rsidP="002C4D14">
      <w:pPr>
        <w:pStyle w:val="NormalWeb"/>
      </w:pPr>
      <w:r>
        <w:t xml:space="preserve">ORLANDI, </w:t>
      </w:r>
      <w:proofErr w:type="spellStart"/>
      <w:r>
        <w:t>Eni</w:t>
      </w:r>
      <w:proofErr w:type="spellEnd"/>
      <w:r>
        <w:t xml:space="preserve"> Puccinelli. </w:t>
      </w:r>
      <w:r w:rsidRPr="00095BF7">
        <w:rPr>
          <w:b/>
          <w:bCs/>
        </w:rPr>
        <w:t>Análise de Discurso</w:t>
      </w:r>
      <w:r>
        <w:t xml:space="preserve">: princípios e procedimentos. 6. </w:t>
      </w:r>
      <w:r w:rsidR="00095BF7">
        <w:t>e</w:t>
      </w:r>
      <w:r>
        <w:t>d. Campinas: Pontes</w:t>
      </w:r>
      <w:r w:rsidR="00095BF7">
        <w:t>,</w:t>
      </w:r>
      <w:r>
        <w:t xml:space="preserve"> 2005.</w:t>
      </w:r>
    </w:p>
    <w:p w14:paraId="7AD15EDD" w14:textId="2A01946A" w:rsidR="00125E88" w:rsidRPr="00F02A83" w:rsidRDefault="002C4D14">
      <w:pPr>
        <w:rPr>
          <w:rFonts w:ascii="Times New Roman" w:hAnsi="Times New Roman" w:cs="Times New Roman"/>
          <w:sz w:val="24"/>
          <w:szCs w:val="24"/>
        </w:rPr>
      </w:pPr>
      <w:r w:rsidRPr="00F02A83">
        <w:rPr>
          <w:rFonts w:ascii="Times New Roman" w:hAnsi="Times New Roman" w:cs="Times New Roman"/>
          <w:sz w:val="24"/>
          <w:szCs w:val="24"/>
        </w:rPr>
        <w:t>PÊCHEUX, Michel.</w:t>
      </w:r>
      <w:r w:rsidRPr="00D5437F">
        <w:rPr>
          <w:rFonts w:ascii="Times New Roman" w:hAnsi="Times New Roman" w:cs="Times New Roman"/>
          <w:b/>
          <w:bCs/>
          <w:sz w:val="24"/>
          <w:szCs w:val="24"/>
        </w:rPr>
        <w:t xml:space="preserve"> Semântica e discurso</w:t>
      </w:r>
      <w:r w:rsidR="00D5437F">
        <w:rPr>
          <w:rFonts w:ascii="Times New Roman" w:hAnsi="Times New Roman" w:cs="Times New Roman"/>
          <w:sz w:val="24"/>
          <w:szCs w:val="24"/>
        </w:rPr>
        <w:t>:</w:t>
      </w:r>
      <w:r w:rsidRPr="00F02A83">
        <w:rPr>
          <w:rFonts w:ascii="Times New Roman" w:hAnsi="Times New Roman" w:cs="Times New Roman"/>
          <w:sz w:val="24"/>
          <w:szCs w:val="24"/>
        </w:rPr>
        <w:t xml:space="preserve"> uma cr</w:t>
      </w:r>
      <w:r w:rsidR="00D5437F">
        <w:rPr>
          <w:rFonts w:ascii="Times New Roman" w:hAnsi="Times New Roman" w:cs="Times New Roman"/>
          <w:sz w:val="24"/>
          <w:szCs w:val="24"/>
        </w:rPr>
        <w:t>í</w:t>
      </w:r>
      <w:r w:rsidRPr="00F02A83">
        <w:rPr>
          <w:rFonts w:ascii="Times New Roman" w:hAnsi="Times New Roman" w:cs="Times New Roman"/>
          <w:sz w:val="24"/>
          <w:szCs w:val="24"/>
        </w:rPr>
        <w:t>tica à afirmação do óbvio</w:t>
      </w:r>
      <w:r w:rsidR="00990828">
        <w:rPr>
          <w:rFonts w:ascii="Times New Roman" w:hAnsi="Times New Roman" w:cs="Times New Roman"/>
          <w:sz w:val="24"/>
          <w:szCs w:val="24"/>
        </w:rPr>
        <w:t xml:space="preserve">. </w:t>
      </w:r>
      <w:r w:rsidR="00990828" w:rsidRPr="00F02A83">
        <w:rPr>
          <w:rFonts w:ascii="Times New Roman" w:hAnsi="Times New Roman" w:cs="Times New Roman"/>
          <w:sz w:val="24"/>
          <w:szCs w:val="24"/>
        </w:rPr>
        <w:t>5. ed</w:t>
      </w:r>
      <w:r w:rsidR="00990828">
        <w:rPr>
          <w:rFonts w:ascii="Times New Roman" w:hAnsi="Times New Roman" w:cs="Times New Roman"/>
          <w:sz w:val="24"/>
          <w:szCs w:val="24"/>
        </w:rPr>
        <w:t xml:space="preserve">. </w:t>
      </w:r>
      <w:r w:rsidR="00F00CA8">
        <w:rPr>
          <w:rFonts w:ascii="Times New Roman" w:hAnsi="Times New Roman" w:cs="Times New Roman"/>
          <w:sz w:val="24"/>
          <w:szCs w:val="24"/>
        </w:rPr>
        <w:t>Trad.</w:t>
      </w:r>
      <w:r w:rsidR="00886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7AA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="008867AA">
        <w:rPr>
          <w:rFonts w:ascii="Times New Roman" w:hAnsi="Times New Roman" w:cs="Times New Roman"/>
          <w:sz w:val="24"/>
          <w:szCs w:val="24"/>
        </w:rPr>
        <w:t xml:space="preserve"> </w:t>
      </w:r>
      <w:r w:rsidR="00B31CD2">
        <w:rPr>
          <w:rFonts w:ascii="Times New Roman" w:hAnsi="Times New Roman" w:cs="Times New Roman"/>
          <w:sz w:val="24"/>
          <w:szCs w:val="24"/>
        </w:rPr>
        <w:t xml:space="preserve">Puccinelli </w:t>
      </w:r>
      <w:proofErr w:type="spellStart"/>
      <w:r w:rsidR="00B31CD2">
        <w:rPr>
          <w:rFonts w:ascii="Times New Roman" w:hAnsi="Times New Roman" w:cs="Times New Roman"/>
          <w:sz w:val="24"/>
          <w:szCs w:val="24"/>
        </w:rPr>
        <w:t>O</w:t>
      </w:r>
      <w:r w:rsidR="008867AA">
        <w:rPr>
          <w:rFonts w:ascii="Times New Roman" w:hAnsi="Times New Roman" w:cs="Times New Roman"/>
          <w:sz w:val="24"/>
          <w:szCs w:val="24"/>
        </w:rPr>
        <w:t>rlandi</w:t>
      </w:r>
      <w:proofErr w:type="spellEnd"/>
      <w:r w:rsidR="008867AA">
        <w:rPr>
          <w:rFonts w:ascii="Times New Roman" w:hAnsi="Times New Roman" w:cs="Times New Roman"/>
          <w:sz w:val="24"/>
          <w:szCs w:val="24"/>
        </w:rPr>
        <w:t>.</w:t>
      </w:r>
      <w:r w:rsidR="002A1F41">
        <w:rPr>
          <w:rFonts w:ascii="Times New Roman" w:hAnsi="Times New Roman" w:cs="Times New Roman"/>
          <w:sz w:val="24"/>
          <w:szCs w:val="24"/>
        </w:rPr>
        <w:t xml:space="preserve"> </w:t>
      </w:r>
      <w:r w:rsidRPr="00F02A83">
        <w:rPr>
          <w:rFonts w:ascii="Times New Roman" w:hAnsi="Times New Roman" w:cs="Times New Roman"/>
          <w:sz w:val="24"/>
          <w:szCs w:val="24"/>
        </w:rPr>
        <w:t>Campinas: Editora da Unicamp, 2014</w:t>
      </w:r>
      <w:r w:rsidR="00930F4B">
        <w:rPr>
          <w:rFonts w:ascii="Times New Roman" w:hAnsi="Times New Roman" w:cs="Times New Roman"/>
          <w:sz w:val="24"/>
          <w:szCs w:val="24"/>
        </w:rPr>
        <w:t>.</w:t>
      </w:r>
    </w:p>
    <w:sectPr w:rsidR="00125E88" w:rsidRPr="00F02A83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2BB3" w14:textId="77777777" w:rsidR="00E0065C" w:rsidRDefault="00E0065C">
      <w:pPr>
        <w:spacing w:line="240" w:lineRule="auto"/>
      </w:pPr>
      <w:r>
        <w:separator/>
      </w:r>
    </w:p>
  </w:endnote>
  <w:endnote w:type="continuationSeparator" w:id="0">
    <w:p w14:paraId="30327CA3" w14:textId="77777777" w:rsidR="00E0065C" w:rsidRDefault="00E00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07A1" w14:textId="77777777" w:rsidR="00E0065C" w:rsidRDefault="00E0065C">
      <w:pPr>
        <w:spacing w:after="0"/>
      </w:pPr>
      <w:r>
        <w:separator/>
      </w:r>
    </w:p>
  </w:footnote>
  <w:footnote w:type="continuationSeparator" w:id="0">
    <w:p w14:paraId="15613FEA" w14:textId="77777777" w:rsidR="00E0065C" w:rsidRDefault="00E006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883A" w14:textId="77777777" w:rsidR="00125E88" w:rsidRDefault="00F00CA8">
    <w:pPr>
      <w:pStyle w:val="Cabealho"/>
    </w:pPr>
    <w:r>
      <w:rPr>
        <w:noProof/>
      </w:rPr>
      <w:drawing>
        <wp:inline distT="0" distB="0" distL="114300" distR="114300" wp14:anchorId="1EB62FF2" wp14:editId="4E5A0CC9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5A6C"/>
    <w:rsid w:val="00084ED2"/>
    <w:rsid w:val="00085DF0"/>
    <w:rsid w:val="00095BF7"/>
    <w:rsid w:val="00096F22"/>
    <w:rsid w:val="000B16D9"/>
    <w:rsid w:val="0011453E"/>
    <w:rsid w:val="00125E88"/>
    <w:rsid w:val="00142222"/>
    <w:rsid w:val="001666CF"/>
    <w:rsid w:val="00172A27"/>
    <w:rsid w:val="00183CB1"/>
    <w:rsid w:val="001A7081"/>
    <w:rsid w:val="001D60A7"/>
    <w:rsid w:val="00223A36"/>
    <w:rsid w:val="002939C1"/>
    <w:rsid w:val="002A1F41"/>
    <w:rsid w:val="002B1386"/>
    <w:rsid w:val="002C4D14"/>
    <w:rsid w:val="002D0404"/>
    <w:rsid w:val="002D7EE7"/>
    <w:rsid w:val="00333485"/>
    <w:rsid w:val="003805C1"/>
    <w:rsid w:val="0038276F"/>
    <w:rsid w:val="00422236"/>
    <w:rsid w:val="00422C37"/>
    <w:rsid w:val="00453EEE"/>
    <w:rsid w:val="00466151"/>
    <w:rsid w:val="00476FC2"/>
    <w:rsid w:val="00575AEF"/>
    <w:rsid w:val="00583376"/>
    <w:rsid w:val="00662194"/>
    <w:rsid w:val="0066399B"/>
    <w:rsid w:val="00663F63"/>
    <w:rsid w:val="00677F30"/>
    <w:rsid w:val="006D796E"/>
    <w:rsid w:val="00702F9B"/>
    <w:rsid w:val="00730614"/>
    <w:rsid w:val="00741E2B"/>
    <w:rsid w:val="0074530D"/>
    <w:rsid w:val="0077507B"/>
    <w:rsid w:val="007B7B86"/>
    <w:rsid w:val="00843626"/>
    <w:rsid w:val="00844EA0"/>
    <w:rsid w:val="008867AA"/>
    <w:rsid w:val="008B3A83"/>
    <w:rsid w:val="00912847"/>
    <w:rsid w:val="00930F4B"/>
    <w:rsid w:val="00990828"/>
    <w:rsid w:val="00997EB7"/>
    <w:rsid w:val="009B0A58"/>
    <w:rsid w:val="009C1DA5"/>
    <w:rsid w:val="009D6AE9"/>
    <w:rsid w:val="009E6004"/>
    <w:rsid w:val="00A03569"/>
    <w:rsid w:val="00A173E2"/>
    <w:rsid w:val="00A30ACF"/>
    <w:rsid w:val="00A30DF8"/>
    <w:rsid w:val="00A42B93"/>
    <w:rsid w:val="00A47C9E"/>
    <w:rsid w:val="00AB4546"/>
    <w:rsid w:val="00AD6B71"/>
    <w:rsid w:val="00AE54D8"/>
    <w:rsid w:val="00AF0D14"/>
    <w:rsid w:val="00B11D46"/>
    <w:rsid w:val="00B31CD2"/>
    <w:rsid w:val="00B35180"/>
    <w:rsid w:val="00B77D8F"/>
    <w:rsid w:val="00B82A8F"/>
    <w:rsid w:val="00B94B6D"/>
    <w:rsid w:val="00BC2FF6"/>
    <w:rsid w:val="00C0338A"/>
    <w:rsid w:val="00C701B9"/>
    <w:rsid w:val="00C86B0D"/>
    <w:rsid w:val="00CA77FA"/>
    <w:rsid w:val="00CC145E"/>
    <w:rsid w:val="00CC4C37"/>
    <w:rsid w:val="00CD49B1"/>
    <w:rsid w:val="00CF2BB2"/>
    <w:rsid w:val="00D44844"/>
    <w:rsid w:val="00D5437F"/>
    <w:rsid w:val="00DD27B0"/>
    <w:rsid w:val="00DD68B0"/>
    <w:rsid w:val="00DE225F"/>
    <w:rsid w:val="00E0065C"/>
    <w:rsid w:val="00E00BBC"/>
    <w:rsid w:val="00E021E2"/>
    <w:rsid w:val="00E1071A"/>
    <w:rsid w:val="00F00CA8"/>
    <w:rsid w:val="00F02A83"/>
    <w:rsid w:val="00F26AD8"/>
    <w:rsid w:val="00F54BAC"/>
    <w:rsid w:val="00FE0755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9BC5E4"/>
  <w15:docId w15:val="{C1856D43-C13F-5A44-8167-7546031D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4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Fabiana Barbosa de Souza</cp:lastModifiedBy>
  <cp:revision>2</cp:revision>
  <dcterms:created xsi:type="dcterms:W3CDTF">2026-05-04T02:19:00Z</dcterms:created>
  <dcterms:modified xsi:type="dcterms:W3CDTF">2026-05-04T02:19:00Z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