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7D26" w14:textId="33EF85B3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111EEB" w14:textId="77777777" w:rsidR="00BA4B04" w:rsidRPr="00BA4B04" w:rsidRDefault="00BA4B04" w:rsidP="00BA4B0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4B04">
        <w:rPr>
          <w:rFonts w:ascii="Times New Roman" w:hAnsi="Times New Roman" w:cs="Times New Roman"/>
          <w:b/>
          <w:bCs/>
          <w:sz w:val="28"/>
          <w:szCs w:val="28"/>
        </w:rPr>
        <w:t>INSTRUMENTOS DE AVALIAÇÃO NO TRANSTORNO DO ESPECTRO AUTISTA NO BRASIL</w:t>
      </w:r>
    </w:p>
    <w:p w14:paraId="4CFB10B5" w14:textId="52D5B39F" w:rsidR="00C45D74" w:rsidRDefault="004B2BD6" w:rsidP="00272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34288171"/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BA4B04">
        <w:rPr>
          <w:rFonts w:ascii="Times New Roman" w:hAnsi="Times New Roman" w:cs="Times New Roman"/>
          <w:sz w:val="24"/>
          <w:szCs w:val="24"/>
        </w:rPr>
        <w:t xml:space="preserve">O Transtorno do Espectro Autista (TEA) é marcado por desordens de origem neurobiológica, </w:t>
      </w:r>
      <w:r w:rsidR="0044077D">
        <w:rPr>
          <w:rFonts w:ascii="Times New Roman" w:hAnsi="Times New Roman" w:cs="Times New Roman"/>
          <w:sz w:val="24"/>
          <w:szCs w:val="24"/>
        </w:rPr>
        <w:t>com</w:t>
      </w:r>
      <w:r w:rsidR="00BA4B04">
        <w:rPr>
          <w:rFonts w:ascii="Times New Roman" w:hAnsi="Times New Roman" w:cs="Times New Roman"/>
          <w:sz w:val="24"/>
          <w:szCs w:val="24"/>
        </w:rPr>
        <w:t xml:space="preserve"> prejuízos referentes aos comportamentos restritivos e repetitivos</w:t>
      </w:r>
      <w:r w:rsidR="00346D4A">
        <w:rPr>
          <w:rFonts w:ascii="Times New Roman" w:hAnsi="Times New Roman" w:cs="Times New Roman"/>
          <w:sz w:val="24"/>
          <w:szCs w:val="24"/>
        </w:rPr>
        <w:t xml:space="preserve"> e </w:t>
      </w:r>
      <w:r w:rsidR="00BA4B04">
        <w:rPr>
          <w:rFonts w:ascii="Times New Roman" w:hAnsi="Times New Roman" w:cs="Times New Roman"/>
          <w:sz w:val="24"/>
          <w:szCs w:val="24"/>
        </w:rPr>
        <w:t>déficits na área sociocomunicativa. O diagnóstico é predominantemente clínico</w:t>
      </w:r>
      <w:r w:rsidR="00E9328C">
        <w:rPr>
          <w:rFonts w:ascii="Times New Roman" w:hAnsi="Times New Roman" w:cs="Times New Roman"/>
          <w:sz w:val="24"/>
          <w:szCs w:val="24"/>
        </w:rPr>
        <w:t xml:space="preserve"> e</w:t>
      </w:r>
      <w:r w:rsidR="00BA4B04">
        <w:rPr>
          <w:rFonts w:ascii="Times New Roman" w:hAnsi="Times New Roman" w:cs="Times New Roman"/>
          <w:sz w:val="24"/>
          <w:szCs w:val="24"/>
        </w:rPr>
        <w:t xml:space="preserve"> a avaliação </w:t>
      </w:r>
      <w:r w:rsidR="00631E92">
        <w:rPr>
          <w:rFonts w:ascii="Times New Roman" w:hAnsi="Times New Roman" w:cs="Times New Roman"/>
          <w:sz w:val="24"/>
          <w:szCs w:val="24"/>
        </w:rPr>
        <w:t xml:space="preserve">é </w:t>
      </w:r>
      <w:r w:rsidR="00BA4B04">
        <w:rPr>
          <w:rFonts w:ascii="Times New Roman" w:hAnsi="Times New Roman" w:cs="Times New Roman"/>
          <w:sz w:val="24"/>
          <w:szCs w:val="24"/>
        </w:rPr>
        <w:t>baseada nos testes padrão-ouro ADI-R e ADOS-G. No Brasil</w:t>
      </w:r>
      <w:r w:rsidR="00631E92">
        <w:rPr>
          <w:rFonts w:ascii="Times New Roman" w:hAnsi="Times New Roman" w:cs="Times New Roman"/>
          <w:sz w:val="24"/>
          <w:szCs w:val="24"/>
        </w:rPr>
        <w:t>,</w:t>
      </w:r>
      <w:r w:rsidR="00BA4B04">
        <w:rPr>
          <w:rFonts w:ascii="Times New Roman" w:hAnsi="Times New Roman" w:cs="Times New Roman"/>
          <w:sz w:val="24"/>
          <w:szCs w:val="24"/>
        </w:rPr>
        <w:t xml:space="preserve"> os instrumentos de avaliação precisam ser validados pelo Conselho Federal de Psicologia (CFP) através da submissão ao Sistema de Avaliação de Testes Psicológicos (SATEPSI)</w:t>
      </w:r>
      <w:r w:rsidR="00BA4B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Durante o processo avaliativo, o profissional pode adotar </w:t>
      </w:r>
      <w:r w:rsidR="0036700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A4B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diferentes abordagens de interação com a criança: (I) responsiva, na qual o foco é a sincronia; (II) diretiva, na qual as ações da criança são dirigidas ou controladas pelo avaliador, mas com sensibilidade às necessidades do avaliado; (III) intrusiva, que se diferencia do modelo diretivo apenas em relação ao fato de que o avaliador não tem sensibilidade em relação às necessidades da criança.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BA4B04">
        <w:rPr>
          <w:rFonts w:ascii="Times New Roman" w:hAnsi="Times New Roman" w:cs="Times New Roman"/>
          <w:bCs/>
          <w:sz w:val="24"/>
          <w:szCs w:val="24"/>
        </w:rPr>
        <w:t xml:space="preserve">Analisar os principais instrumentos de avaliação do TEA no Brasil, identificando suas idiossincrasias e as dificuldades enfrentadas.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A4B04" w:rsidRPr="00A625F3">
        <w:rPr>
          <w:rFonts w:ascii="Times New Roman" w:hAnsi="Times New Roman" w:cs="Times New Roman"/>
          <w:sz w:val="24"/>
          <w:szCs w:val="24"/>
        </w:rPr>
        <w:t xml:space="preserve">Trata-se </w:t>
      </w:r>
      <w:r w:rsidR="00BA4B04">
        <w:rPr>
          <w:rFonts w:ascii="Times New Roman" w:hAnsi="Times New Roman" w:cs="Times New Roman"/>
          <w:sz w:val="24"/>
          <w:szCs w:val="24"/>
        </w:rPr>
        <w:t>de um</w:t>
      </w:r>
      <w:r w:rsidR="00F375C8">
        <w:rPr>
          <w:rFonts w:ascii="Times New Roman" w:hAnsi="Times New Roman" w:cs="Times New Roman"/>
          <w:sz w:val="24"/>
          <w:szCs w:val="24"/>
        </w:rPr>
        <w:t>a revisão integrativa</w:t>
      </w:r>
      <w:r w:rsidR="00631E92">
        <w:rPr>
          <w:rFonts w:ascii="Times New Roman" w:hAnsi="Times New Roman" w:cs="Times New Roman"/>
          <w:sz w:val="24"/>
          <w:szCs w:val="24"/>
        </w:rPr>
        <w:t xml:space="preserve"> de literatura</w:t>
      </w:r>
      <w:r w:rsidR="00F375C8">
        <w:rPr>
          <w:rFonts w:ascii="Times New Roman" w:hAnsi="Times New Roman" w:cs="Times New Roman"/>
          <w:sz w:val="24"/>
          <w:szCs w:val="24"/>
        </w:rPr>
        <w:t xml:space="preserve"> </w:t>
      </w:r>
      <w:r w:rsidR="00BA4B04" w:rsidRPr="00A625F3">
        <w:rPr>
          <w:rFonts w:ascii="Times New Roman" w:hAnsi="Times New Roman" w:cs="Times New Roman"/>
          <w:sz w:val="24"/>
          <w:szCs w:val="24"/>
        </w:rPr>
        <w:t>realizad</w:t>
      </w:r>
      <w:r w:rsidR="00F375C8">
        <w:rPr>
          <w:rFonts w:ascii="Times New Roman" w:hAnsi="Times New Roman" w:cs="Times New Roman"/>
          <w:sz w:val="24"/>
          <w:szCs w:val="24"/>
        </w:rPr>
        <w:t>a</w:t>
      </w:r>
      <w:r w:rsidR="00BA4B04" w:rsidRPr="00A625F3">
        <w:rPr>
          <w:rFonts w:ascii="Times New Roman" w:hAnsi="Times New Roman" w:cs="Times New Roman"/>
          <w:sz w:val="24"/>
          <w:szCs w:val="24"/>
        </w:rPr>
        <w:t xml:space="preserve"> </w:t>
      </w:r>
      <w:r w:rsidR="00631E92">
        <w:rPr>
          <w:rFonts w:ascii="Times New Roman" w:hAnsi="Times New Roman" w:cs="Times New Roman"/>
          <w:sz w:val="24"/>
          <w:szCs w:val="24"/>
        </w:rPr>
        <w:t>em</w:t>
      </w:r>
      <w:r w:rsidR="00BA4B04" w:rsidRPr="00A625F3">
        <w:rPr>
          <w:rFonts w:ascii="Times New Roman" w:hAnsi="Times New Roman" w:cs="Times New Roman"/>
          <w:sz w:val="24"/>
          <w:szCs w:val="24"/>
        </w:rPr>
        <w:t xml:space="preserve"> </w:t>
      </w:r>
      <w:r w:rsidR="00BA4B04">
        <w:rPr>
          <w:rFonts w:ascii="Times New Roman" w:hAnsi="Times New Roman" w:cs="Times New Roman"/>
          <w:sz w:val="24"/>
          <w:szCs w:val="24"/>
        </w:rPr>
        <w:t>maio</w:t>
      </w:r>
      <w:r w:rsidR="00BA4B04" w:rsidRPr="00A625F3">
        <w:rPr>
          <w:rFonts w:ascii="Times New Roman" w:hAnsi="Times New Roman" w:cs="Times New Roman"/>
          <w:sz w:val="24"/>
          <w:szCs w:val="24"/>
        </w:rPr>
        <w:t xml:space="preserve"> de 202</w:t>
      </w:r>
      <w:r w:rsidR="00BA4B04">
        <w:rPr>
          <w:rFonts w:ascii="Times New Roman" w:hAnsi="Times New Roman" w:cs="Times New Roman"/>
          <w:sz w:val="24"/>
          <w:szCs w:val="24"/>
        </w:rPr>
        <w:t>3</w:t>
      </w:r>
      <w:r w:rsidR="00631E92">
        <w:rPr>
          <w:rFonts w:ascii="Times New Roman" w:hAnsi="Times New Roman" w:cs="Times New Roman"/>
          <w:sz w:val="24"/>
          <w:szCs w:val="24"/>
        </w:rPr>
        <w:t>. A</w:t>
      </w:r>
      <w:r w:rsidR="00BA4B04" w:rsidRPr="00A625F3">
        <w:rPr>
          <w:rFonts w:ascii="Times New Roman" w:hAnsi="Times New Roman" w:cs="Times New Roman"/>
          <w:sz w:val="24"/>
          <w:szCs w:val="24"/>
        </w:rPr>
        <w:t xml:space="preserve"> busca bibliográfica foi limitada </w:t>
      </w:r>
      <w:r w:rsidR="00631E92">
        <w:rPr>
          <w:rFonts w:ascii="Times New Roman" w:hAnsi="Times New Roman" w:cs="Times New Roman"/>
          <w:sz w:val="24"/>
          <w:szCs w:val="24"/>
        </w:rPr>
        <w:t>aos artigos</w:t>
      </w:r>
      <w:r w:rsidR="00BA4B04" w:rsidRPr="00A625F3">
        <w:rPr>
          <w:rFonts w:ascii="Times New Roman" w:hAnsi="Times New Roman" w:cs="Times New Roman"/>
          <w:sz w:val="24"/>
          <w:szCs w:val="24"/>
        </w:rPr>
        <w:t xml:space="preserve"> publicados entre 2</w:t>
      </w:r>
      <w:r w:rsidR="00BA4B04">
        <w:rPr>
          <w:rFonts w:ascii="Times New Roman" w:hAnsi="Times New Roman" w:cs="Times New Roman"/>
          <w:sz w:val="24"/>
          <w:szCs w:val="24"/>
        </w:rPr>
        <w:t>0</w:t>
      </w:r>
      <w:r w:rsidR="00BA4B04" w:rsidRPr="00A625F3">
        <w:rPr>
          <w:rFonts w:ascii="Times New Roman" w:hAnsi="Times New Roman" w:cs="Times New Roman"/>
          <w:sz w:val="24"/>
          <w:szCs w:val="24"/>
        </w:rPr>
        <w:t>1</w:t>
      </w:r>
      <w:r w:rsidR="00BA4B04">
        <w:rPr>
          <w:rFonts w:ascii="Times New Roman" w:hAnsi="Times New Roman" w:cs="Times New Roman"/>
          <w:sz w:val="24"/>
          <w:szCs w:val="24"/>
        </w:rPr>
        <w:t>5</w:t>
      </w:r>
      <w:r w:rsidR="00BA4B04" w:rsidRPr="00A625F3">
        <w:rPr>
          <w:rFonts w:ascii="Times New Roman" w:hAnsi="Times New Roman" w:cs="Times New Roman"/>
          <w:sz w:val="24"/>
          <w:szCs w:val="24"/>
        </w:rPr>
        <w:t xml:space="preserve"> e 202</w:t>
      </w:r>
      <w:r w:rsidR="00BA4B04">
        <w:rPr>
          <w:rFonts w:ascii="Times New Roman" w:hAnsi="Times New Roman" w:cs="Times New Roman"/>
          <w:sz w:val="24"/>
          <w:szCs w:val="24"/>
        </w:rPr>
        <w:t>3</w:t>
      </w:r>
      <w:r w:rsidR="00BA4B04" w:rsidRPr="00A625F3">
        <w:rPr>
          <w:rFonts w:ascii="Times New Roman" w:hAnsi="Times New Roman" w:cs="Times New Roman"/>
          <w:sz w:val="24"/>
          <w:szCs w:val="24"/>
        </w:rPr>
        <w:t xml:space="preserve">, nas bases de dados </w:t>
      </w:r>
      <w:r w:rsidR="00BA4B04">
        <w:rPr>
          <w:rFonts w:ascii="Times New Roman" w:hAnsi="Times New Roman" w:cs="Times New Roman"/>
          <w:sz w:val="24"/>
          <w:szCs w:val="24"/>
        </w:rPr>
        <w:t>LILACS</w:t>
      </w:r>
      <w:r w:rsidR="00BA4B04" w:rsidRPr="00A625F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BA4B04" w:rsidRPr="00A625F3">
        <w:rPr>
          <w:rFonts w:ascii="Times New Roman" w:hAnsi="Times New Roman" w:cs="Times New Roman"/>
          <w:i/>
          <w:iCs/>
          <w:sz w:val="24"/>
          <w:szCs w:val="24"/>
        </w:rPr>
        <w:t>Scientific</w:t>
      </w:r>
      <w:proofErr w:type="spellEnd"/>
      <w:r w:rsidR="00BA4B04" w:rsidRPr="00A625F3">
        <w:rPr>
          <w:rFonts w:ascii="Times New Roman" w:hAnsi="Times New Roman" w:cs="Times New Roman"/>
          <w:i/>
          <w:iCs/>
          <w:sz w:val="24"/>
          <w:szCs w:val="24"/>
        </w:rPr>
        <w:t xml:space="preserve"> Eletronic Library Online </w:t>
      </w:r>
      <w:r w:rsidR="00BA4B04" w:rsidRPr="00A625F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A4B04" w:rsidRPr="00A625F3">
        <w:rPr>
          <w:rFonts w:ascii="Times New Roman" w:hAnsi="Times New Roman" w:cs="Times New Roman"/>
          <w:sz w:val="24"/>
          <w:szCs w:val="24"/>
        </w:rPr>
        <w:t>Scielo</w:t>
      </w:r>
      <w:proofErr w:type="spellEnd"/>
      <w:r w:rsidR="00BA4B04" w:rsidRPr="00A625F3">
        <w:rPr>
          <w:rFonts w:ascii="Times New Roman" w:hAnsi="Times New Roman" w:cs="Times New Roman"/>
          <w:sz w:val="24"/>
          <w:szCs w:val="24"/>
        </w:rPr>
        <w:t>). Foram utilizados os descritores “</w:t>
      </w:r>
      <w:r w:rsidR="00A91614" w:rsidRPr="00A91614">
        <w:rPr>
          <w:rFonts w:ascii="Times New Roman" w:hAnsi="Times New Roman" w:cs="Times New Roman"/>
          <w:sz w:val="24"/>
          <w:szCs w:val="24"/>
        </w:rPr>
        <w:t>Avaliação em Saúde</w:t>
      </w:r>
      <w:r w:rsidR="00BA4B04" w:rsidRPr="00A91614">
        <w:rPr>
          <w:rFonts w:ascii="Times New Roman" w:hAnsi="Times New Roman" w:cs="Times New Roman"/>
          <w:sz w:val="24"/>
          <w:szCs w:val="24"/>
        </w:rPr>
        <w:t>”; “</w:t>
      </w:r>
      <w:r w:rsidR="00F375C8" w:rsidRPr="00A91614">
        <w:rPr>
          <w:rFonts w:ascii="Times New Roman" w:hAnsi="Times New Roman" w:cs="Times New Roman"/>
          <w:sz w:val="24"/>
          <w:szCs w:val="24"/>
        </w:rPr>
        <w:t>Diagnóstico Clínico</w:t>
      </w:r>
      <w:r w:rsidR="00BA4B04" w:rsidRPr="00A91614">
        <w:rPr>
          <w:rFonts w:ascii="Times New Roman" w:hAnsi="Times New Roman" w:cs="Times New Roman"/>
          <w:sz w:val="24"/>
          <w:szCs w:val="24"/>
        </w:rPr>
        <w:t>”; “</w:t>
      </w:r>
      <w:r w:rsidR="00F375C8" w:rsidRPr="00A91614">
        <w:rPr>
          <w:rFonts w:ascii="Times New Roman" w:hAnsi="Times New Roman" w:cs="Times New Roman"/>
          <w:sz w:val="24"/>
          <w:szCs w:val="24"/>
        </w:rPr>
        <w:t>Testes Neuropsicológicos</w:t>
      </w:r>
      <w:r w:rsidR="00BA4B04" w:rsidRPr="00A91614">
        <w:rPr>
          <w:rFonts w:ascii="Times New Roman" w:hAnsi="Times New Roman" w:cs="Times New Roman"/>
          <w:sz w:val="24"/>
          <w:szCs w:val="24"/>
        </w:rPr>
        <w:t>” e “</w:t>
      </w:r>
      <w:r w:rsidR="00A91614" w:rsidRPr="00A91614">
        <w:rPr>
          <w:rFonts w:ascii="Times New Roman" w:hAnsi="Times New Roman" w:cs="Times New Roman"/>
          <w:sz w:val="24"/>
          <w:szCs w:val="24"/>
        </w:rPr>
        <w:t>Transtorno do Espectro Autista</w:t>
      </w:r>
      <w:r w:rsidR="00ED7EA6" w:rsidRPr="00ED7EA6"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="00ED7EA6" w:rsidRPr="00ED7EA6">
        <w:rPr>
          <w:rFonts w:ascii="Times New Roman" w:hAnsi="Times New Roman" w:cs="Times New Roman"/>
          <w:sz w:val="24"/>
          <w:szCs w:val="24"/>
        </w:rPr>
        <w:t xml:space="preserve">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7D62C5">
        <w:rPr>
          <w:rFonts w:ascii="Times New Roman" w:hAnsi="Times New Roman" w:cs="Times New Roman"/>
          <w:sz w:val="24"/>
          <w:szCs w:val="24"/>
        </w:rPr>
        <w:t xml:space="preserve">Foram apontados como critérios importantes para diagnóstico do </w:t>
      </w:r>
      <w:r w:rsidR="004B456B">
        <w:rPr>
          <w:rFonts w:ascii="Times New Roman" w:hAnsi="Times New Roman" w:cs="Times New Roman"/>
          <w:sz w:val="24"/>
          <w:szCs w:val="24"/>
        </w:rPr>
        <w:t>TEA</w:t>
      </w:r>
      <w:r w:rsidR="007D62C5">
        <w:rPr>
          <w:rFonts w:ascii="Times New Roman" w:hAnsi="Times New Roman" w:cs="Times New Roman"/>
          <w:sz w:val="24"/>
          <w:szCs w:val="24"/>
        </w:rPr>
        <w:t xml:space="preserve"> e consequente elaboração de instrumentos de avaliação: (I) Atenção Compartilhada (AC); (II) Responsividade Social; (III) Capacidade de Simbolismo; e (IV) Movimentos do Corpo. </w:t>
      </w:r>
      <w:r w:rsidR="005602BD">
        <w:rPr>
          <w:rFonts w:ascii="Times New Roman" w:hAnsi="Times New Roman" w:cs="Times New Roman"/>
          <w:sz w:val="24"/>
          <w:szCs w:val="24"/>
        </w:rPr>
        <w:t>No Brasil,</w:t>
      </w:r>
      <w:r w:rsidR="007D62C5">
        <w:rPr>
          <w:rFonts w:ascii="Times New Roman" w:hAnsi="Times New Roman" w:cs="Times New Roman"/>
          <w:sz w:val="24"/>
          <w:szCs w:val="24"/>
        </w:rPr>
        <w:t xml:space="preserve"> em 2014 o Ministério da Saúde publicou as Diretrizes de Atenção à Reabilitação da Pessoa com </w:t>
      </w:r>
      <w:r w:rsidR="005602BD">
        <w:rPr>
          <w:rFonts w:ascii="Times New Roman" w:hAnsi="Times New Roman" w:cs="Times New Roman"/>
          <w:sz w:val="24"/>
          <w:szCs w:val="24"/>
        </w:rPr>
        <w:t>TEA</w:t>
      </w:r>
      <w:r w:rsidR="007D62C5">
        <w:rPr>
          <w:rFonts w:ascii="Times New Roman" w:hAnsi="Times New Roman" w:cs="Times New Roman"/>
          <w:sz w:val="24"/>
          <w:szCs w:val="24"/>
        </w:rPr>
        <w:t xml:space="preserve">, elencando o </w:t>
      </w:r>
      <w:proofErr w:type="spellStart"/>
      <w:r w:rsidR="007D62C5">
        <w:rPr>
          <w:rFonts w:ascii="Times New Roman" w:hAnsi="Times New Roman" w:cs="Times New Roman"/>
          <w:i/>
          <w:iCs/>
          <w:sz w:val="24"/>
          <w:szCs w:val="24"/>
        </w:rPr>
        <w:t>Modified</w:t>
      </w:r>
      <w:proofErr w:type="spellEnd"/>
      <w:r w:rsidR="007D62C5">
        <w:rPr>
          <w:rFonts w:ascii="Times New Roman" w:hAnsi="Times New Roman" w:cs="Times New Roman"/>
          <w:i/>
          <w:iCs/>
          <w:sz w:val="24"/>
          <w:szCs w:val="24"/>
        </w:rPr>
        <w:t xml:space="preserve"> Checklist for </w:t>
      </w:r>
      <w:proofErr w:type="spellStart"/>
      <w:r w:rsidR="007D62C5">
        <w:rPr>
          <w:rFonts w:ascii="Times New Roman" w:hAnsi="Times New Roman" w:cs="Times New Roman"/>
          <w:i/>
          <w:iCs/>
          <w:sz w:val="24"/>
          <w:szCs w:val="24"/>
        </w:rPr>
        <w:t>Autism</w:t>
      </w:r>
      <w:proofErr w:type="spellEnd"/>
      <w:r w:rsidR="007D62C5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="007D62C5">
        <w:rPr>
          <w:rFonts w:ascii="Times New Roman" w:hAnsi="Times New Roman" w:cs="Times New Roman"/>
          <w:i/>
          <w:iCs/>
          <w:sz w:val="24"/>
          <w:szCs w:val="24"/>
        </w:rPr>
        <w:t>Toddlers</w:t>
      </w:r>
      <w:proofErr w:type="spellEnd"/>
      <w:r w:rsidR="007D62C5">
        <w:rPr>
          <w:rFonts w:ascii="Times New Roman" w:hAnsi="Times New Roman" w:cs="Times New Roman"/>
          <w:sz w:val="24"/>
          <w:szCs w:val="24"/>
        </w:rPr>
        <w:t xml:space="preserve"> (M-CHAT) como instrumento de rastreamento adaptado e validado para uso no país, apesar das problemáticas que rodeiam este método de avaliação, indicando a necessidade de mais estudos que indiquem sua adequação. </w:t>
      </w:r>
      <w:r w:rsidR="007D62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único trabalho em curso no Brasil que usa um instrumento já de acordo com o DSM-5 é o da Escala de Responsividade Social-2 (ERS-2), mas sua origem está em estudos estrangeiros. </w:t>
      </w:r>
      <w:r w:rsidR="007D62C5">
        <w:rPr>
          <w:rFonts w:ascii="Times New Roman" w:hAnsi="Times New Roman" w:cs="Times New Roman"/>
          <w:sz w:val="24"/>
          <w:szCs w:val="24"/>
        </w:rPr>
        <w:t xml:space="preserve">Procurando ser um instrumento coerente com a realidade socioeconômica e cultural brasileira, o </w:t>
      </w:r>
      <w:r w:rsidR="007D62C5">
        <w:rPr>
          <w:rFonts w:ascii="Times New Roman" w:hAnsi="Times New Roman" w:cs="Times New Roman"/>
          <w:color w:val="000000" w:themeColor="text1"/>
          <w:sz w:val="24"/>
          <w:szCs w:val="24"/>
        </w:rPr>
        <w:t>Protocolo de Avaliação para Crianças com Suspeita de Transtorno do Espectro do Autismo (</w:t>
      </w:r>
      <w:proofErr w:type="spellStart"/>
      <w:r w:rsidR="007D62C5">
        <w:rPr>
          <w:rFonts w:ascii="Times New Roman" w:hAnsi="Times New Roman" w:cs="Times New Roman"/>
          <w:color w:val="000000" w:themeColor="text1"/>
          <w:sz w:val="24"/>
          <w:szCs w:val="24"/>
        </w:rPr>
        <w:t>Protea</w:t>
      </w:r>
      <w:proofErr w:type="spellEnd"/>
      <w:r w:rsidR="007D62C5">
        <w:rPr>
          <w:rFonts w:ascii="Times New Roman" w:hAnsi="Times New Roman" w:cs="Times New Roman"/>
          <w:color w:val="000000" w:themeColor="text1"/>
          <w:sz w:val="24"/>
          <w:szCs w:val="24"/>
        </w:rPr>
        <w:t>) e sua versão revisada (</w:t>
      </w:r>
      <w:proofErr w:type="spellStart"/>
      <w:r w:rsidR="007D62C5">
        <w:rPr>
          <w:rFonts w:ascii="Times New Roman" w:hAnsi="Times New Roman" w:cs="Times New Roman"/>
          <w:color w:val="000000" w:themeColor="text1"/>
          <w:sz w:val="24"/>
          <w:szCs w:val="24"/>
        </w:rPr>
        <w:t>Protea-R</w:t>
      </w:r>
      <w:proofErr w:type="spellEnd"/>
      <w:r w:rsidR="007D62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D67CE2">
        <w:rPr>
          <w:rFonts w:ascii="Times New Roman" w:hAnsi="Times New Roman" w:cs="Times New Roman"/>
          <w:color w:val="000000" w:themeColor="text1"/>
          <w:sz w:val="24"/>
          <w:szCs w:val="24"/>
        </w:rPr>
        <w:t>se mostraram</w:t>
      </w:r>
      <w:r w:rsidR="007D62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promissores para avaliação de crianças com suspeita de TEA nos países em desenvolvimento, embora ainda sejam necessários estudos complementares.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7D62C5">
        <w:rPr>
          <w:rFonts w:ascii="Times New Roman" w:hAnsi="Times New Roman" w:cs="Times New Roman"/>
          <w:sz w:val="24"/>
          <w:szCs w:val="24"/>
        </w:rPr>
        <w:t>Embora alguns estudos estejam sendo desenvolvidos na área, é de fácil percepção que o Brasil ainda é marcado por uma escassez de instrumentos de avaliação</w:t>
      </w:r>
      <w:r w:rsidR="00E05946">
        <w:rPr>
          <w:rFonts w:ascii="Times New Roman" w:hAnsi="Times New Roman" w:cs="Times New Roman"/>
          <w:sz w:val="24"/>
          <w:szCs w:val="24"/>
        </w:rPr>
        <w:t xml:space="preserve"> </w:t>
      </w:r>
      <w:r w:rsidR="007D62C5">
        <w:rPr>
          <w:rFonts w:ascii="Times New Roman" w:hAnsi="Times New Roman" w:cs="Times New Roman"/>
          <w:sz w:val="24"/>
          <w:szCs w:val="24"/>
        </w:rPr>
        <w:t>que sejam capazes de preencher simultaneamente dois requisitos indispensáveis: a pertinência à realidade nacional e a aprovação do SATEPSI.</w:t>
      </w:r>
    </w:p>
    <w:bookmarkEnd w:id="0"/>
    <w:p w14:paraId="5EC8B84B" w14:textId="0D8DA76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679D6E7E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bookmarkStart w:id="1" w:name="_Hlk134288217"/>
      <w:r w:rsidR="00F375C8">
        <w:rPr>
          <w:rFonts w:ascii="Times New Roman" w:hAnsi="Times New Roman" w:cs="Times New Roman"/>
          <w:sz w:val="24"/>
          <w:szCs w:val="24"/>
        </w:rPr>
        <w:t>Avaliação em Saúde; Diagnóstico Clínico; Testes Neuropsicológicos; Transtorno do Espectro Autista.</w:t>
      </w:r>
      <w:r w:rsidR="00E9749F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</w:p>
    <w:p w14:paraId="5613640E" w14:textId="3AF9A3AB" w:rsidR="004B2BD6" w:rsidRPr="004B2BD6" w:rsidRDefault="004B2BD6" w:rsidP="00320BE1">
      <w:pPr>
        <w:tabs>
          <w:tab w:val="left" w:pos="35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7465E136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FF615" w14:textId="77777777" w:rsidR="007C0937" w:rsidRDefault="007C0937" w:rsidP="007218E2">
      <w:pPr>
        <w:spacing w:after="0" w:line="240" w:lineRule="auto"/>
      </w:pPr>
      <w:r>
        <w:separator/>
      </w:r>
    </w:p>
  </w:endnote>
  <w:endnote w:type="continuationSeparator" w:id="0">
    <w:p w14:paraId="3A30E321" w14:textId="77777777" w:rsidR="007C0937" w:rsidRDefault="007C0937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D4F64" w14:textId="77777777" w:rsidR="007C0937" w:rsidRDefault="007C0937" w:rsidP="007218E2">
      <w:pPr>
        <w:spacing w:after="0" w:line="240" w:lineRule="auto"/>
      </w:pPr>
      <w:r>
        <w:separator/>
      </w:r>
    </w:p>
  </w:footnote>
  <w:footnote w:type="continuationSeparator" w:id="0">
    <w:p w14:paraId="39890F89" w14:textId="77777777" w:rsidR="007C0937" w:rsidRDefault="007C0937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202536"/>
    <w:rsid w:val="0027297F"/>
    <w:rsid w:val="00304FC3"/>
    <w:rsid w:val="00320BE1"/>
    <w:rsid w:val="00346D4A"/>
    <w:rsid w:val="00367003"/>
    <w:rsid w:val="003A4751"/>
    <w:rsid w:val="0044077D"/>
    <w:rsid w:val="004B2BD6"/>
    <w:rsid w:val="004B456B"/>
    <w:rsid w:val="00537AEF"/>
    <w:rsid w:val="005602BD"/>
    <w:rsid w:val="00593BC4"/>
    <w:rsid w:val="005966D2"/>
    <w:rsid w:val="0063107C"/>
    <w:rsid w:val="00631E92"/>
    <w:rsid w:val="00652C1A"/>
    <w:rsid w:val="007218E2"/>
    <w:rsid w:val="007C0937"/>
    <w:rsid w:val="007D62C5"/>
    <w:rsid w:val="009D62B9"/>
    <w:rsid w:val="00A91614"/>
    <w:rsid w:val="00B27934"/>
    <w:rsid w:val="00BA4B04"/>
    <w:rsid w:val="00BD6D9B"/>
    <w:rsid w:val="00BE2F06"/>
    <w:rsid w:val="00C0213B"/>
    <w:rsid w:val="00C45D74"/>
    <w:rsid w:val="00D67CE2"/>
    <w:rsid w:val="00E05946"/>
    <w:rsid w:val="00E9328C"/>
    <w:rsid w:val="00E9749F"/>
    <w:rsid w:val="00ED7EA6"/>
    <w:rsid w:val="00F30932"/>
    <w:rsid w:val="00F375C8"/>
    <w:rsid w:val="00FC2CDB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A118D-5875-4886-9DE9-7F918F6BA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494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José Humberto Rebelo</cp:lastModifiedBy>
  <cp:revision>20</cp:revision>
  <dcterms:created xsi:type="dcterms:W3CDTF">2023-04-17T03:05:00Z</dcterms:created>
  <dcterms:modified xsi:type="dcterms:W3CDTF">2023-05-07T18:38:00Z</dcterms:modified>
</cp:coreProperties>
</file>